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620" w:lineRule="exact" w:before="0"/>
        <w:ind w:left="1640" w:right="1639" w:firstLine="0"/>
        <w:jc w:val="center"/>
        <w:rPr>
          <w:rFonts w:ascii="黑体" w:hAnsi="黑体" w:cs="黑体" w:eastAsia="黑体" w:hint="default"/>
          <w:sz w:val="52"/>
          <w:szCs w:val="52"/>
        </w:rPr>
      </w:pPr>
      <w:r>
        <w:rPr/>
        <w:pict>
          <v:group style="position:absolute;margin-left:55.200001pt;margin-top:-27.693123pt;width:484.95pt;height:.1pt;mso-position-horizontal-relative:page;mso-position-vertical-relative:paragraph;z-index:0" coordorigin="1104,-554" coordsize="9699,2">
            <v:shape style="position:absolute;left:1104;top:-554;width:9699;height:2" coordorigin="1104,-554" coordsize="9699,0" path="m1104,-554l10802,-554e" filled="false" stroked="true" strokeweight=".71997pt" strokecolor="#000000">
              <v:path arrowok="t"/>
            </v:shape>
            <w10:wrap type="none"/>
          </v:group>
        </w:pict>
      </w:r>
      <w:r>
        <w:rPr>
          <w:rFonts w:ascii="黑体" w:hAnsi="黑体" w:cs="黑体" w:eastAsia="黑体" w:hint="default"/>
          <w:b/>
          <w:bCs/>
          <w:spacing w:val="2"/>
          <w:sz w:val="52"/>
          <w:szCs w:val="52"/>
        </w:rPr>
        <w:t>福建榕基软件股份有限公司</w:t>
      </w:r>
      <w:r>
        <w:rPr>
          <w:rFonts w:ascii="黑体" w:hAnsi="黑体" w:cs="黑体" w:eastAsia="黑体" w:hint="default"/>
          <w:sz w:val="52"/>
          <w:szCs w:val="52"/>
        </w:rPr>
      </w:r>
    </w:p>
    <w:p>
      <w:pPr>
        <w:spacing w:before="78"/>
        <w:ind w:left="1640" w:right="1639" w:firstLine="0"/>
        <w:jc w:val="center"/>
        <w:rPr>
          <w:rFonts w:ascii="Times New Roman" w:hAnsi="Times New Roman" w:cs="Times New Roman" w:eastAsia="Times New Roman" w:hint="default"/>
          <w:sz w:val="30"/>
          <w:szCs w:val="30"/>
        </w:rPr>
      </w:pPr>
      <w:r>
        <w:rPr>
          <w:rFonts w:ascii="Times New Roman"/>
          <w:b/>
          <w:sz w:val="30"/>
        </w:rPr>
        <w:t>Fujian Rongji Software Co.,</w:t>
      </w:r>
      <w:r>
        <w:rPr>
          <w:rFonts w:ascii="Times New Roman"/>
          <w:b/>
          <w:spacing w:val="-6"/>
          <w:sz w:val="30"/>
        </w:rPr>
        <w:t> </w:t>
      </w:r>
      <w:r>
        <w:rPr>
          <w:rFonts w:ascii="Times New Roman"/>
          <w:b/>
          <w:sz w:val="30"/>
        </w:rPr>
        <w:t>Ltd.</w:t>
      </w:r>
      <w:r>
        <w:rPr>
          <w:rFonts w:ascii="Times New Roman"/>
          <w:sz w:val="30"/>
        </w:rPr>
      </w:r>
    </w:p>
    <w:p>
      <w:pPr>
        <w:spacing w:before="66"/>
        <w:ind w:left="1640" w:right="1639" w:firstLine="0"/>
        <w:jc w:val="center"/>
        <w:rPr>
          <w:rFonts w:ascii="黑体" w:hAnsi="黑体" w:cs="黑体" w:eastAsia="黑体" w:hint="default"/>
          <w:sz w:val="32"/>
          <w:szCs w:val="32"/>
        </w:rPr>
      </w:pPr>
      <w:r>
        <w:rPr>
          <w:rFonts w:ascii="黑体" w:hAnsi="黑体" w:cs="黑体" w:eastAsia="黑体" w:hint="default"/>
          <w:b/>
          <w:bCs/>
          <w:spacing w:val="10"/>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7"/>
          <w:szCs w:val="27"/>
        </w:rPr>
      </w:pPr>
    </w:p>
    <w:p>
      <w:pPr>
        <w:spacing w:line="1857" w:lineRule="exact"/>
        <w:ind w:left="3953" w:right="0" w:firstLine="0"/>
        <w:rPr>
          <w:rFonts w:ascii="黑体" w:hAnsi="黑体" w:cs="黑体" w:eastAsia="黑体" w:hint="default"/>
          <w:sz w:val="20"/>
          <w:szCs w:val="20"/>
        </w:rPr>
      </w:pPr>
      <w:r>
        <w:rPr>
          <w:rFonts w:ascii="黑体" w:hAnsi="黑体" w:cs="黑体" w:eastAsia="黑体" w:hint="default"/>
          <w:position w:val="-36"/>
          <w:sz w:val="20"/>
          <w:szCs w:val="20"/>
        </w:rPr>
        <w:drawing>
          <wp:inline distT="0" distB="0" distL="0" distR="0">
            <wp:extent cx="1295265" cy="11793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295265" cy="1179385"/>
                    </a:xfrm>
                    <a:prstGeom prst="rect">
                      <a:avLst/>
                    </a:prstGeom>
                  </pic:spPr>
                </pic:pic>
              </a:graphicData>
            </a:graphic>
          </wp:inline>
        </w:drawing>
      </w:r>
      <w:r>
        <w:rPr>
          <w:rFonts w:ascii="黑体" w:hAnsi="黑体" w:cs="黑体" w:eastAsia="黑体" w:hint="default"/>
          <w:position w:val="-36"/>
          <w:sz w:val="20"/>
          <w:szCs w:val="2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6"/>
          <w:szCs w:val="26"/>
        </w:rPr>
      </w:pPr>
    </w:p>
    <w:p>
      <w:pPr>
        <w:spacing w:line="874" w:lineRule="exact" w:before="0"/>
        <w:ind w:left="2717" w:right="704" w:firstLine="0"/>
        <w:jc w:val="left"/>
        <w:rPr>
          <w:rFonts w:ascii="黑体" w:hAnsi="黑体" w:cs="黑体" w:eastAsia="黑体" w:hint="default"/>
          <w:sz w:val="72"/>
          <w:szCs w:val="72"/>
        </w:rPr>
      </w:pPr>
      <w:r>
        <w:rPr>
          <w:rFonts w:ascii="Times New Roman" w:hAnsi="Times New Roman" w:cs="Times New Roman" w:eastAsia="Times New Roman" w:hint="default"/>
          <w:b/>
          <w:bCs/>
          <w:sz w:val="72"/>
          <w:szCs w:val="72"/>
        </w:rPr>
        <w:t>2015</w:t>
      </w:r>
      <w:r>
        <w:rPr>
          <w:rFonts w:ascii="Times New Roman" w:hAnsi="Times New Roman" w:cs="Times New Roman" w:eastAsia="Times New Roman" w:hint="default"/>
          <w:b/>
          <w:bCs/>
          <w:spacing w:val="-3"/>
          <w:sz w:val="72"/>
          <w:szCs w:val="72"/>
        </w:rPr>
        <w:t> </w:t>
      </w:r>
      <w:r>
        <w:rPr>
          <w:rFonts w:ascii="黑体" w:hAnsi="黑体" w:cs="黑体" w:eastAsia="黑体" w:hint="default"/>
          <w:b/>
          <w:bCs/>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10"/>
        <w:rPr>
          <w:rFonts w:ascii="黑体" w:hAnsi="黑体" w:cs="黑体" w:eastAsia="黑体" w:hint="default"/>
          <w:b/>
          <w:bCs/>
          <w:sz w:val="66"/>
          <w:szCs w:val="66"/>
        </w:rPr>
      </w:pPr>
    </w:p>
    <w:p>
      <w:pPr>
        <w:spacing w:line="292" w:lineRule="auto" w:before="0"/>
        <w:ind w:left="5606" w:right="704" w:firstLine="28"/>
        <w:jc w:val="left"/>
        <w:rPr>
          <w:rFonts w:ascii="宋体" w:hAnsi="宋体" w:cs="宋体" w:eastAsia="宋体" w:hint="default"/>
          <w:sz w:val="28"/>
          <w:szCs w:val="28"/>
        </w:rPr>
      </w:pPr>
      <w:r>
        <w:rPr>
          <w:rFonts w:ascii="宋体" w:hAnsi="宋体" w:cs="宋体" w:eastAsia="宋体" w:hint="default"/>
          <w:b/>
          <w:bCs/>
          <w:sz w:val="28"/>
          <w:szCs w:val="28"/>
        </w:rPr>
        <w:t>公告编号：</w:t>
      </w:r>
      <w:r>
        <w:rPr>
          <w:rFonts w:ascii="Arial" w:hAnsi="Arial" w:cs="Arial" w:eastAsia="Arial" w:hint="default"/>
          <w:b/>
          <w:bCs/>
          <w:sz w:val="28"/>
          <w:szCs w:val="28"/>
        </w:rPr>
        <w:t>2015-010</w:t>
      </w:r>
      <w:r>
        <w:rPr>
          <w:rFonts w:ascii="Arial" w:hAnsi="Arial" w:cs="Arial" w:eastAsia="Arial" w:hint="default"/>
          <w:b/>
          <w:bCs/>
          <w:w w:val="99"/>
          <w:sz w:val="28"/>
          <w:szCs w:val="28"/>
        </w:rPr>
        <w:t> </w:t>
      </w:r>
      <w:r>
        <w:rPr>
          <w:rFonts w:ascii="宋体" w:hAnsi="宋体" w:cs="宋体" w:eastAsia="宋体" w:hint="default"/>
          <w:b/>
          <w:bCs/>
          <w:sz w:val="28"/>
          <w:szCs w:val="28"/>
        </w:rPr>
        <w:t>证券代码：</w:t>
      </w:r>
      <w:r>
        <w:rPr>
          <w:rFonts w:ascii="Arial" w:hAnsi="Arial" w:cs="Arial" w:eastAsia="Arial" w:hint="default"/>
          <w:b/>
          <w:bCs/>
          <w:sz w:val="28"/>
          <w:szCs w:val="28"/>
        </w:rPr>
        <w:t>002474</w:t>
      </w:r>
      <w:r>
        <w:rPr>
          <w:rFonts w:ascii="Arial" w:hAnsi="Arial" w:cs="Arial" w:eastAsia="Arial" w:hint="default"/>
          <w:b/>
          <w:bCs/>
          <w:w w:val="99"/>
          <w:sz w:val="28"/>
          <w:szCs w:val="28"/>
        </w:rPr>
        <w:t> </w:t>
      </w:r>
      <w:r>
        <w:rPr>
          <w:rFonts w:ascii="宋体" w:hAnsi="宋体" w:cs="宋体" w:eastAsia="宋体" w:hint="default"/>
          <w:b/>
          <w:bCs/>
          <w:sz w:val="28"/>
          <w:szCs w:val="28"/>
        </w:rPr>
        <w:t>证券简称：榕基软件</w:t>
      </w:r>
      <w:r>
        <w:rPr>
          <w:rFonts w:ascii="宋体" w:hAnsi="宋体" w:cs="宋体" w:eastAsia="宋体" w:hint="default"/>
          <w:b/>
          <w:bCs/>
          <w:spacing w:val="1"/>
          <w:w w:val="99"/>
          <w:sz w:val="28"/>
          <w:szCs w:val="28"/>
        </w:rPr>
        <w:t> </w:t>
      </w:r>
      <w:r>
        <w:rPr>
          <w:rFonts w:ascii="宋体" w:hAnsi="宋体" w:cs="宋体" w:eastAsia="宋体" w:hint="default"/>
          <w:b/>
          <w:bCs/>
          <w:spacing w:val="-7"/>
          <w:sz w:val="28"/>
          <w:szCs w:val="28"/>
        </w:rPr>
        <w:t>披露日期：</w:t>
      </w:r>
      <w:r>
        <w:rPr>
          <w:rFonts w:ascii="Arial" w:hAnsi="Arial" w:cs="Arial" w:eastAsia="Arial" w:hint="default"/>
          <w:b/>
          <w:bCs/>
          <w:spacing w:val="-7"/>
          <w:sz w:val="28"/>
          <w:szCs w:val="28"/>
        </w:rPr>
        <w:t>2016</w:t>
      </w:r>
      <w:r>
        <w:rPr>
          <w:rFonts w:ascii="Arial" w:hAnsi="Arial" w:cs="Arial" w:eastAsia="Arial" w:hint="default"/>
          <w:b/>
          <w:bCs/>
          <w:spacing w:val="-11"/>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Arial" w:hAnsi="Arial" w:cs="Arial" w:eastAsia="Arial" w:hint="default"/>
          <w:b/>
          <w:bCs/>
          <w:sz w:val="28"/>
          <w:szCs w:val="28"/>
        </w:rPr>
        <w:t>3</w:t>
      </w:r>
      <w:r>
        <w:rPr>
          <w:rFonts w:ascii="Arial" w:hAnsi="Arial" w:cs="Arial" w:eastAsia="Arial" w:hint="default"/>
          <w:b/>
          <w:bCs/>
          <w:spacing w:val="-10"/>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Arial" w:hAnsi="Arial" w:cs="Arial" w:eastAsia="Arial" w:hint="default"/>
          <w:b/>
          <w:bCs/>
          <w:sz w:val="28"/>
          <w:szCs w:val="28"/>
        </w:rPr>
        <w:t>31</w:t>
      </w:r>
      <w:r>
        <w:rPr>
          <w:rFonts w:ascii="Arial" w:hAnsi="Arial" w:cs="Arial" w:eastAsia="Arial" w:hint="default"/>
          <w:b/>
          <w:bCs/>
          <w:spacing w:val="-10"/>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line="292" w:lineRule="auto"/>
        <w:jc w:val="left"/>
        <w:rPr>
          <w:rFonts w:ascii="宋体" w:hAnsi="宋体" w:cs="宋体" w:eastAsia="宋体" w:hint="default"/>
          <w:sz w:val="28"/>
          <w:szCs w:val="28"/>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704"/>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公司负责人鲁峰、主管会计工作负责人侯伟及会计机构负责人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spacing w:val="1"/>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本报告中涉及未来发展规划等事项的前瞻性陈述，不构成公司对投资者的</w:t>
      </w:r>
      <w:r>
        <w:rPr>
          <w:rFonts w:ascii="宋体" w:hAnsi="宋体" w:cs="宋体" w:eastAsia="宋体" w:hint="default"/>
          <w:sz w:val="28"/>
          <w:szCs w:val="28"/>
        </w:rPr>
      </w:r>
    </w:p>
    <w:p>
      <w:pPr>
        <w:spacing w:line="475" w:lineRule="auto" w:before="0"/>
        <w:ind w:left="715" w:right="1619" w:hanging="562"/>
        <w:jc w:val="left"/>
        <w:rPr>
          <w:rFonts w:ascii="宋体" w:hAnsi="宋体" w:cs="宋体" w:eastAsia="宋体" w:hint="default"/>
          <w:sz w:val="28"/>
          <w:szCs w:val="28"/>
        </w:rPr>
      </w:pPr>
      <w:r>
        <w:rPr>
          <w:rFonts w:ascii="宋体" w:hAnsi="宋体" w:cs="宋体" w:eastAsia="宋体" w:hint="default"/>
          <w:b/>
          <w:bCs/>
          <w:sz w:val="28"/>
          <w:szCs w:val="28"/>
        </w:rPr>
        <w:t>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line="475" w:lineRule="auto"/>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640" w:right="16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9">
            <w:r>
              <w:rPr/>
              <w:t>第一节</w:t>
            </w:r>
            <w:r>
              <w:rPr>
                <w:spacing w:val="-19"/>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8"/>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8"/>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9"/>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9"/>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19"/>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9"/>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9"/>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r>
            <w:r>
              <w:rPr>
                <w:spacing w:val="-19"/>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9"/>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第十一节</w:t>
          </w:r>
          <w:r>
            <w:rPr>
              <w:spacing w:val="-20"/>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177</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1640" w:right="16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7"/>
          <w:szCs w:val="17"/>
        </w:rPr>
      </w:pPr>
    </w:p>
    <w:p>
      <w:pPr>
        <w:pStyle w:val="BodyText"/>
        <w:spacing w:line="240" w:lineRule="auto"/>
        <w:ind w:left="0" w:right="159"/>
        <w:jc w:val="right"/>
      </w:pPr>
      <w:r>
        <w:rPr/>
        <w:pict>
          <v:shape style="position:absolute;margin-left:56.459999pt;margin-top:-451.787964pt;width:479.2pt;height:590.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星云大数据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公司主营业务领域、四大业务领域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电子政务、信息安全、质检三电工程、协同管理等</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和管理职能重组优化的运作模式。电子政务有狭义和广义之分。狭义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的电子政务专指政府部门的管理和服务，广义的电子政务包括各类行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政管理活动，例如电子政府（狭义电子政务）、电子党务、电子政协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电子人大</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金环工程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国家环保部提高环境保护监管和综合决策能力的重要的信息化工程</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宋体" w:hAnsi="宋体" w:cs="宋体" w:eastAsia="宋体" w:hint="default"/>
                            <w:spacing w:val="-3"/>
                            <w:w w:val="99"/>
                            <w:sz w:val="18"/>
                            <w:szCs w:val="18"/>
                          </w:rPr>
                          <w:t>最高人民法院在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十二五</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期间，推进全国法院信息化建设的重大举措</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是国家电子政务重点业务信息系统建设项目</w:t>
                        </w:r>
                      </w:p>
                    </w:tc>
                  </w:tr>
                  <w:tr>
                    <w:trPr>
                      <w:trHeight w:val="98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金质工程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质量监督检验检疫信息化工程，国家电子政务建设的重要组成部分。 </w:t>
                        </w: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的建设促进了各级质检机关向管理服务型转变，形成全国 </w:t>
                        </w:r>
                        <w:r>
                          <w:rPr>
                            <w:rFonts w:ascii="宋体" w:hAnsi="宋体" w:cs="宋体" w:eastAsia="宋体" w:hint="default"/>
                            <w:spacing w:val="-2"/>
                            <w:sz w:val="18"/>
                            <w:szCs w:val="18"/>
                          </w:rPr>
                          <w:t>统一的质检网络，促进质检系统执法电子化、信息化，为生产企业和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left="0" w:right="158"/>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进出口企业带来更大的方便与效益</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中国电子检验检疫主干系统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中国电子检验检疫在全国范围的信息化平台及应用系统；进一步完 善、整合和推广中国电子检验检疫</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时期建成的各项信息化应 </w:t>
            </w:r>
            <w:r>
              <w:rPr>
                <w:rFonts w:ascii="宋体" w:hAnsi="宋体" w:cs="宋体" w:eastAsia="宋体" w:hint="default"/>
                <w:spacing w:val="-2"/>
                <w:sz w:val="18"/>
                <w:szCs w:val="18"/>
              </w:rPr>
              <w:t>用而建成高速、泛在的信息基础云设施、实现数据大集中、应用大集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中、支撑平台大集中的项目</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三电工程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的重要组成部分，包括</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电子申报、电子监管、电子放行</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三大电子化业务应用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电子申报</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质量监督检验检疫原产地证电子签证及检验检疫电子报检</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电子监管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以检验检疫综合业务管理系统为基础，利用信息化手段对企业生产加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工过程、实验室检测、产品质量控制等检验检疫及监督管理工作实施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电子化管理</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电子放行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利用口岸电子执法系统和检验检疫广域网，实现检验检疫机构与海关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之间，检验检疫产地机构与口岸机构之间，在通关放行信息上的互联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互通</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组织的灵活性和应变能力的软件</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8pt;margin-top:272.760010pt;width:396.9pt;height:19.6pt;mso-position-horizontal-relative:page;mso-position-vertical-relative:page;z-index:-1143160"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704"/>
        <w:jc w:val="left"/>
        <w:rPr>
          <w:b w:val="0"/>
          <w:bCs w:val="0"/>
        </w:rPr>
      </w:pPr>
      <w:bookmarkStart w:name="_TOC_250008"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704"/>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002474</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FUJIAN RONGJI </w:t>
            </w:r>
            <w:r>
              <w:rPr>
                <w:rFonts w:ascii="Times New Roman"/>
                <w:spacing w:val="-4"/>
                <w:sz w:val="18"/>
              </w:rPr>
              <w:t>SOFTWARE </w:t>
            </w:r>
            <w:r>
              <w:rPr>
                <w:rFonts w:ascii="Times New Roman"/>
                <w:sz w:val="18"/>
              </w:rPr>
              <w:t>Co.,</w:t>
            </w:r>
            <w:r>
              <w:rPr>
                <w:rFonts w:ascii="Times New Roman"/>
                <w:spacing w:val="-5"/>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RONGJI </w:t>
            </w:r>
            <w:r>
              <w:rPr>
                <w:rFonts w:ascii="Times New Roman"/>
                <w:spacing w:val="-4"/>
                <w:sz w:val="18"/>
              </w:rPr>
              <w:t>SOFTWARE</w:t>
            </w:r>
            <w:r>
              <w:rPr>
                <w:rFonts w:ascii="Times New Roman"/>
                <w:sz w:val="18"/>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http://www.rongji.com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rongji@rongji.com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704"/>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3544"/>
        <w:gridCol w:w="3331"/>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福州市鼓楼区铜盘路福州软件园产业基地</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0591-83517761</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0591-87303569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0591-87862566</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0591-87862566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wanxiaoxiong@rongji.com</w:t>
              </w:r>
            </w:hyperlink>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chenlv</w:t>
              </w:r>
            </w:hyperlink>
            <w:hyperlink r:id="rId13">
              <w:r>
                <w:rPr>
                  <w:rFonts w:ascii="Times New Roman"/>
                  <w:sz w:val="18"/>
                </w:rPr>
                <w:t>e@rongji.com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704"/>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704"/>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913500006285075795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704"/>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福建省厦门市珍珠湾软件园创新大厦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林庆瑜、陈连锋</w:t>
            </w:r>
          </w:p>
        </w:tc>
      </w:tr>
    </w:tbl>
    <w:p>
      <w:pPr>
        <w:pStyle w:val="BodyText"/>
        <w:spacing w:line="240" w:lineRule="auto" w:before="51"/>
        <w:ind w:right="704"/>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04"/>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公司是否因会计政策变更及会计差错更正等追溯调整或重述以前年度会计数据</w:t>
      </w:r>
    </w:p>
    <w:p>
      <w:pPr>
        <w:pStyle w:val="BodyText"/>
        <w:spacing w:line="240" w:lineRule="auto" w:before="116"/>
        <w:ind w:left="153"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623,602,054.84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598,305,165.28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603,142,394.74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15,830,627.57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22,250,622.89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-28.85%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62,838,706.64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-466,762.58</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-1,338,504.83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65.13%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49,841,085.97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18,002,162.93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-43,156,140.17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141.71%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57,140,556.07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-29.05%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0.0254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-29.05%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0.2020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4.73%</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1,906,471,210.30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1,686,154,881.95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13.07%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1,580,829,480.17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1,367,295,745.91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1,355,839,634.45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1,350,150,043.04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704"/>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704"/>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84,748,110.70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147,496,010.69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144,912,882.15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246,445,051.30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8,126,269.57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11,562,048.51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4,079,855.23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-7,937,545.74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2,434,611.52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7,242,769.20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-10,779,684.32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635,541.02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-53,655,364.42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-42,866,916.73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42,033,066.69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72,491,377.39</w:t>
            </w:r>
          </w:p>
        </w:tc>
      </w:tr>
    </w:tbl>
    <w:p>
      <w:pPr>
        <w:pStyle w:val="BodyText"/>
        <w:spacing w:line="240" w:lineRule="auto" w:before="51"/>
        <w:ind w:right="704"/>
        <w:jc w:val="left"/>
      </w:pPr>
      <w:r>
        <w:rPr/>
        <w:t>上述财务指标或其加总数是否与公司已披露季度报告、半年度报告相关财务指标存在重大差异</w:t>
      </w:r>
    </w:p>
    <w:p>
      <w:pPr>
        <w:pStyle w:val="BodyText"/>
        <w:spacing w:line="240" w:lineRule="auto" w:before="116"/>
        <w:ind w:left="153"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704"/>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-1,160,681.25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5,822,237.71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4,643,214.66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8,341,298.51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14,208,765.40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24,293,468.96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8,163,733.45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-39,601.21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-50,851.91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-142,140.01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3,694,861.49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5,280,562.88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2,204,294.23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-849.74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16,141.11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16,297,390.15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23,589,127.72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12,997,620.67</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3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7"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2"/>
        </w:rPr>
        <w:t>报告期内，公司依据企业中长期发展战略并结合近期发展需要，继续实施经营战略创新和技术创新，推行公司软件“行</w:t>
      </w:r>
      <w:r>
        <w:rPr/>
        <w:t> 业化、产品化、服务化”发展战略以实现公司的规模化发展，实现公司的持续经营。 </w:t>
      </w:r>
    </w:p>
    <w:p>
      <w:pPr>
        <w:pStyle w:val="BodyText"/>
        <w:spacing w:line="319" w:lineRule="auto" w:before="56"/>
        <w:ind w:right="0" w:firstLine="360"/>
        <w:jc w:val="left"/>
      </w:pPr>
      <w:r>
        <w:rPr>
          <w:spacing w:val="-4"/>
        </w:rPr>
        <w:t>在公司传统四大主营业务（电子政务、质检三电工程、协同管理和信息安全）的基础上，结合自身条件和外部市场环境，</w:t>
      </w:r>
      <w:r>
        <w:rPr/>
        <w:t> </w:t>
      </w:r>
      <w:r>
        <w:rPr>
          <w:spacing w:val="-2"/>
        </w:rPr>
        <w:t>选择和公司当前业务、技术背景较为接近且市场潜力较大的中国电子检验检疫主干系统、物联网平台、中小企业服务平台等</w:t>
      </w:r>
      <w:r>
        <w:rPr>
          <w:spacing w:val="-66"/>
        </w:rPr>
        <w:t> </w:t>
      </w:r>
      <w:r>
        <w:rPr>
          <w:spacing w:val="-66"/>
        </w:rPr>
      </w:r>
      <w:r>
        <w:rPr/>
        <w:t>作为新的突破方向。 </w:t>
      </w:r>
    </w:p>
    <w:p>
      <w:pPr>
        <w:pStyle w:val="BodyText"/>
        <w:spacing w:line="357" w:lineRule="auto" w:before="56"/>
        <w:ind w:left="514" w:right="0"/>
        <w:jc w:val="left"/>
      </w:pPr>
      <w:r>
        <w:rPr/>
        <w:t>1、主营业务及产品 </w:t>
      </w:r>
      <w:r>
        <w:rPr>
          <w:spacing w:val="-2"/>
        </w:rPr>
        <w:t>在电子政务领域，公司拥有16年行业经验，熟悉国家电子政务相关政策、标准和业务需求及发展趋势。公司通过优秀的</w:t>
      </w:r>
    </w:p>
    <w:p>
      <w:pPr>
        <w:pStyle w:val="BodyText"/>
        <w:spacing w:line="224" w:lineRule="exact"/>
        <w:ind w:right="0"/>
        <w:jc w:val="left"/>
      </w:pPr>
      <w:r>
        <w:rPr/>
        <w:t>自主知识产权产品、解决方案和服务，现已成为北京、福建、浙江、河南以及上海等区域通用电子政务应用软件领域最具竞</w:t>
      </w:r>
    </w:p>
    <w:p>
      <w:pPr>
        <w:pStyle w:val="BodyText"/>
        <w:spacing w:line="357" w:lineRule="auto" w:before="77"/>
        <w:ind w:left="514" w:right="90" w:hanging="360"/>
        <w:jc w:val="left"/>
      </w:pPr>
      <w:r>
        <w:rPr/>
        <w:t>争力的服务商之一。在政务信息化、金质工程、金环工程、天平工程等细分领域建立了领先地位和竞争优势。 2015年10月，公司与星云大数据、自然人合资成立星榕基，公司持有星榕基71%股权，星云大数据持有星榕基19%股权。</w:t>
      </w:r>
    </w:p>
    <w:p>
      <w:pPr>
        <w:pStyle w:val="BodyText"/>
        <w:spacing w:line="224" w:lineRule="exact"/>
        <w:ind w:left="153" w:right="0"/>
        <w:jc w:val="left"/>
      </w:pPr>
      <w:r>
        <w:rPr/>
        <w:t>本公司获得福建省物联网公共服务平台唯一经营权</w:t>
      </w:r>
      <w:r>
        <w:rPr>
          <w:spacing w:val="-87"/>
        </w:rPr>
        <w:t>，</w:t>
      </w:r>
      <w:r>
        <w:rPr/>
        <w:t>承接运营物联网公共服务平台业务</w:t>
      </w:r>
      <w:r>
        <w:rPr>
          <w:spacing w:val="-87"/>
        </w:rPr>
        <w:t>。</w:t>
      </w:r>
      <w:r>
        <w:rPr/>
        <w:t>星榕基将依托物联网公共服务平台，</w:t>
      </w:r>
    </w:p>
    <w:p>
      <w:pPr>
        <w:pStyle w:val="BodyText"/>
        <w:spacing w:line="319" w:lineRule="auto" w:before="76"/>
        <w:ind w:left="153" w:right="0"/>
        <w:jc w:val="left"/>
      </w:pPr>
      <w:r>
        <w:rPr>
          <w:spacing w:val="-2"/>
        </w:rPr>
        <w:t>积极参与政府、运营商及行业的物联网相关标准制定，自主研发物联网核心操作系统、物联网核心通讯组件、物联网核心安</w:t>
      </w:r>
      <w:r>
        <w:rPr>
          <w:spacing w:val="-66"/>
        </w:rPr>
        <w:t> </w:t>
      </w:r>
      <w:r>
        <w:rPr>
          <w:spacing w:val="-66"/>
        </w:rPr>
      </w:r>
      <w:r>
        <w:rPr>
          <w:spacing w:val="-4"/>
        </w:rPr>
        <w:t>全组件、物联网核心中间件及应用系统，打通产业上下游，搭建全生态链平台，力争通过三至五年物联网公共服务平台运营，</w:t>
      </w:r>
      <w:r>
        <w:rPr>
          <w:spacing w:val="-46"/>
        </w:rPr>
        <w:t> </w:t>
      </w:r>
      <w:r>
        <w:rPr>
          <w:spacing w:val="-46"/>
        </w:rPr>
      </w:r>
      <w:r>
        <w:rPr/>
        <w:t>使接入物联网公共服务平台的各类智能化设备、可穿戴设备数量达到50万台，打造国内物联网第一大生态平台。 </w:t>
      </w:r>
    </w:p>
    <w:p>
      <w:pPr>
        <w:pStyle w:val="BodyText"/>
        <w:spacing w:line="319" w:lineRule="auto" w:before="55"/>
        <w:ind w:left="153" w:right="188" w:firstLine="360"/>
        <w:jc w:val="both"/>
      </w:pPr>
      <w:r>
        <w:rPr/>
        <w:t>2016年1月，福建省发展和改革委员会对星榕基拟建设的福建省中小企业信息化云服务公共平台项目进行了批复，平台 面向我省中小企业提供优质高效的信息技术服务，促进互联网+新业态新模式发展，支持大众创业万众创新，加强与省中小 </w:t>
      </w:r>
      <w:r>
        <w:rPr>
          <w:spacing w:val="-2"/>
        </w:rPr>
        <w:t>企业服务中心、运营商等开展合作对接，充分发挥省经信委服务中心企业线上和线下窗口优势以及运营商的通信网络、服务</w:t>
      </w:r>
      <w:r>
        <w:rPr>
          <w:spacing w:val="-66"/>
        </w:rPr>
        <w:t> </w:t>
      </w:r>
      <w:r>
        <w:rPr>
          <w:spacing w:val="-66"/>
        </w:rPr>
      </w:r>
      <w:r>
        <w:rPr>
          <w:spacing w:val="-2"/>
        </w:rPr>
        <w:t>渠道、资本优势，结合省电子集团信息技术和资本优势，实现优势互补。福建省中小企业信息化云服务公共平台作为政府授</w:t>
      </w:r>
      <w:r>
        <w:rPr>
          <w:spacing w:val="-66"/>
        </w:rPr>
        <w:t> </w:t>
      </w:r>
      <w:r>
        <w:rPr>
          <w:spacing w:val="-66"/>
        </w:rPr>
      </w:r>
      <w:r>
        <w:rPr/>
        <w:t>权的公共服务平台，面向福建省三十余万家中小企业，重点围绕ICT服务、应用服务、政务服务、金融服务、职业教育等五 </w:t>
      </w:r>
      <w:r>
        <w:rPr>
          <w:spacing w:val="-2"/>
        </w:rPr>
        <w:t>大领域，为中小企业提供标准化、规范化、集约化的信息化服务，旨在打造中小企业信息化应用生态链，模式新颖，成本较</w:t>
      </w:r>
      <w:r>
        <w:rPr>
          <w:spacing w:val="-68"/>
        </w:rPr>
        <w:t> </w:t>
      </w:r>
      <w:r>
        <w:rPr>
          <w:spacing w:val="-68"/>
        </w:rPr>
      </w:r>
      <w:r>
        <w:rPr>
          <w:spacing w:val="-2"/>
        </w:rPr>
        <w:t>低，率先直击中小企业痛点，具有较高的信誉度，有望实现快速拓展市场的目标。福建是全国政企信息化建设的排头兵，该</w:t>
      </w:r>
      <w:r>
        <w:rPr>
          <w:spacing w:val="-66"/>
        </w:rPr>
        <w:t> </w:t>
      </w:r>
      <w:r>
        <w:rPr>
          <w:spacing w:val="-66"/>
        </w:rPr>
      </w:r>
      <w:r>
        <w:rPr>
          <w:spacing w:val="-2"/>
        </w:rPr>
        <w:t>平台采用自主可控模式，通过积极对接基于入口的第三方服务，未来有望推广到全国，面向全国四千余万家中小企业，将致</w:t>
      </w:r>
      <w:r>
        <w:rPr>
          <w:spacing w:val="-66"/>
        </w:rPr>
        <w:t> </w:t>
      </w:r>
      <w:r>
        <w:rPr>
          <w:spacing w:val="-66"/>
        </w:rPr>
      </w:r>
      <w:r>
        <w:rPr/>
        <w:t>力于平台成为全国性中小企业信息化综合服务入口。 </w:t>
      </w:r>
    </w:p>
    <w:p>
      <w:pPr>
        <w:pStyle w:val="BodyText"/>
        <w:spacing w:line="319" w:lineRule="auto" w:before="55"/>
        <w:ind w:left="153" w:right="91" w:firstLine="360"/>
        <w:jc w:val="left"/>
      </w:pPr>
      <w:r>
        <w:rPr>
          <w:spacing w:val="-2"/>
        </w:rPr>
        <w:t>在质检领域，公司已超过15年历史，拥有丰富的三电工程企业端软件开发和服务经验以及检验检疫信息化建设经验，是</w:t>
      </w:r>
      <w:r>
        <w:rPr/>
        <w:t> 国家“金质工程”的领先服务厂商。2012年起，公司作为中国电子检验检疫主干系统的唯一承建方，建设全流程、全业务、 </w:t>
      </w:r>
      <w:r>
        <w:rPr>
          <w:spacing w:val="-4"/>
        </w:rPr>
        <w:t>全覆盖的中国电子检验检疫核心业务系统，实现数据和应用全国质检系统大集中管理。该系统通过了国家质检总局用户测试，</w:t>
      </w:r>
      <w:r>
        <w:rPr>
          <w:spacing w:val="-44"/>
        </w:rPr>
        <w:t> </w:t>
      </w:r>
      <w:r>
        <w:rPr>
          <w:spacing w:val="-44"/>
        </w:rPr>
      </w:r>
      <w:r>
        <w:rPr>
          <w:spacing w:val="-2"/>
        </w:rPr>
        <w:t>对检验检疫改革，提高检验检疫通关效率，降低企业负担，避免执法风险具有重大的历史意义。项目将于2016年全面上线和</w:t>
      </w:r>
      <w:r>
        <w:rPr>
          <w:spacing w:val="-62"/>
        </w:rPr>
        <w:t> </w:t>
      </w:r>
      <w:r>
        <w:rPr>
          <w:spacing w:val="-62"/>
        </w:rPr>
      </w:r>
      <w:r>
        <w:rPr>
          <w:spacing w:val="-4"/>
        </w:rPr>
        <w:t>推广，该系统覆盖面广、安全实用、监管有效，实现总局应用和数据的集中化、一体化、标准化和协同化管理，实现“四全、</w:t>
      </w:r>
      <w:r>
        <w:rPr>
          <w:spacing w:val="-46"/>
        </w:rPr>
        <w:t> </w:t>
      </w:r>
      <w:r>
        <w:rPr>
          <w:spacing w:val="-46"/>
        </w:rPr>
      </w:r>
      <w:r>
        <w:rPr/>
        <w:t>八化”的设计理念。该项目应用当前计算机、通信和“互联网+”的相关技术，将质检业务进行智能打造，打通各个环节和 </w:t>
      </w:r>
      <w:r>
        <w:rPr>
          <w:spacing w:val="-2"/>
        </w:rPr>
        <w:t>通道，实现互连互通，实现各区域“一体化”，各单位各部门“信息互换、监管互认、执法互助”，提高智能化水平、总体</w:t>
      </w:r>
      <w:r>
        <w:rPr>
          <w:spacing w:val="-72"/>
        </w:rPr>
        <w:t> </w:t>
      </w:r>
      <w:r>
        <w:rPr>
          <w:spacing w:val="-72"/>
        </w:rPr>
      </w:r>
      <w:r>
        <w:rPr>
          <w:spacing w:val="-2"/>
        </w:rPr>
        <w:t>决策水平。通过对质量安全信息进行实时分析，对安全风险进行实时预警，对创新的监管机制进行模拟演算等，对质检决策</w:t>
      </w:r>
      <w:r>
        <w:rPr>
          <w:spacing w:val="-66"/>
        </w:rPr>
        <w:t> </w:t>
      </w:r>
      <w:r>
        <w:rPr>
          <w:spacing w:val="-66"/>
        </w:rPr>
      </w:r>
      <w:r>
        <w:rPr>
          <w:spacing w:val="-2"/>
        </w:rPr>
        <w:t>进行预测评估。通过智能化建设，将质检信息化系统从单纯的信息收集、反馈、初步分析和挖掘，向信息深入分析、科学预</w:t>
      </w:r>
      <w:r>
        <w:rPr>
          <w:spacing w:val="-68"/>
        </w:rPr>
        <w:t> </w:t>
      </w:r>
      <w:r>
        <w:rPr>
          <w:spacing w:val="-68"/>
        </w:rPr>
      </w:r>
      <w:r>
        <w:rPr/>
        <w:t>测、智能服务和效能监管模式转变。 </w:t>
      </w:r>
    </w:p>
    <w:p>
      <w:pPr>
        <w:pStyle w:val="BodyText"/>
        <w:spacing w:line="319" w:lineRule="auto" w:before="55"/>
        <w:ind w:left="153" w:right="189" w:firstLine="360"/>
        <w:jc w:val="both"/>
      </w:pPr>
      <w:r>
        <w:rPr>
          <w:spacing w:val="-2"/>
        </w:rPr>
        <w:t>公司承建了“河南省中小企业公共服务平台网络软件开发项目”，依托该平台，面向河南省数十万家中小企业企业提供</w:t>
      </w:r>
      <w:r>
        <w:rPr/>
        <w:t> </w:t>
      </w:r>
      <w:r>
        <w:rPr>
          <w:spacing w:val="-2"/>
        </w:rPr>
        <w:t>市场拓展、融资服务、人才服务、信息化服务等重要服务。同时，公司面向中小企业建立和完善了SaaS协同管理软件服务平</w:t>
      </w:r>
      <w:r>
        <w:rPr>
          <w:spacing w:val="-62"/>
        </w:rPr>
        <w:t> </w:t>
      </w:r>
      <w:r>
        <w:rPr>
          <w:spacing w:val="-62"/>
        </w:rPr>
      </w:r>
      <w:r>
        <w:rPr/>
        <w:t>台，发展通过互联网提供协同管理软件在线租赁服务的商业模式，目前已积累了近4,600家中小企业客户。 </w:t>
      </w:r>
    </w:p>
    <w:p>
      <w:pPr>
        <w:pStyle w:val="BodyText"/>
        <w:spacing w:line="240" w:lineRule="auto" w:before="56"/>
        <w:ind w:left="513" w:right="0"/>
        <w:jc w:val="left"/>
      </w:pPr>
      <w:r>
        <w:rPr/>
        <w:t>信息安全风险综合管理系统项目：在信息安全领域，公司已有15年历史。公司产品涵盖漏洞扫描、终端安全管理设备、</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181"/>
        <w:jc w:val="left"/>
      </w:pPr>
      <w:r>
        <w:rPr/>
        <w:t>WEB应用安全防护系统、运维安全审计、文档加密系统等五类。同时，公司依托现有产品成果，研发建设互联网安全服务平 台，开展信息安全服务化业务。 </w:t>
      </w:r>
    </w:p>
    <w:p>
      <w:pPr>
        <w:pStyle w:val="BodyText"/>
        <w:spacing w:line="319" w:lineRule="auto" w:before="55"/>
        <w:ind w:left="153" w:right="191" w:firstLine="360"/>
        <w:jc w:val="both"/>
      </w:pPr>
      <w:r>
        <w:rPr>
          <w:spacing w:val="-2"/>
        </w:rPr>
        <w:t>2015年，公司紧跟软件技术的最新发展水平，以长期的实践经验积累和对行业业务模型的深刻理解为基础，加强对所在</w:t>
      </w:r>
      <w:r>
        <w:rPr/>
        <w:t> </w:t>
      </w:r>
      <w:r>
        <w:rPr>
          <w:spacing w:val="-2"/>
        </w:rPr>
        <w:t>行业细分领域业务和技术发展趋势的研究、储备，以巩固和提高公司的技术竞争力。围绕专注的行业领域，进行共性基础平</w:t>
      </w:r>
      <w:r>
        <w:rPr>
          <w:spacing w:val="-66"/>
        </w:rPr>
        <w:t> </w:t>
      </w:r>
      <w:r>
        <w:rPr>
          <w:spacing w:val="-66"/>
        </w:rPr>
      </w:r>
      <w:r>
        <w:rPr>
          <w:spacing w:val="-2"/>
        </w:rPr>
        <w:t>台和关键核心技术研发和创新，积极承担国家和地方支持的移动信息化平台技术、业务架构支撑平台技术等关键技术和专项</w:t>
      </w:r>
      <w:r>
        <w:rPr>
          <w:spacing w:val="-64"/>
        </w:rPr>
        <w:t> </w:t>
      </w:r>
      <w:r>
        <w:rPr>
          <w:spacing w:val="-64"/>
        </w:rPr>
      </w:r>
      <w:r>
        <w:rPr/>
        <w:t>研究。 </w:t>
      </w:r>
    </w:p>
    <w:p>
      <w:pPr>
        <w:pStyle w:val="BodyText"/>
        <w:spacing w:line="357" w:lineRule="auto" w:before="58"/>
        <w:ind w:left="513" w:right="0"/>
        <w:jc w:val="left"/>
      </w:pPr>
      <w:r>
        <w:rPr/>
        <w:t>2、主要经营模式 </w:t>
      </w:r>
      <w:r>
        <w:rPr>
          <w:spacing w:val="-2"/>
        </w:rPr>
        <w:t>公司业务模式包括软件产品开发及服务与计算机系统集成业务。公司将生产经营所需的软硬件设备、原材料、物品、外</w:t>
      </w:r>
    </w:p>
    <w:p>
      <w:pPr>
        <w:pStyle w:val="BodyText"/>
        <w:spacing w:line="224" w:lineRule="exact"/>
        <w:ind w:left="153" w:right="0"/>
        <w:jc w:val="left"/>
      </w:pPr>
      <w:r>
        <w:rPr/>
        <w:t>包项目均列入公司统一采购范畴。采购的产品由物流部和采购申请部门进行验收，并实行采购负责制度。销售模式上，根据</w:t>
      </w:r>
    </w:p>
    <w:p>
      <w:pPr>
        <w:pStyle w:val="BodyText"/>
        <w:spacing w:line="319" w:lineRule="auto" w:before="76"/>
        <w:ind w:left="153" w:right="0"/>
        <w:jc w:val="left"/>
      </w:pPr>
      <w:r>
        <w:rPr>
          <w:spacing w:val="-2"/>
        </w:rPr>
        <w:t>公司业务特点，主要采用直销、渠道代销或两者相结合的方式。部分产品销售采用SaaS模式，通过互联网向用户提供软件产</w:t>
      </w:r>
      <w:r>
        <w:rPr>
          <w:spacing w:val="-62"/>
        </w:rPr>
        <w:t> </w:t>
      </w:r>
      <w:r>
        <w:rPr>
          <w:spacing w:val="-62"/>
        </w:rPr>
      </w:r>
      <w:r>
        <w:rPr/>
        <w:t>品和服务，用户不再购买软件产品，而以租用方式来使用软件。 </w:t>
      </w:r>
    </w:p>
    <w:p>
      <w:pPr>
        <w:pStyle w:val="BodyText"/>
        <w:spacing w:line="360" w:lineRule="auto" w:before="56"/>
        <w:ind w:left="513" w:right="4590"/>
        <w:jc w:val="left"/>
      </w:pPr>
      <w:r>
        <w:rPr/>
        <w:t>3、行业发展阶段 公司所属行业为信息产业中的软件和信息技术服务业。 </w:t>
      </w:r>
    </w:p>
    <w:p>
      <w:pPr>
        <w:pStyle w:val="BodyText"/>
        <w:spacing w:line="319" w:lineRule="auto" w:before="25"/>
        <w:ind w:left="153" w:right="0" w:firstLine="360"/>
        <w:jc w:val="left"/>
      </w:pPr>
      <w:r>
        <w:rPr>
          <w:spacing w:val="-2"/>
        </w:rPr>
        <w:t>国内软件和信息技术服务业作为“战略性新兴产业”，受益于国家对新一代信息技术产业持续的政策和资金扶持，市场</w:t>
      </w:r>
      <w:r>
        <w:rPr/>
        <w:t> </w:t>
      </w:r>
      <w:r>
        <w:rPr>
          <w:spacing w:val="-2"/>
        </w:rPr>
        <w:t>规模持续扩大。同时，国民经济的发展和社会信息化的建设，引导社会各方面力量向软件产业领域持续投入，也将为软件产</w:t>
      </w:r>
      <w:r>
        <w:rPr>
          <w:spacing w:val="-66"/>
        </w:rPr>
        <w:t> </w:t>
      </w:r>
      <w:r>
        <w:rPr>
          <w:spacing w:val="-66"/>
        </w:rPr>
      </w:r>
      <w:r>
        <w:rPr>
          <w:spacing w:val="-4"/>
        </w:rPr>
        <w:t>业的发展提供巨大的需求。未来，信息技术创新不断加快，信息领域新产品、新服务、新业态大量涌现，在云计算、大数据、</w:t>
      </w:r>
      <w:r>
        <w:rPr>
          <w:spacing w:val="-50"/>
        </w:rPr>
        <w:t> </w:t>
      </w:r>
      <w:r>
        <w:rPr>
          <w:spacing w:val="-50"/>
        </w:rPr>
      </w:r>
      <w:r>
        <w:rPr>
          <w:spacing w:val="-2"/>
        </w:rPr>
        <w:t>物联网、移动互联网等新一代信息技术驱动下，将进一步加快软件业向服务化转型的步伐，使社会各领域信息化水平持续提</w:t>
      </w:r>
      <w:r>
        <w:rPr>
          <w:spacing w:val="-66"/>
        </w:rPr>
        <w:t> </w:t>
      </w:r>
      <w:r>
        <w:rPr>
          <w:spacing w:val="-66"/>
        </w:rPr>
      </w:r>
      <w:r>
        <w:rPr>
          <w:spacing w:val="-2"/>
        </w:rPr>
        <w:t>升。围绕着智慧城市建设、信息惠民工程建设，民生服务应用、政府信息化、信息基础设施建设等新的市场需求将不断被激</w:t>
      </w:r>
      <w:r>
        <w:rPr>
          <w:spacing w:val="-66"/>
        </w:rPr>
        <w:t> </w:t>
      </w:r>
      <w:r>
        <w:rPr>
          <w:spacing w:val="-66"/>
        </w:rPr>
      </w:r>
      <w:r>
        <w:rPr/>
        <w:t>发，为中国IT企业带来新的市场机遇和发展活力。 </w:t>
      </w:r>
    </w:p>
    <w:p>
      <w:pPr>
        <w:pStyle w:val="BodyText"/>
        <w:spacing w:line="300" w:lineRule="auto" w:before="55"/>
        <w:ind w:right="188" w:firstLine="360"/>
        <w:jc w:val="both"/>
      </w:pPr>
      <w:r>
        <w:rPr>
          <w:spacing w:val="-1"/>
        </w:rPr>
        <w:t>公司连续</w:t>
      </w:r>
      <w:r>
        <w:rPr>
          <w:rFonts w:ascii="Times New Roman" w:hAnsi="Times New Roman" w:cs="Times New Roman" w:eastAsia="Times New Roman" w:hint="default"/>
          <w:spacing w:val="-1"/>
        </w:rPr>
        <w:t>15</w:t>
      </w:r>
      <w:r>
        <w:rPr>
          <w:spacing w:val="-1"/>
        </w:rPr>
        <w:t>年被评为</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w:t>
      </w:r>
      <w:r>
        <w:rPr>
          <w:spacing w:val="-1"/>
        </w:rPr>
        <w:t>国家</w:t>
      </w:r>
      <w:r>
        <w:rPr>
          <w:rFonts w:ascii="Times New Roman" w:hAnsi="Times New Roman" w:cs="Times New Roman" w:eastAsia="Times New Roman" w:hint="default"/>
          <w:spacing w:val="-1"/>
        </w:rPr>
        <w:t>863</w:t>
      </w:r>
      <w:r>
        <w:rPr>
          <w:spacing w:val="-1"/>
        </w:rPr>
        <w:t>计划成果产业化基地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国家火炬计划重点高新技术</w:t>
      </w:r>
      <w:r>
        <w:rPr/>
        <w:t> 企业</w:t>
      </w:r>
      <w:r>
        <w:rPr>
          <w:rFonts w:ascii="Times New Roman" w:hAnsi="Times New Roman" w:cs="Times New Roman" w:eastAsia="Times New Roman" w:hint="default"/>
        </w:rPr>
        <w:t>”</w:t>
      </w:r>
      <w:r>
        <w:rPr/>
        <w:t>，被认定为</w:t>
      </w:r>
      <w:r>
        <w:rPr>
          <w:rFonts w:ascii="Times New Roman" w:hAnsi="Times New Roman" w:cs="Times New Roman" w:eastAsia="Times New Roman" w:hint="default"/>
        </w:rPr>
        <w:t>“</w:t>
      </w:r>
      <w:r>
        <w:rPr/>
        <w:t>福建省省级企业技术中心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福建省软件技术研发中心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福州软件园博士后工作站榕基分站</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 创新型企业</w:t>
      </w:r>
      <w:r>
        <w:rPr>
          <w:rFonts w:ascii="Times New Roman" w:hAnsi="Times New Roman" w:cs="Times New Roman" w:eastAsia="Times New Roman" w:hint="default"/>
        </w:rPr>
        <w:t>”</w:t>
      </w:r>
      <w:r>
        <w:rPr/>
        <w:t>，曾荣获</w:t>
      </w:r>
      <w:r>
        <w:rPr>
          <w:rFonts w:ascii="Times New Roman" w:hAnsi="Times New Roman" w:cs="Times New Roman" w:eastAsia="Times New Roman" w:hint="default"/>
        </w:rPr>
        <w:t>“</w:t>
      </w:r>
      <w:r>
        <w:rPr/>
        <w:t>中国十大创新软件企业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福建省战略性新兴产业骨干企业</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1" w:firstLine="360"/>
        <w:jc w:val="both"/>
      </w:pPr>
      <w:r>
        <w:rPr>
          <w:spacing w:val="-2"/>
        </w:rPr>
        <w:t>公司自成立以来专注于软件产品的开发与销售、计算机系统集成及技术支持与服务，经过多年的不懈努力，已在客户资</w:t>
      </w:r>
      <w:r>
        <w:rPr/>
        <w:t> </w:t>
      </w:r>
      <w:r>
        <w:rPr>
          <w:spacing w:val="-2"/>
        </w:rPr>
        <w:t>源、技术创新、行业经验、企业管理与人力资源、销售和服务网络等方面形成了公司的核心竞争力，成为国内知名的软件产</w:t>
      </w:r>
      <w:r>
        <w:rPr>
          <w:spacing w:val="-66"/>
        </w:rPr>
        <w:t> </w:t>
      </w:r>
      <w:r>
        <w:rPr>
          <w:spacing w:val="-66"/>
        </w:rPr>
      </w:r>
      <w:r>
        <w:rPr/>
        <w:t>品和服务提供商。 </w:t>
      </w:r>
    </w:p>
    <w:p>
      <w:pPr>
        <w:pStyle w:val="BodyText"/>
        <w:spacing w:line="357" w:lineRule="auto" w:before="56"/>
        <w:ind w:left="514" w:right="0"/>
        <w:jc w:val="left"/>
      </w:pPr>
      <w:r>
        <w:rPr/>
        <w:t>1、客户资源 </w:t>
      </w:r>
      <w:r>
        <w:rPr>
          <w:spacing w:val="-2"/>
        </w:rPr>
        <w:t>公司经过24年的发展和积累，客户涵盖了政府、军事机关、质检、能源和电信等重要机关和行业，拥有了广泛、优质的</w:t>
      </w:r>
    </w:p>
    <w:p>
      <w:pPr>
        <w:pStyle w:val="BodyText"/>
        <w:spacing w:line="224" w:lineRule="exact"/>
        <w:ind w:right="0"/>
        <w:jc w:val="left"/>
      </w:pPr>
      <w:r>
        <w:rPr/>
        <w:t>客户资源，公司客户群整体质量突出。公司始终强调品牌建设，重视客户需求，技术支持和服务到位，客户满意度和忠诚度</w:t>
      </w:r>
    </w:p>
    <w:p>
      <w:pPr>
        <w:pStyle w:val="BodyText"/>
        <w:spacing w:line="360" w:lineRule="auto" w:before="77"/>
        <w:ind w:left="514" w:right="2791" w:hanging="360"/>
        <w:jc w:val="left"/>
      </w:pPr>
      <w:r>
        <w:rPr/>
        <w:t>较高，客户对公司各类产品形成了较强的粘性，稳定客户的保有率不断提高。 2、技术领先性和创新性 </w:t>
      </w:r>
    </w:p>
    <w:p>
      <w:pPr>
        <w:spacing w:after="0" w:line="36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before="44"/>
        <w:ind w:right="171" w:firstLine="360"/>
        <w:jc w:val="left"/>
      </w:pPr>
      <w:r>
        <w:rPr>
          <w:spacing w:val="-1"/>
        </w:rPr>
        <w:t>公司连续</w:t>
      </w:r>
      <w:r>
        <w:rPr>
          <w:rFonts w:ascii="Times New Roman" w:hAnsi="Times New Roman" w:cs="Times New Roman" w:eastAsia="Times New Roman" w:hint="default"/>
          <w:spacing w:val="-1"/>
        </w:rPr>
        <w:t>15</w:t>
      </w:r>
      <w:r>
        <w:rPr>
          <w:spacing w:val="-1"/>
        </w:rPr>
        <w:t>年被评为</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w:t>
      </w:r>
      <w:r>
        <w:rPr>
          <w:spacing w:val="-1"/>
        </w:rPr>
        <w:t>国家</w:t>
      </w:r>
      <w:r>
        <w:rPr>
          <w:rFonts w:ascii="Times New Roman" w:hAnsi="Times New Roman" w:cs="Times New Roman" w:eastAsia="Times New Roman" w:hint="default"/>
          <w:spacing w:val="-1"/>
        </w:rPr>
        <w:t>863</w:t>
      </w:r>
      <w:r>
        <w:rPr>
          <w:spacing w:val="-1"/>
        </w:rPr>
        <w:t>计划成果产业化基地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国家火炬计划重点高新技术</w:t>
      </w:r>
      <w:r>
        <w:rPr/>
        <w:t> 企业</w:t>
      </w:r>
      <w:r>
        <w:rPr>
          <w:rFonts w:ascii="Times New Roman" w:hAnsi="Times New Roman" w:cs="Times New Roman" w:eastAsia="Times New Roman" w:hint="default"/>
        </w:rPr>
        <w:t>”</w:t>
      </w:r>
      <w:r>
        <w:rPr/>
        <w:t>，被认定为</w:t>
      </w:r>
      <w:r>
        <w:rPr>
          <w:rFonts w:ascii="Times New Roman" w:hAnsi="Times New Roman" w:cs="Times New Roman" w:eastAsia="Times New Roman" w:hint="default"/>
        </w:rPr>
        <w:t>“</w:t>
      </w:r>
      <w:r>
        <w:rPr/>
        <w:t>福建省省级企业技术中心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福建省软件技术研发中心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福州软件园博士后工作站榕基分站</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 创新型企业</w:t>
      </w:r>
      <w:r>
        <w:rPr>
          <w:rFonts w:ascii="Times New Roman" w:hAnsi="Times New Roman" w:cs="Times New Roman" w:eastAsia="Times New Roman" w:hint="default"/>
        </w:rPr>
        <w:t>”</w:t>
      </w:r>
      <w:r>
        <w:rPr/>
        <w:t>，曾荣获</w:t>
      </w:r>
      <w:r>
        <w:rPr>
          <w:rFonts w:ascii="Times New Roman" w:hAnsi="Times New Roman" w:cs="Times New Roman" w:eastAsia="Times New Roman" w:hint="default"/>
        </w:rPr>
        <w:t>“</w:t>
      </w:r>
      <w:r>
        <w:rPr/>
        <w:t>中国十大创新软件企业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福建省战略性新兴产业骨干企业</w:t>
      </w:r>
      <w:r>
        <w:rPr>
          <w:rFonts w:ascii="Times New Roman" w:hAnsi="Times New Roman" w:cs="Times New Roman" w:eastAsia="Times New Roman" w:hint="default"/>
        </w:rPr>
        <w:t>”</w:t>
      </w:r>
      <w:r>
        <w:rPr/>
        <w:t>。公司作 为中国软件产品开发与销售的先行者之一，建立了以企业技术中心为核心的创新体系，多次承担国家863项目、电子信息产 </w:t>
      </w:r>
      <w:r>
        <w:rPr>
          <w:spacing w:val="-2"/>
        </w:rPr>
        <w:t>业发展基金、创新基金以及高科技产业化专项基金项目课题，在所处领域中拥有多项国内领先的创新技术，已形成较强的核</w:t>
      </w:r>
      <w:r>
        <w:rPr>
          <w:spacing w:val="-66"/>
        </w:rPr>
        <w:t> </w:t>
      </w:r>
      <w:r>
        <w:rPr>
          <w:spacing w:val="-66"/>
        </w:rPr>
      </w:r>
      <w:r>
        <w:rPr/>
        <w:t>心技术竞争力。 </w:t>
      </w:r>
    </w:p>
    <w:p>
      <w:pPr>
        <w:pStyle w:val="BodyText"/>
        <w:spacing w:line="309" w:lineRule="auto" w:before="64"/>
        <w:ind w:right="90" w:firstLine="360"/>
        <w:jc w:val="left"/>
      </w:pPr>
      <w:r>
        <w:rPr>
          <w:spacing w:val="-2"/>
        </w:rPr>
        <w:t>公司结合自身条件和外部市场环境，在移动办公云平台、智慧城市、中小企业信息化、智能电网等新业务方向上取得了</w:t>
      </w:r>
      <w:r>
        <w:rPr/>
        <w:t> 许多先进技术的创新。截至目前，公司拥有</w:t>
      </w:r>
      <w:r>
        <w:rPr>
          <w:rFonts w:ascii="Arial" w:hAnsi="Arial" w:cs="Arial" w:eastAsia="Arial" w:hint="default"/>
        </w:rPr>
        <w:t>“</w:t>
      </w:r>
      <w:r>
        <w:rPr/>
        <w:t>榕基</w:t>
      </w:r>
      <w:r>
        <w:rPr>
          <w:rFonts w:ascii="Arial" w:hAnsi="Arial" w:cs="Arial" w:eastAsia="Arial" w:hint="default"/>
        </w:rPr>
        <w:t>”</w:t>
      </w:r>
      <w:r>
        <w:rPr/>
        <w:t>品牌的自主知识产权包括</w:t>
      </w:r>
      <w:r>
        <w:rPr>
          <w:rFonts w:ascii="Arial" w:hAnsi="Arial" w:cs="Arial" w:eastAsia="Arial" w:hint="default"/>
        </w:rPr>
        <w:t>24</w:t>
      </w:r>
      <w:r>
        <w:rPr/>
        <w:t>项专利（发明专利</w:t>
      </w:r>
      <w:r>
        <w:rPr>
          <w:rFonts w:ascii="Arial" w:hAnsi="Arial" w:cs="Arial" w:eastAsia="Arial" w:hint="default"/>
        </w:rPr>
        <w:t>11</w:t>
      </w:r>
      <w:r>
        <w:rPr/>
        <w:t>项，实用新型专利</w:t>
      </w:r>
      <w:r>
        <w:rPr>
          <w:rFonts w:ascii="Arial" w:hAnsi="Arial" w:cs="Arial" w:eastAsia="Arial" w:hint="default"/>
        </w:rPr>
        <w:t>9</w:t>
      </w:r>
      <w:r>
        <w:rPr/>
        <w:t>项、 </w:t>
      </w:r>
      <w:r>
        <w:rPr>
          <w:spacing w:val="-2"/>
        </w:rPr>
        <w:t>外观新型专利</w:t>
      </w:r>
      <w:r>
        <w:rPr>
          <w:rFonts w:ascii="Arial" w:hAnsi="Arial" w:cs="Arial" w:eastAsia="Arial" w:hint="default"/>
          <w:spacing w:val="-2"/>
        </w:rPr>
        <w:t>4</w:t>
      </w:r>
      <w:r>
        <w:rPr>
          <w:spacing w:val="-2"/>
        </w:rPr>
        <w:t>项），发明专利申请数（已受理在审）</w:t>
      </w:r>
      <w:r>
        <w:rPr>
          <w:rFonts w:ascii="Arial" w:hAnsi="Arial" w:cs="Arial" w:eastAsia="Arial" w:hint="default"/>
          <w:spacing w:val="-2"/>
        </w:rPr>
        <w:t>29</w:t>
      </w:r>
      <w:r>
        <w:rPr>
          <w:spacing w:val="-2"/>
        </w:rPr>
        <w:t>项，</w:t>
      </w:r>
      <w:r>
        <w:rPr>
          <w:rFonts w:ascii="Arial" w:hAnsi="Arial" w:cs="Arial" w:eastAsia="Arial" w:hint="default"/>
          <w:spacing w:val="-2"/>
        </w:rPr>
        <w:t>138</w:t>
      </w:r>
      <w:r>
        <w:rPr>
          <w:spacing w:val="-2"/>
        </w:rPr>
        <w:t>项计算机软件著作权及</w:t>
      </w:r>
      <w:r>
        <w:rPr>
          <w:rFonts w:ascii="Arial" w:hAnsi="Arial" w:cs="Arial" w:eastAsia="Arial" w:hint="default"/>
          <w:spacing w:val="-2"/>
        </w:rPr>
        <w:t>108</w:t>
      </w:r>
      <w:r>
        <w:rPr>
          <w:spacing w:val="-2"/>
        </w:rPr>
        <w:t>项软件产品登记证书。公司多个</w:t>
      </w:r>
      <w:r>
        <w:rPr>
          <w:spacing w:val="-68"/>
        </w:rPr>
        <w:t> </w:t>
      </w:r>
      <w:r>
        <w:rPr>
          <w:spacing w:val="-68"/>
        </w:rPr>
      </w:r>
      <w:r>
        <w:rPr/>
        <w:t>自主知识产权的软件产品和技术达到国内领先水平和国际先进水平，近年来有多个自主产品被列入国家和省部级创新产品， 获得多项国家、省、市科技进步奖和优秀产品等荣誉。</w:t>
      </w:r>
    </w:p>
    <w:p>
      <w:pPr>
        <w:pStyle w:val="BodyText"/>
        <w:spacing w:line="357" w:lineRule="auto" w:before="65"/>
        <w:ind w:left="514" w:right="180"/>
        <w:jc w:val="left"/>
      </w:pPr>
      <w:r>
        <w:rPr/>
        <w:t>3、行业经验 公司作为四大主营业务领域的龙头企业和骨干企业，承担了金质工程、金环工程、天平工程、SG186工程、信息安全内</w:t>
      </w:r>
    </w:p>
    <w:p>
      <w:pPr>
        <w:pStyle w:val="BodyText"/>
        <w:spacing w:line="224" w:lineRule="exact"/>
        <w:ind w:right="0"/>
        <w:jc w:val="left"/>
      </w:pPr>
      <w:r>
        <w:rPr/>
        <w:t>控运维、政府政务云计算平台等国家重大信息化项目以及多个行业核心业务支撑系统和关键共性技术平台，具有典型示范和</w:t>
      </w:r>
    </w:p>
    <w:p>
      <w:pPr>
        <w:pStyle w:val="BodyText"/>
        <w:spacing w:line="357" w:lineRule="auto" w:before="77"/>
        <w:ind w:left="514" w:right="6700" w:hanging="360"/>
        <w:jc w:val="left"/>
      </w:pPr>
      <w:r>
        <w:rPr/>
        <w:t>辐射带动作用。 4、企业管理与人力资源 </w:t>
      </w:r>
    </w:p>
    <w:p>
      <w:pPr>
        <w:pStyle w:val="BodyText"/>
        <w:spacing w:line="319" w:lineRule="auto" w:before="28"/>
        <w:ind w:right="189" w:firstLine="360"/>
        <w:jc w:val="both"/>
      </w:pPr>
      <w:r>
        <w:rPr>
          <w:spacing w:val="-2"/>
        </w:rPr>
        <w:t>报告期内，公司通过了信息安全与IT服务两大管理体系认证，提高了识别信息风险能力，保障了企业信息安全，提高了</w:t>
      </w:r>
      <w:r>
        <w:rPr/>
        <w:t> </w:t>
      </w:r>
      <w:r>
        <w:rPr>
          <w:spacing w:val="-2"/>
        </w:rPr>
        <w:t>服务质量，降低了服务成本。通过这些管理能力的提高，公司能更加有效地交付管理服务以满足业务和客户的需求，更具备</w:t>
      </w:r>
      <w:r>
        <w:rPr>
          <w:spacing w:val="-66"/>
        </w:rPr>
        <w:t> </w:t>
      </w:r>
      <w:r>
        <w:rPr>
          <w:spacing w:val="-66"/>
        </w:rPr>
      </w:r>
      <w:r>
        <w:rPr>
          <w:spacing w:val="-2"/>
        </w:rPr>
        <w:t>持续控制和改善IT服务的能力以此，强化了榕基软件在体系管理方面的能力，进一步提高了经营管理和市场认可度，增强了</w:t>
      </w:r>
      <w:r>
        <w:rPr>
          <w:spacing w:val="-64"/>
        </w:rPr>
        <w:t> </w:t>
      </w:r>
      <w:r>
        <w:rPr>
          <w:spacing w:val="-64"/>
        </w:rPr>
      </w:r>
      <w:r>
        <w:rPr/>
        <w:t>市场竞争力。 </w:t>
      </w:r>
    </w:p>
    <w:p>
      <w:pPr>
        <w:pStyle w:val="BodyText"/>
        <w:spacing w:line="319" w:lineRule="auto" w:before="55"/>
        <w:ind w:right="0" w:firstLine="360"/>
        <w:jc w:val="left"/>
      </w:pPr>
      <w:r>
        <w:rPr>
          <w:spacing w:val="-2"/>
        </w:rPr>
        <w:t>公司在多年的经营实践中形成了稳定的、受过良好教育又具有行业经验的核心管理团队和优秀的、富有经验的研发技术</w:t>
      </w:r>
      <w:r>
        <w:rPr/>
        <w:t> </w:t>
      </w:r>
      <w:r>
        <w:rPr>
          <w:spacing w:val="-4"/>
        </w:rPr>
        <w:t>团队。公司建立了人员招聘体系、职务职责体系、薪酬福利体系、绩效考核体系、研发和创新激励体系等一系列机制，吸引、</w:t>
      </w:r>
      <w:r>
        <w:rPr>
          <w:spacing w:val="-44"/>
        </w:rPr>
        <w:t> </w:t>
      </w:r>
      <w:r>
        <w:rPr>
          <w:spacing w:val="-44"/>
        </w:rPr>
      </w:r>
      <w:r>
        <w:rPr>
          <w:spacing w:val="-2"/>
        </w:rPr>
        <w:t>培养了一支技术水平高、经验丰富、富有团队协作精神，且对公司的企业文化有较高的认同感的研发技术团队，为公司规模</w:t>
      </w:r>
      <w:r>
        <w:rPr>
          <w:spacing w:val="-66"/>
        </w:rPr>
        <w:t> </w:t>
      </w:r>
      <w:r>
        <w:rPr>
          <w:spacing w:val="-66"/>
        </w:rPr>
      </w:r>
      <w:r>
        <w:rPr/>
        <w:t>化发展提供了有力的保障。 </w:t>
      </w:r>
    </w:p>
    <w:p>
      <w:pPr>
        <w:pStyle w:val="BodyText"/>
        <w:spacing w:line="357" w:lineRule="auto" w:before="56"/>
        <w:ind w:left="514" w:right="0"/>
        <w:jc w:val="left"/>
      </w:pPr>
      <w:r>
        <w:rPr/>
        <w:t>5、销售和服务网络 </w:t>
      </w:r>
      <w:r>
        <w:rPr>
          <w:spacing w:val="-4"/>
        </w:rPr>
        <w:t>公司以产品运作和渠道拓展为基础，积极发展分销产品业务，致力于成为厂商和用户之间具有核心价值的信息交换桥梁。</w:t>
      </w:r>
    </w:p>
    <w:p>
      <w:pPr>
        <w:pStyle w:val="BodyText"/>
        <w:spacing w:line="224" w:lineRule="exact"/>
        <w:ind w:right="0"/>
        <w:jc w:val="left"/>
      </w:pPr>
      <w:r>
        <w:rPr/>
        <w:t>报告期内，公司通过双方的区域战略、行业战略等多方面产业链整合，分销业务取得了较好的销售规模，与国内众多的渠道</w:t>
      </w:r>
    </w:p>
    <w:p>
      <w:pPr>
        <w:pStyle w:val="BodyText"/>
        <w:spacing w:line="357" w:lineRule="auto" w:before="77"/>
        <w:ind w:left="514" w:right="180" w:hanging="360"/>
        <w:jc w:val="left"/>
      </w:pPr>
      <w:r>
        <w:rPr/>
        <w:t>商建立了业务联系，并通过渠道商对公司自主软件产品的积极影响力扩大了公司软件产品的销售规模。 截至报告期末，公司新建、扩建运维服务网点共130多个，提高了运维服务网络的覆盖率，完善了包括客户服务支持系</w:t>
      </w:r>
    </w:p>
    <w:p>
      <w:pPr>
        <w:pStyle w:val="BodyText"/>
        <w:spacing w:line="225" w:lineRule="exact"/>
        <w:ind w:right="0"/>
        <w:jc w:val="left"/>
      </w:pPr>
      <w:r>
        <w:rPr>
          <w:spacing w:val="-4"/>
        </w:rPr>
        <w:t>统、客户服务中心、服务管理体系在内的运维服务体系，提高了公司的运维服务能力和服务质量，进一步提高了市场占有率。</w:t>
      </w:r>
    </w:p>
    <w:p>
      <w:pPr>
        <w:spacing w:after="0" w:line="225" w:lineRule="exact"/>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6"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6" w:right="88" w:hanging="3"/>
        <w:jc w:val="left"/>
      </w:pPr>
      <w:r>
        <w:rPr>
          <w:rFonts w:ascii="Times New Roman" w:hAnsi="Times New Roman" w:cs="Times New Roman" w:eastAsia="Times New Roman" w:hint="default"/>
        </w:rPr>
        <w:t>1</w:t>
      </w:r>
      <w:r>
        <w:rPr/>
        <w:t>、总体经营情况 报告期内，在公司经营管理班子和全体员工的共同努力下，公司继续推进软件“行业化、产品化、服务化”经营布局，</w:t>
      </w:r>
    </w:p>
    <w:p>
      <w:pPr>
        <w:pStyle w:val="BodyText"/>
        <w:spacing w:line="316" w:lineRule="auto" w:before="31"/>
        <w:ind w:left="153" w:right="189"/>
        <w:jc w:val="both"/>
      </w:pPr>
      <w:r>
        <w:rPr>
          <w:spacing w:val="-2"/>
        </w:rPr>
        <w:t>持续加大产品研发的投入和力度，巩固了电子政务、信息安全、质检三电工程和协同管理四大业务领域优势，积极培育以移</w:t>
      </w:r>
      <w:r>
        <w:rPr>
          <w:spacing w:val="-66"/>
        </w:rPr>
        <w:t> </w:t>
      </w:r>
      <w:r>
        <w:rPr>
          <w:spacing w:val="-66"/>
        </w:rPr>
      </w:r>
      <w:r>
        <w:rPr>
          <w:spacing w:val="-2"/>
        </w:rPr>
        <w:t>动通讯技术、物联网技术为基础的新业务，致力于传统和创新两大运营服务体系建设，开拓了新的业务增长点，提升了公司</w:t>
      </w:r>
      <w:r>
        <w:rPr>
          <w:spacing w:val="-66"/>
        </w:rPr>
        <w:t> </w:t>
      </w:r>
      <w:r>
        <w:rPr>
          <w:spacing w:val="-66"/>
        </w:rPr>
      </w:r>
      <w:r>
        <w:rPr/>
        <w:t>的竞争力。</w:t>
      </w:r>
    </w:p>
    <w:p>
      <w:pPr>
        <w:pStyle w:val="BodyText"/>
        <w:spacing w:line="304" w:lineRule="auto" w:before="59"/>
        <w:ind w:right="0" w:firstLine="360"/>
        <w:jc w:val="left"/>
      </w:pPr>
      <w:r>
        <w:rPr>
          <w:rFonts w:ascii="Times New Roman" w:hAnsi="Times New Roman" w:cs="Times New Roman" w:eastAsia="Times New Roman" w:hint="default"/>
        </w:rPr>
        <w:t>2015</w:t>
      </w:r>
      <w:r>
        <w:rPr/>
        <w:t>年公司共实现营业收入</w:t>
      </w:r>
      <w:r>
        <w:rPr>
          <w:rFonts w:ascii="Times New Roman" w:hAnsi="Times New Roman" w:cs="Times New Roman" w:eastAsia="Times New Roman" w:hint="default"/>
        </w:rPr>
        <w:t>62,360.21</w:t>
      </w:r>
      <w:r>
        <w:rPr/>
        <w:t>万元，比上年同期增加</w:t>
      </w:r>
      <w:r>
        <w:rPr>
          <w:rFonts w:ascii="Times New Roman" w:hAnsi="Times New Roman" w:cs="Times New Roman" w:eastAsia="Times New Roman" w:hint="default"/>
        </w:rPr>
        <w:t>4.23%</w:t>
      </w:r>
      <w:r>
        <w:rPr/>
        <w:t>；营业成本比上年同期减少</w:t>
      </w:r>
      <w:r>
        <w:rPr>
          <w:rFonts w:ascii="Times New Roman" w:hAnsi="Times New Roman" w:cs="Times New Roman" w:eastAsia="Times New Roman" w:hint="default"/>
        </w:rPr>
        <w:t>1.62%</w:t>
      </w:r>
      <w:r>
        <w:rPr/>
        <w:t>，主要是报告期对 </w:t>
      </w:r>
      <w:r>
        <w:rPr>
          <w:spacing w:val="-2"/>
        </w:rPr>
        <w:t>毛利贡献较高的软件及服务收入较上年同期增长，成本略有减少；销售费用比上年同期略有减少，管理费用比上年同期增长</w:t>
      </w:r>
      <w:r>
        <w:rPr>
          <w:spacing w:val="-66"/>
        </w:rPr>
        <w:t> </w:t>
      </w:r>
      <w:r>
        <w:rPr>
          <w:spacing w:val="-66"/>
        </w:rPr>
      </w:r>
      <w:r>
        <w:rPr>
          <w:rFonts w:ascii="Times New Roman" w:hAnsi="Times New Roman" w:cs="Times New Roman" w:eastAsia="Times New Roman" w:hint="default"/>
          <w:spacing w:val="-1"/>
        </w:rPr>
        <w:t>21.13%</w:t>
      </w:r>
      <w:r>
        <w:rPr>
          <w:spacing w:val="-1"/>
        </w:rPr>
        <w:t>，主要是报告期职工薪酬、研发支出、无形资产摊销费用等增加；财务费用比上年同期增加</w:t>
      </w:r>
      <w:r>
        <w:rPr>
          <w:rFonts w:ascii="Times New Roman" w:hAnsi="Times New Roman" w:cs="Times New Roman" w:eastAsia="Times New Roman" w:hint="default"/>
          <w:spacing w:val="-1"/>
        </w:rPr>
        <w:t>137.07%</w:t>
      </w:r>
      <w:r>
        <w:rPr>
          <w:spacing w:val="-1"/>
        </w:rPr>
        <w:t>，主要是报告期</w:t>
      </w:r>
      <w:r>
        <w:rPr>
          <w:spacing w:val="-55"/>
        </w:rPr>
        <w:t> </w:t>
      </w:r>
      <w:r>
        <w:rPr>
          <w:spacing w:val="-55"/>
        </w:rPr>
      </w:r>
      <w:r>
        <w:rPr>
          <w:spacing w:val="-1"/>
        </w:rPr>
        <w:t>利息支出增加；经营活动产生的现金流量净额较上年同期增加</w:t>
      </w:r>
      <w:r>
        <w:rPr>
          <w:rFonts w:ascii="Times New Roman" w:hAnsi="Times New Roman" w:cs="Times New Roman" w:eastAsia="Times New Roman" w:hint="default"/>
          <w:spacing w:val="-1"/>
        </w:rPr>
        <w:t>141.71%</w:t>
      </w:r>
      <w:r>
        <w:rPr>
          <w:spacing w:val="-1"/>
        </w:rPr>
        <w:t>，主要是报告期销售商品、提供劳务收到的现金增加</w:t>
      </w:r>
      <w:r>
        <w:rPr>
          <w:spacing w:val="-44"/>
        </w:rPr>
        <w:t> </w:t>
      </w:r>
      <w:r>
        <w:rPr>
          <w:spacing w:val="-44"/>
        </w:rPr>
      </w:r>
      <w:r>
        <w:rPr/>
        <w:t>加；投资活动产生的现金流量净额较上年同期增加</w:t>
      </w:r>
      <w:r>
        <w:rPr>
          <w:rFonts w:ascii="Times New Roman" w:hAnsi="Times New Roman" w:cs="Times New Roman" w:eastAsia="Times New Roman" w:hint="default"/>
        </w:rPr>
        <w:t>63.16%</w:t>
      </w:r>
      <w:r>
        <w:rPr/>
        <w:t>，主要是报告期购置长期资产支付的现金减少。</w:t>
      </w:r>
    </w:p>
    <w:p>
      <w:pPr>
        <w:pStyle w:val="BodyText"/>
        <w:spacing w:line="240" w:lineRule="auto" w:before="47"/>
        <w:ind w:left="514" w:right="0"/>
        <w:jc w:val="left"/>
      </w:pPr>
      <w:r>
        <w:rPr>
          <w:rFonts w:ascii="Times New Roman" w:hAnsi="Times New Roman" w:cs="Times New Roman" w:eastAsia="Times New Roman" w:hint="default"/>
        </w:rPr>
        <w:t>2</w:t>
      </w:r>
      <w:r>
        <w:rPr/>
        <w:t>、报告期内公司重要经营管理事项回顾</w:t>
      </w:r>
    </w:p>
    <w:p>
      <w:pPr>
        <w:pStyle w:val="BodyText"/>
        <w:spacing w:line="300" w:lineRule="auto" w:before="63"/>
        <w:ind w:left="153" w:right="188" w:firstLine="360"/>
        <w:jc w:val="both"/>
      </w:pPr>
      <w:r>
        <w:rPr/>
        <w:t>（</w:t>
      </w:r>
      <w:r>
        <w:rPr>
          <w:rFonts w:ascii="Times New Roman" w:hAnsi="Times New Roman" w:cs="Times New Roman" w:eastAsia="Times New Roman" w:hint="default"/>
        </w:rPr>
        <w:t>1</w:t>
      </w:r>
      <w:r>
        <w:rPr/>
        <w:t>）公司积极回馈股东，维护广大投资者利益，树立良好形象。报告期公司根据《公司章程》及《公司分红政策及未 来三年股东回报规划（</w:t>
      </w:r>
      <w:r>
        <w:rPr>
          <w:rFonts w:ascii="Times New Roman" w:hAnsi="Times New Roman" w:cs="Times New Roman" w:eastAsia="Times New Roman" w:hint="default"/>
        </w:rPr>
        <w:t>2012-2014</w:t>
      </w:r>
      <w:r>
        <w:rPr/>
        <w:t>）》关于利润分配的相关条款，顺利完成了</w:t>
      </w:r>
      <w:r>
        <w:rPr>
          <w:rFonts w:ascii="Times New Roman" w:hAnsi="Times New Roman" w:cs="Times New Roman" w:eastAsia="Times New Roman" w:hint="default"/>
        </w:rPr>
        <w:t>2014</w:t>
      </w:r>
      <w:r>
        <w:rPr/>
        <w:t>年年度权益分配方案：以</w:t>
      </w:r>
      <w:r>
        <w:rPr>
          <w:rFonts w:ascii="Times New Roman" w:hAnsi="Times New Roman" w:cs="Times New Roman" w:eastAsia="Times New Roman" w:hint="default"/>
        </w:rPr>
        <w:t>2014</w:t>
      </w:r>
      <w:r>
        <w:rPr/>
        <w:t>年年末总股</w:t>
      </w:r>
      <w:r>
        <w:rPr>
          <w:spacing w:val="-60"/>
        </w:rPr>
        <w:t> </w:t>
      </w:r>
      <w:r>
        <w:rPr>
          <w:spacing w:val="-2"/>
        </w:rPr>
        <w:t>本</w:t>
      </w:r>
      <w:r>
        <w:rPr>
          <w:rFonts w:ascii="Times New Roman" w:hAnsi="Times New Roman" w:cs="Times New Roman" w:eastAsia="Times New Roman" w:hint="default"/>
          <w:spacing w:val="-2"/>
        </w:rPr>
        <w:t>622,200,000.00</w:t>
      </w:r>
      <w:r>
        <w:rPr>
          <w:spacing w:val="-2"/>
        </w:rPr>
        <w:t>股为基数，向全体股东每</w:t>
      </w:r>
      <w:r>
        <w:rPr>
          <w:rFonts w:ascii="Times New Roman" w:hAnsi="Times New Roman" w:cs="Times New Roman" w:eastAsia="Times New Roman" w:hint="default"/>
          <w:spacing w:val="-2"/>
        </w:rPr>
        <w:t>10</w:t>
      </w:r>
      <w:r>
        <w:rPr>
          <w:spacing w:val="-2"/>
        </w:rPr>
        <w:t>股派现金</w:t>
      </w:r>
      <w:r>
        <w:rPr>
          <w:rFonts w:ascii="Times New Roman" w:hAnsi="Times New Roman" w:cs="Times New Roman" w:eastAsia="Times New Roman" w:hint="default"/>
          <w:spacing w:val="-2"/>
        </w:rPr>
        <w:t>0.15</w:t>
      </w:r>
      <w:r>
        <w:rPr>
          <w:spacing w:val="-2"/>
        </w:rPr>
        <w:t>元（含税），共派发股利</w:t>
      </w:r>
      <w:r>
        <w:rPr>
          <w:rFonts w:ascii="Times New Roman" w:hAnsi="Times New Roman" w:cs="Times New Roman" w:eastAsia="Times New Roman" w:hint="default"/>
          <w:spacing w:val="-2"/>
        </w:rPr>
        <w:t>9,333,000</w:t>
      </w:r>
      <w:r>
        <w:rPr>
          <w:spacing w:val="-2"/>
        </w:rPr>
        <w:t>元；</w:t>
      </w:r>
      <w:r>
        <w:rPr>
          <w:rFonts w:ascii="Times New Roman" w:hAnsi="Times New Roman" w:cs="Times New Roman" w:eastAsia="Times New Roman" w:hint="default"/>
          <w:spacing w:val="-2"/>
        </w:rPr>
        <w:t>2014</w:t>
      </w:r>
      <w:r>
        <w:rPr>
          <w:spacing w:val="-2"/>
        </w:rPr>
        <w:t>年度公司不进行资本公</w:t>
      </w:r>
      <w:r>
        <w:rPr>
          <w:spacing w:val="-37"/>
        </w:rPr>
        <w:t> </w:t>
      </w:r>
      <w:r>
        <w:rPr>
          <w:spacing w:val="-37"/>
        </w:rPr>
      </w:r>
      <w:r>
        <w:rPr/>
        <w:t>积金转增股本。</w:t>
      </w:r>
      <w:r>
        <w:rPr>
          <w:rFonts w:ascii="Times New Roman" w:hAnsi="Times New Roman" w:cs="Times New Roman" w:eastAsia="Times New Roman" w:hint="default"/>
        </w:rPr>
        <w:t>5</w:t>
      </w:r>
      <w:r>
        <w:rPr/>
        <w:t>月，公司</w:t>
      </w:r>
      <w:r>
        <w:rPr>
          <w:rFonts w:ascii="Times New Roman" w:hAnsi="Times New Roman" w:cs="Times New Roman" w:eastAsia="Times New Roman" w:hint="default"/>
        </w:rPr>
        <w:t>2014</w:t>
      </w:r>
      <w:r>
        <w:rPr/>
        <w:t>年年度权益分配方案实施完毕。</w:t>
      </w:r>
    </w:p>
    <w:p>
      <w:pPr>
        <w:pStyle w:val="BodyText"/>
        <w:spacing w:line="240" w:lineRule="auto" w:before="13"/>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月，公司被国家科技部火炬高技术产业开发中心认定为</w:t>
      </w:r>
      <w:r>
        <w:rPr>
          <w:rFonts w:ascii="Times New Roman" w:hAnsi="Times New Roman" w:cs="Times New Roman" w:eastAsia="Times New Roman" w:hint="default"/>
        </w:rPr>
        <w:t>“</w:t>
      </w:r>
      <w:r>
        <w:rPr/>
        <w:t>国家火炬计划软件产业基地骨干企业</w:t>
      </w:r>
      <w:r>
        <w:rPr>
          <w:rFonts w:ascii="Times New Roman" w:hAnsi="Times New Roman" w:cs="Times New Roman" w:eastAsia="Times New Roman" w:hint="default"/>
        </w:rPr>
        <w:t>”</w:t>
      </w:r>
      <w:r>
        <w:rPr/>
        <w:t>。</w:t>
      </w:r>
    </w:p>
    <w:p>
      <w:pPr>
        <w:pStyle w:val="BodyText"/>
        <w:spacing w:line="300" w:lineRule="auto" w:before="63"/>
        <w:ind w:right="19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月，公司自主研发的软件产品</w:t>
      </w:r>
      <w:r>
        <w:rPr>
          <w:rFonts w:ascii="Times New Roman" w:hAnsi="Times New Roman" w:cs="Times New Roman" w:eastAsia="Times New Roman" w:hint="default"/>
        </w:rPr>
        <w:t>RJ-WAS</w:t>
      </w:r>
      <w:r>
        <w:rPr/>
        <w:t>榕基</w:t>
      </w:r>
      <w:r>
        <w:rPr>
          <w:rFonts w:ascii="Times New Roman" w:hAnsi="Times New Roman" w:cs="Times New Roman" w:eastAsia="Times New Roman" w:hint="default"/>
        </w:rPr>
        <w:t>WEB</w:t>
      </w:r>
      <w:r>
        <w:rPr/>
        <w:t>应用安全评估系统福建省人民政府核准授予</w:t>
      </w:r>
      <w:r>
        <w:rPr>
          <w:rFonts w:ascii="Times New Roman" w:hAnsi="Times New Roman" w:cs="Times New Roman" w:eastAsia="Times New Roman" w:hint="default"/>
        </w:rPr>
        <w:t>“2014</w:t>
      </w:r>
      <w:r>
        <w:rPr/>
        <w:t>年度福建省名</w:t>
      </w:r>
      <w:r>
        <w:rPr>
          <w:w w:val="100"/>
        </w:rPr>
        <w:t> </w:t>
      </w:r>
      <w:r>
        <w:rPr/>
        <w:t>牌产品</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荣誉称号。</w:t>
      </w:r>
    </w:p>
    <w:p>
      <w:pPr>
        <w:pStyle w:val="BodyText"/>
        <w:spacing w:line="300" w:lineRule="auto" w:before="13"/>
        <w:ind w:left="153" w:right="188"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4</w:t>
      </w:r>
      <w:r>
        <w:rPr/>
        <w:t>月，公司参股公司文鑫莲业申请在全国中小企业股份转让系统挂牌获受理，并于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日起在全国中小企 业股份转让系统挂牌公开转让，证券简称：文鑫莲业，证券代码：</w:t>
      </w:r>
      <w:r>
        <w:rPr>
          <w:rFonts w:ascii="Times New Roman" w:hAnsi="Times New Roman" w:cs="Times New Roman" w:eastAsia="Times New Roman" w:hint="default"/>
        </w:rPr>
        <w:t>832692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日起文鑫莲业股票转让方式由协议</w:t>
      </w:r>
      <w:r>
        <w:rPr>
          <w:spacing w:val="-83"/>
        </w:rPr>
        <w:t> </w:t>
      </w:r>
      <w:r>
        <w:rPr>
          <w:spacing w:val="-83"/>
        </w:rPr>
      </w:r>
      <w:r>
        <w:rPr>
          <w:spacing w:val="-2"/>
        </w:rPr>
        <w:t>转让方式变更为做市转让方式，公司持有文鑫莲业股份</w:t>
      </w:r>
      <w:r>
        <w:rPr>
          <w:rFonts w:ascii="Times New Roman" w:hAnsi="Times New Roman" w:cs="Times New Roman" w:eastAsia="Times New Roman" w:hint="default"/>
          <w:spacing w:val="-2"/>
        </w:rPr>
        <w:t>7,500,000</w:t>
      </w:r>
      <w:r>
        <w:rPr>
          <w:spacing w:val="-2"/>
        </w:rPr>
        <w:t>股，占文鑫莲业在全国中小企业股份转让系统挂牌总股本的</w:t>
      </w:r>
      <w:r>
        <w:rPr>
          <w:spacing w:val="-58"/>
        </w:rPr>
        <w:t> </w:t>
      </w:r>
      <w:r>
        <w:rPr>
          <w:spacing w:val="-58"/>
        </w:rPr>
      </w:r>
      <w:r>
        <w:rPr>
          <w:rFonts w:ascii="Times New Roman" w:hAnsi="Times New Roman" w:cs="Times New Roman" w:eastAsia="Times New Roman" w:hint="default"/>
        </w:rPr>
        <w:t>15.00%</w:t>
      </w:r>
      <w:r>
        <w:rPr/>
        <w:t>，为其第二大股东。</w:t>
      </w:r>
    </w:p>
    <w:p>
      <w:pPr>
        <w:pStyle w:val="BodyText"/>
        <w:spacing w:line="309" w:lineRule="auto" w:before="13"/>
        <w:ind w:left="153" w:right="189"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5</w:t>
      </w:r>
      <w:r>
        <w:rPr>
          <w:spacing w:val="-2"/>
        </w:rPr>
        <w:t>月，公司中标国家质检总局电子检验检疫主干系统应用运维项目，公司本次承建国家质检总局电子检验检疫主干</w:t>
      </w:r>
      <w:r>
        <w:rPr/>
        <w:t> </w:t>
      </w:r>
      <w:r>
        <w:rPr>
          <w:spacing w:val="-2"/>
        </w:rPr>
        <w:t>系统应用运维项目，充分体现了公司在质检信息化领域的研发、创新实力。该项目的顺利实施，将有利于巩固与提升公司在</w:t>
      </w:r>
      <w:r>
        <w:rPr>
          <w:spacing w:val="-66"/>
        </w:rPr>
        <w:t> </w:t>
      </w:r>
      <w:r>
        <w:rPr>
          <w:spacing w:val="-66"/>
        </w:rPr>
      </w:r>
      <w:r>
        <w:rPr/>
        <w:t>质检行业信息化领域的影响力，并推动公司在该战略领域的进一步拓展。</w:t>
      </w:r>
    </w:p>
    <w:p>
      <w:pPr>
        <w:pStyle w:val="BodyText"/>
        <w:spacing w:line="300" w:lineRule="auto" w:before="24"/>
        <w:ind w:right="99" w:firstLine="360"/>
        <w:jc w:val="both"/>
      </w:pPr>
      <w:r>
        <w:rPr>
          <w:spacing w:val="-7"/>
        </w:rPr>
        <w:t>（</w:t>
      </w: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6</w:t>
      </w:r>
      <w:r>
        <w:rPr>
          <w:spacing w:val="-7"/>
        </w:rPr>
        <w:t>月，福建榕易付网络科技有限公司完成工商注册。该公司将开展榕基网络支付业务（互联网支付和移动电话支付），</w:t>
      </w:r>
      <w:r>
        <w:rPr/>
        <w:t> </w:t>
      </w:r>
      <w:r>
        <w:rPr>
          <w:spacing w:val="-3"/>
        </w:rPr>
        <w:t>以</w:t>
      </w:r>
      <w:r>
        <w:rPr>
          <w:rFonts w:ascii="Times New Roman" w:hAnsi="Times New Roman" w:cs="Times New Roman" w:eastAsia="Times New Roman" w:hint="default"/>
          <w:spacing w:val="-3"/>
        </w:rPr>
        <w:t>“</w:t>
      </w:r>
      <w:r>
        <w:rPr>
          <w:spacing w:val="-3"/>
        </w:rPr>
        <w:t>三电工程</w:t>
      </w:r>
      <w:r>
        <w:rPr>
          <w:rFonts w:ascii="Times New Roman" w:hAnsi="Times New Roman" w:cs="Times New Roman" w:eastAsia="Times New Roman" w:hint="default"/>
          <w:spacing w:val="-3"/>
        </w:rPr>
        <w:t>”</w:t>
      </w:r>
      <w:r>
        <w:rPr>
          <w:spacing w:val="-3"/>
        </w:rPr>
        <w:t>面向全国几万家进出口企业交易为基础平台，延伸酒店、旅行社、快递、电子商务等传统行业的互联网化交易，</w:t>
      </w:r>
      <w:r>
        <w:rPr>
          <w:spacing w:val="-77"/>
        </w:rPr>
        <w:t> </w:t>
      </w:r>
      <w:r>
        <w:rPr>
          <w:spacing w:val="-77"/>
        </w:rPr>
      </w:r>
      <w:r>
        <w:rPr/>
        <w:t>实现线上线下统一融合，致力于为社会各主体提供全面的优质支付服务。</w:t>
      </w:r>
    </w:p>
    <w:p>
      <w:pPr>
        <w:pStyle w:val="BodyText"/>
        <w:spacing w:line="240" w:lineRule="auto" w:before="31"/>
        <w:ind w:left="514"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6</w:t>
      </w:r>
      <w:r>
        <w:rPr/>
        <w:t>月，公司获得</w:t>
      </w:r>
      <w:r>
        <w:rPr>
          <w:rFonts w:ascii="Times New Roman" w:hAnsi="Times New Roman" w:cs="Times New Roman" w:eastAsia="Times New Roman" w:hint="default"/>
        </w:rPr>
        <w:t>“2015</w:t>
      </w:r>
      <w:r>
        <w:rPr/>
        <w:t>年度福建省知识产权优势企业</w:t>
      </w:r>
      <w:r>
        <w:rPr>
          <w:rFonts w:ascii="Times New Roman" w:hAnsi="Times New Roman" w:cs="Times New Roman" w:eastAsia="Times New Roman" w:hint="default"/>
        </w:rPr>
        <w:t>”</w:t>
      </w:r>
      <w:r>
        <w:rPr/>
        <w:t>称号。</w:t>
      </w:r>
    </w:p>
    <w:p>
      <w:pPr>
        <w:pStyle w:val="BodyText"/>
        <w:spacing w:line="300" w:lineRule="auto" w:before="63"/>
        <w:ind w:right="190" w:firstLine="359"/>
        <w:jc w:val="both"/>
      </w:pPr>
      <w:r>
        <w:rPr>
          <w:spacing w:val="-3"/>
        </w:rPr>
        <w:t>（</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7</w:t>
      </w:r>
      <w:r>
        <w:rPr>
          <w:spacing w:val="-3"/>
        </w:rPr>
        <w:t>月，浙江检榕网络科技有限公司完成工商注册。该公司将建设网络服务平台，实现</w:t>
      </w:r>
      <w:r>
        <w:rPr>
          <w:rFonts w:ascii="Times New Roman" w:hAnsi="Times New Roman" w:cs="Times New Roman" w:eastAsia="Times New Roman" w:hint="default"/>
          <w:spacing w:val="-3"/>
        </w:rPr>
        <w:t>“</w:t>
      </w:r>
      <w:r>
        <w:rPr>
          <w:spacing w:val="-3"/>
        </w:rPr>
        <w:t>产品展示</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信息发布</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综</w:t>
      </w:r>
      <w:r>
        <w:rPr/>
        <w:t> 合服务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商品销售</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会员之家</w:t>
      </w:r>
      <w:r>
        <w:rPr>
          <w:rFonts w:ascii="Times New Roman" w:hAnsi="Times New Roman" w:cs="Times New Roman" w:eastAsia="Times New Roman" w:hint="default"/>
        </w:rPr>
        <w:t>”</w:t>
      </w:r>
      <w:r>
        <w:rPr/>
        <w:t>等功能。该子公司成立，公司将更好地拓展检验检疫行业以及其他市场，积极为公司拓</w:t>
      </w:r>
      <w:r>
        <w:rPr>
          <w:spacing w:val="-45"/>
        </w:rPr>
        <w:t> </w:t>
      </w:r>
      <w:r>
        <w:rPr>
          <w:spacing w:val="-45"/>
        </w:rPr>
      </w:r>
      <w:r>
        <w:rPr/>
        <w:t>展新利润增长点。</w:t>
      </w:r>
    </w:p>
    <w:p>
      <w:pPr>
        <w:pStyle w:val="BodyText"/>
        <w:spacing w:line="240" w:lineRule="auto" w:before="31"/>
        <w:ind w:left="514" w:right="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7</w:t>
      </w:r>
      <w:r>
        <w:rPr/>
        <w:t>月，公司入选</w:t>
      </w:r>
      <w:r>
        <w:rPr>
          <w:rFonts w:ascii="Times New Roman" w:hAnsi="Times New Roman" w:cs="Times New Roman" w:eastAsia="Times New Roman" w:hint="default"/>
        </w:rPr>
        <w:t>“</w:t>
      </w:r>
      <w:r>
        <w:rPr/>
        <w:t>全国软件企业综合竞争力</w:t>
      </w:r>
      <w:r>
        <w:rPr>
          <w:rFonts w:ascii="Times New Roman" w:hAnsi="Times New Roman" w:cs="Times New Roman" w:eastAsia="Times New Roman" w:hint="default"/>
        </w:rPr>
        <w:t>200</w:t>
      </w:r>
      <w:r>
        <w:rPr>
          <w:rFonts w:ascii="Times New Roman" w:hAnsi="Times New Roman" w:cs="Times New Roman" w:eastAsia="Times New Roman" w:hint="default"/>
          <w:spacing w:val="28"/>
        </w:rPr>
        <w:t> </w:t>
      </w:r>
      <w:r>
        <w:rPr/>
        <w:t>强</w:t>
      </w:r>
      <w:r>
        <w:rPr>
          <w:rFonts w:ascii="Times New Roman" w:hAnsi="Times New Roman" w:cs="Times New Roman" w:eastAsia="Times New Roman" w:hint="default"/>
        </w:rPr>
        <w:t>”</w:t>
      </w:r>
      <w:r>
        <w:rPr/>
        <w:t>。</w:t>
      </w:r>
    </w:p>
    <w:p>
      <w:pPr>
        <w:pStyle w:val="BodyText"/>
        <w:spacing w:line="300" w:lineRule="auto" w:before="63"/>
        <w:ind w:right="189" w:firstLine="360"/>
        <w:jc w:val="both"/>
      </w:pP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10</w:t>
      </w:r>
      <w:r>
        <w:rPr>
          <w:spacing w:val="-2"/>
        </w:rPr>
        <w:t>月，公司研发的河南省旅游产业运行监测调度系统获评国家基础地理信息中心、中国测绘地理信息学会、中国</w:t>
      </w:r>
      <w:r>
        <w:rPr/>
        <w:t> 地理信息产业协会、中国卫星导航定位协会联合举办的第三届</w:t>
      </w:r>
      <w:r>
        <w:rPr>
          <w:rFonts w:ascii="Times New Roman" w:hAnsi="Times New Roman" w:cs="Times New Roman" w:eastAsia="Times New Roman" w:hint="default"/>
        </w:rPr>
        <w:t>“</w:t>
      </w:r>
      <w:r>
        <w:rPr/>
        <w:t>天地图</w:t>
      </w:r>
      <w:r>
        <w:rPr>
          <w:rFonts w:ascii="Times New Roman" w:hAnsi="Times New Roman" w:cs="Times New Roman" w:eastAsia="Times New Roman" w:hint="default"/>
        </w:rPr>
        <w:t>”</w:t>
      </w:r>
      <w:r>
        <w:rPr/>
        <w:t>应用开发大赛一等奖。</w:t>
      </w:r>
    </w:p>
    <w:p>
      <w:pPr>
        <w:pStyle w:val="BodyText"/>
        <w:spacing w:line="309" w:lineRule="auto" w:before="13"/>
        <w:ind w:right="191" w:firstLine="360"/>
        <w:jc w:val="both"/>
      </w:pP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11</w:t>
      </w:r>
      <w:r>
        <w:rPr>
          <w:spacing w:val="-2"/>
        </w:rPr>
        <w:t>月，星榕基完成工商注册。该公司将依托物联网公共服务平台，积极参与政府、运营商及行业的物联网相关标</w:t>
      </w:r>
      <w:r>
        <w:rPr/>
        <w:t> </w:t>
      </w:r>
      <w:r>
        <w:rPr>
          <w:spacing w:val="-2"/>
        </w:rPr>
        <w:t>准制定。自主研发物联网核心操作系统、物联网核心通讯组件、物联网核心安全组件、物联网核心中间件及应用系统，打通</w:t>
      </w:r>
      <w:r>
        <w:rPr>
          <w:spacing w:val="-66"/>
        </w:rPr>
        <w:t> </w:t>
      </w:r>
      <w:r>
        <w:rPr>
          <w:spacing w:val="-66"/>
        </w:rPr>
      </w:r>
      <w:r>
        <w:rPr>
          <w:spacing w:val="-2"/>
        </w:rPr>
        <w:t>产业上下游，搭建全生态链平台，力争通过三至五年物联网公共服务平台运营，使接入物联网公共服务平台的各类智能化设</w:t>
      </w:r>
    </w:p>
    <w:p>
      <w:pPr>
        <w:spacing w:after="0" w:line="309"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备、可穿戴设备数量达到</w:t>
      </w:r>
      <w:r>
        <w:rPr>
          <w:rFonts w:ascii="Times New Roman" w:hAnsi="Times New Roman" w:cs="Times New Roman" w:eastAsia="Times New Roman" w:hint="default"/>
        </w:rPr>
        <w:t>50</w:t>
      </w:r>
      <w:r>
        <w:rPr/>
        <w:t>万台，打造国内物联网第一大生态平台。</w:t>
      </w:r>
    </w:p>
    <w:p>
      <w:pPr>
        <w:pStyle w:val="BodyText"/>
        <w:spacing w:line="307" w:lineRule="auto" w:before="63"/>
        <w:ind w:left="153" w:right="101" w:firstLine="360"/>
        <w:jc w:val="both"/>
      </w:pPr>
      <w:r>
        <w:rPr>
          <w:spacing w:val="-2"/>
        </w:rPr>
        <w:t>（</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12</w:t>
      </w:r>
      <w:r>
        <w:rPr>
          <w:spacing w:val="-2"/>
        </w:rPr>
        <w:t>月，星榕基收到福建省发展和改革委员会下发的《福建省发展和改革委员会关于福建省中小企业信息化云服务</w:t>
      </w:r>
      <w:r>
        <w:rPr/>
        <w:t> </w:t>
      </w:r>
      <w:r>
        <w:rPr>
          <w:spacing w:val="-2"/>
        </w:rPr>
        <w:t>公共平台项目的复函》，该复函对星榕基拟建设的福建省中小企业信息化云服务公共平台项目进行了批复，如项目能够顺利</w:t>
      </w:r>
      <w:r>
        <w:rPr>
          <w:spacing w:val="-66"/>
        </w:rPr>
        <w:t> </w:t>
      </w:r>
      <w:r>
        <w:rPr>
          <w:spacing w:val="-66"/>
        </w:rPr>
      </w:r>
      <w:r>
        <w:rPr>
          <w:spacing w:val="-2"/>
        </w:rPr>
        <w:t>运营，将为今后构建具有独特创新价值、全新业务模式、国内一流的面向中小企业提供优质</w:t>
      </w:r>
      <w:r>
        <w:rPr>
          <w:rFonts w:ascii="Times New Roman" w:hAnsi="Times New Roman" w:cs="Times New Roman" w:eastAsia="Times New Roman" w:hint="default"/>
          <w:spacing w:val="-2"/>
        </w:rPr>
        <w:t>IT</w:t>
      </w:r>
      <w:r>
        <w:rPr>
          <w:spacing w:val="-2"/>
        </w:rPr>
        <w:t>环境、一体化信息化服务系统</w:t>
      </w:r>
      <w:r>
        <w:rPr>
          <w:spacing w:val="-52"/>
        </w:rPr>
        <w:t> </w:t>
      </w:r>
      <w:r>
        <w:rPr>
          <w:spacing w:val="-52"/>
        </w:rPr>
      </w:r>
      <w:r>
        <w:rPr>
          <w:spacing w:val="-4"/>
        </w:rPr>
        <w:t>构筑坚实基础，同时可以强力推动公司实现业务转型，扩大经营规模，提升公司盈利能力，为股东创造更大价值的战略目标。</w:t>
      </w:r>
    </w:p>
    <w:p>
      <w:pPr>
        <w:pStyle w:val="BodyText"/>
        <w:spacing w:line="300" w:lineRule="auto" w:before="26"/>
        <w:ind w:left="513" w:right="0"/>
        <w:jc w:val="left"/>
      </w:pPr>
      <w:r>
        <w:rPr/>
        <w:t>（</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2015</w:t>
      </w:r>
      <w:r>
        <w:rPr/>
        <w:t>年度新获得</w:t>
      </w:r>
      <w:r>
        <w:rPr>
          <w:rFonts w:ascii="Times New Roman" w:hAnsi="Times New Roman" w:cs="Times New Roman" w:eastAsia="Times New Roman" w:hint="default"/>
        </w:rPr>
        <w:t>8</w:t>
      </w:r>
      <w:r>
        <w:rPr/>
        <w:t>项专利、</w:t>
      </w:r>
      <w:r>
        <w:rPr>
          <w:rFonts w:ascii="Times New Roman" w:hAnsi="Times New Roman" w:cs="Times New Roman" w:eastAsia="Times New Roman" w:hint="default"/>
        </w:rPr>
        <w:t>21</w:t>
      </w:r>
      <w:r>
        <w:rPr/>
        <w:t>项计算机软件著作权。 截至目前，公司拥有“榕基”品牌的自主知识产权包括24项专利（发明专利11项，实用新型专利9项、外观新型专利4</w:t>
      </w:r>
    </w:p>
    <w:p>
      <w:pPr>
        <w:pStyle w:val="BodyText"/>
        <w:spacing w:line="240" w:lineRule="auto" w:before="31"/>
        <w:ind w:left="153" w:right="0"/>
        <w:jc w:val="left"/>
      </w:pPr>
      <w:r>
        <w:rPr/>
        <w:t>项），发明专利申请数（已受理在审）29项，138项计算机软件著作权及108项软件产品登记证书。 </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7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623,602,054.84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598,305,165.28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623,602,054.84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598,305,165.28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395,422,247.93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439,527,856.11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73.46%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-10.03%</w:t>
            </w:r>
            <w:r>
              <w:rPr>
                <w:rFonts w:ascii="Times New Roman"/>
                <w:sz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软件产品及服务收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228,179,806.91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158,777,309.17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26.54%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43.71%</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97,001,186.71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15.55%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97,802,885.50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189,174,161.27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133,602,527.34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22.33%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41.59%</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208,072,502.74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236,886,254.40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-12.16%</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80,743,940.26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12.95%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56,518,071.78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42.86%</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48,610,263.86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73,495,426.26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12.28%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-33.86%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单位：元</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623,602,054.84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418,038,362.25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32.96%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3.98%</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395,422,247.93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354,570,754.59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-7.03%</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-2.90%</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228,179,806.91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63,467,607.66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72.19%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43.71%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45.79%</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97,001,186.71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71,400,554.91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26.39%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189,174,161.27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127,918,404.49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32.38%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41.59%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49.28%</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208,072,502.74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117,325,025.41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17.61%</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80,743,940.26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65,411,573.23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18.99%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55.74%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48,610,263.86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35,982,804.21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25.98%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-33.86%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-37.85%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4.75%</w:t>
            </w:r>
            <w:r>
              <w:rPr>
                <w:rFonts w:ascii="Times New Roman"/>
                <w:sz w:val="18"/>
              </w:rPr>
            </w:r>
          </w:p>
        </w:tc>
      </w:tr>
    </w:tbl>
    <w:p>
      <w:pPr>
        <w:pStyle w:val="BodyText"/>
        <w:spacing w:line="240" w:lineRule="auto" w:before="51"/>
        <w:ind w:right="704"/>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395,422,247.93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439,527,856.11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-10.03%</w:t>
            </w:r>
            <w:r>
              <w:rPr>
                <w:rFonts w:ascii="Times New Roman"/>
                <w:sz w:val="18"/>
              </w:rPr>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155,179,899.19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100,041,635.94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55.12%</w:t>
            </w:r>
            <w:r>
              <w:rPr>
                <w:rFonts w:ascii="Times New Roman"/>
                <w:sz w:val="18"/>
              </w:rPr>
            </w:r>
          </w:p>
        </w:tc>
      </w:tr>
    </w:tbl>
    <w:p>
      <w:pPr>
        <w:pStyle w:val="BodyText"/>
        <w:spacing w:line="240" w:lineRule="auto" w:before="51"/>
        <w:ind w:right="704"/>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本期未完工项目增加较多，对应的发出商品增加较多</w:t>
      </w:r>
    </w:p>
    <w:p>
      <w:pPr>
        <w:spacing w:line="240" w:lineRule="auto" w:before="4"/>
        <w:rPr>
          <w:rFonts w:ascii="宋体" w:hAnsi="宋体" w:cs="宋体" w:eastAsia="宋体" w:hint="default"/>
          <w:sz w:val="21"/>
          <w:szCs w:val="21"/>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704"/>
        <w:jc w:val="left"/>
      </w:pPr>
      <w:r>
        <w:rPr/>
        <w:t>请详见</w:t>
      </w:r>
      <w:r>
        <w:rPr>
          <w:rFonts w:ascii="Times New Roman" w:hAnsi="Times New Roman" w:cs="Times New Roman" w:eastAsia="Times New Roman" w:hint="default"/>
        </w:rPr>
        <w:t>“</w:t>
      </w:r>
      <w:r>
        <w:rPr/>
        <w:t>第五节</w:t>
      </w:r>
      <w:r>
        <w:rPr>
          <w:spacing w:val="-20"/>
        </w:rPr>
        <w:t> </w:t>
      </w:r>
      <w:r>
        <w:rPr/>
        <w:t>重要事项</w:t>
      </w:r>
      <w:r>
        <w:rPr>
          <w:rFonts w:ascii="Times New Roman" w:hAnsi="Times New Roman" w:cs="Times New Roman" w:eastAsia="Times New Roman" w:hint="default"/>
        </w:rPr>
        <w:t>/</w:t>
      </w:r>
      <w:r>
        <w:rPr/>
        <w:t>十七、重大合同及其履行情况</w:t>
      </w:r>
      <w:r>
        <w:rPr>
          <w:rFonts w:ascii="Times New Roman" w:hAnsi="Times New Roman" w:cs="Times New Roman" w:eastAsia="Times New Roman" w:hint="default"/>
        </w:rPr>
        <w:t>/4</w:t>
      </w:r>
      <w:r>
        <w:rPr/>
        <w:t>、其他重大合同</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t>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354,570,754.59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84.82%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381,388,227.68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-7.03%</w:t>
            </w:r>
            <w:r>
              <w:rPr>
                <w:rFonts w:ascii="Times New Roman"/>
                <w:sz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63,467,607.66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15.18%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43,534,150.70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45.79%</w:t>
            </w:r>
            <w:r>
              <w:rPr>
                <w:rFonts w:ascii="Times New Roman"/>
                <w:sz w:val="18"/>
              </w:rPr>
            </w:r>
          </w:p>
        </w:tc>
      </w:tr>
    </w:tbl>
    <w:p>
      <w:pPr>
        <w:pStyle w:val="BodyText"/>
        <w:spacing w:line="360" w:lineRule="auto" w:before="51"/>
        <w:ind w:right="3080"/>
        <w:jc w:val="left"/>
      </w:pPr>
      <w:r>
        <w:rPr/>
        <w:t>说明 本年度公司软件产品及服务收入较上年同期增加</w:t>
      </w:r>
      <w:r>
        <w:rPr>
          <w:rFonts w:ascii="Times New Roman" w:hAnsi="Times New Roman" w:cs="Times New Roman" w:eastAsia="Times New Roman" w:hint="default"/>
        </w:rPr>
        <w:t>43.71%</w:t>
      </w:r>
      <w:r>
        <w:rPr/>
        <w:t>，因此对应成本增加</w:t>
      </w:r>
      <w:r>
        <w:rPr>
          <w:rFonts w:ascii="Times New Roman" w:hAnsi="Times New Roman" w:cs="Times New Roman" w:eastAsia="Times New Roman" w:hint="default"/>
        </w:rPr>
        <w:t>45.79%</w:t>
      </w:r>
      <w:r>
        <w:rPr/>
        <w:t>。</w:t>
      </w:r>
    </w:p>
    <w:p>
      <w:pPr>
        <w:spacing w:line="240" w:lineRule="auto" w:before="1"/>
        <w:rPr>
          <w:rFonts w:ascii="宋体" w:hAnsi="宋体" w:cs="宋体" w:eastAsia="宋体" w:hint="default"/>
          <w:sz w:val="18"/>
          <w:szCs w:val="18"/>
        </w:rPr>
      </w:pPr>
    </w:p>
    <w:p>
      <w:pPr>
        <w:pStyle w:val="Heading3"/>
        <w:spacing w:line="240" w:lineRule="auto"/>
        <w:ind w:right="70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本集团</w:t>
      </w:r>
      <w:r>
        <w:rPr>
          <w:rFonts w:ascii="Times New Roman" w:hAnsi="Times New Roman" w:cs="Times New Roman" w:eastAsia="Times New Roman" w:hint="default"/>
        </w:rPr>
        <w:t>2015</w:t>
      </w:r>
      <w:r>
        <w:rPr/>
        <w:t>年度纳入合并范围的子公司</w:t>
      </w:r>
      <w:r>
        <w:rPr>
          <w:rFonts w:ascii="Times New Roman" w:hAnsi="Times New Roman" w:cs="Times New Roman" w:eastAsia="Times New Roman" w:hint="default"/>
        </w:rPr>
        <w:t>14</w:t>
      </w:r>
      <w:r>
        <w:rPr/>
        <w:t>家、孙公司</w:t>
      </w:r>
      <w:r>
        <w:rPr>
          <w:rFonts w:ascii="Times New Roman" w:hAnsi="Times New Roman" w:cs="Times New Roman" w:eastAsia="Times New Roman" w:hint="default"/>
        </w:rPr>
        <w:t>5</w:t>
      </w:r>
      <w:r>
        <w:rPr/>
        <w:t>家，各家子、孙公司情况详见附注七、在其他主体中的权益披露。本 公司本年度合并范围比上年度增加</w:t>
      </w:r>
      <w:r>
        <w:rPr>
          <w:rFonts w:ascii="Times New Roman" w:hAnsi="Times New Roman" w:cs="Times New Roman" w:eastAsia="Times New Roman" w:hint="default"/>
        </w:rPr>
        <w:t>4</w:t>
      </w:r>
      <w:r>
        <w:rPr/>
        <w:t>家，新纳入合并范围的子、孙公司情况详见附注六、合并范围的变动。</w:t>
      </w:r>
    </w:p>
    <w:p>
      <w:pPr>
        <w:spacing w:line="240" w:lineRule="auto" w:before="10"/>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143,155,842.51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22.96%</w:t>
            </w:r>
            <w:r>
              <w:rPr>
                <w:rFonts w:ascii="Times New Roman"/>
                <w:sz w:val="18"/>
              </w:rPr>
            </w:r>
          </w:p>
        </w:tc>
      </w:tr>
    </w:tbl>
    <w:p>
      <w:pPr>
        <w:pStyle w:val="BodyText"/>
        <w:spacing w:line="240" w:lineRule="auto" w:before="51"/>
        <w:ind w:right="70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38,138,961.55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36,774,829.94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27,561,965.82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25,736,752.14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14,943,333.05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143,155,842.51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22.96%</w:t>
            </w:r>
            <w:r>
              <w:rPr>
                <w:rFonts w:ascii="Times New Roman"/>
                <w:sz w:val="18"/>
              </w:rPr>
            </w:r>
          </w:p>
        </w:tc>
      </w:tr>
    </w:tbl>
    <w:p>
      <w:pPr>
        <w:pStyle w:val="BodyText"/>
        <w:spacing w:line="240" w:lineRule="auto" w:before="51"/>
        <w:ind w:right="704"/>
        <w:jc w:val="left"/>
      </w:pPr>
      <w:r>
        <w:rPr/>
        <w:t>主要客户其他情况说明</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289,082,444.37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43.26%</w:t>
            </w:r>
            <w:r>
              <w:rPr>
                <w:rFonts w:ascii="Times New Roman"/>
                <w:sz w:val="18"/>
              </w:rPr>
            </w:r>
          </w:p>
        </w:tc>
      </w:tr>
    </w:tbl>
    <w:p>
      <w:pPr>
        <w:pStyle w:val="BodyText"/>
        <w:spacing w:line="240" w:lineRule="auto" w:before="51"/>
        <w:ind w:right="70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104,608,120.00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15.65%</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102,288,702.37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25,687,750.00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11,497,872.00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289,082,444.37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43.26%</w:t>
            </w:r>
            <w:r>
              <w:rPr>
                <w:rFonts w:ascii="Times New Roman"/>
                <w:sz w:val="18"/>
              </w:rPr>
            </w:r>
          </w:p>
        </w:tc>
      </w:tr>
    </w:tbl>
    <w:p>
      <w:pPr>
        <w:pStyle w:val="BodyText"/>
        <w:spacing w:line="240" w:lineRule="auto" w:before="51"/>
        <w:ind w:right="704"/>
        <w:jc w:val="left"/>
      </w:pPr>
      <w:r>
        <w:rPr/>
        <w:t>主要供应商其他情况说明</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46,922,095.29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47,129,006.27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180,929,641.25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149,368,927.43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21.13%</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主要是研发费用、职工薪酬、无形资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产摊销、租赁费等较上年增长较多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2,388,015.88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-6,442,453.27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-137.07%</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主要是报告期利息支出增加所致。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1"/>
        <w:ind w:right="170" w:firstLine="420"/>
        <w:jc w:val="left"/>
      </w:pPr>
      <w:r>
        <w:rPr/>
        <w:t>报告期内研发支出主要用于新一代电子政务应用平台、信息安全风险综合管理系统、质检三电工程企业端软件运维服 务平台、协同管理软件平台和技术研发与创新中心五个项目的研发，研发进展等情况详见募集资金使用报告。 公司研发投入情况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43.33%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43.40%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93,209,609.55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66,329,960.70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40.52%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14.95%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36,446,304.52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22,982,966.12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58.58%</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39.10%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34.65%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4.45%</w:t>
            </w:r>
            <w:r>
              <w:rPr>
                <w:rFonts w:ascii="Times New Roman"/>
                <w:sz w:val="18"/>
              </w:rPr>
            </w:r>
          </w:p>
        </w:tc>
      </w:tr>
    </w:tbl>
    <w:p>
      <w:pPr>
        <w:pStyle w:val="BodyText"/>
        <w:spacing w:line="240" w:lineRule="auto" w:before="51"/>
        <w:ind w:right="704"/>
        <w:jc w:val="left"/>
      </w:pPr>
      <w:r>
        <w:rPr/>
        <w:t>研发投入总额占营业收入的比重较上年发生显著变化的原因</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2"/>
        <w:gridCol w:w="2232"/>
        <w:gridCol w:w="2392"/>
        <w:gridCol w:w="2392"/>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806,716,971.90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703,561,248.88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14.66%</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788,714,808.97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746,717,389.05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5.62%</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18,002,162.93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-43,156,140.17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141.71%</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2,618,698,736.12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3,800,893,468.96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-31.10%</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2,641,321,212.04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3,862,307,998.92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-31.61%</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-22,622,475.92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-61,414,529.96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63.16%</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71.88%</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92,033,109.86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491.66%</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45,466,890.14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-29.45%</w:t>
            </w:r>
            <w:r>
              <w:rPr>
                <w:rFonts w:ascii="Times New Roman"/>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45,703,433.30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-41,131,701.61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211.11%</w:t>
            </w:r>
          </w:p>
        </w:tc>
      </w:tr>
    </w:tbl>
    <w:p>
      <w:pPr>
        <w:pStyle w:val="BodyText"/>
        <w:spacing w:line="240" w:lineRule="auto" w:before="51"/>
        <w:ind w:right="704"/>
        <w:jc w:val="left"/>
      </w:pPr>
      <w:r>
        <w:rPr/>
        <w:t>相关数据同比发生重大变动的主要影响因素说明</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141.71%</w:t>
      </w:r>
      <w:r>
        <w:rPr/>
        <w:t>，主要是报告期销售商品、提供劳务收到的现金增加所致。</w:t>
      </w:r>
    </w:p>
    <w:p>
      <w:pPr>
        <w:pStyle w:val="BodyText"/>
        <w:spacing w:line="240" w:lineRule="auto" w:before="103"/>
        <w:ind w:right="704"/>
        <w:jc w:val="left"/>
      </w:pPr>
      <w:r>
        <w:rPr>
          <w:rFonts w:ascii="Times New Roman" w:hAnsi="Times New Roman" w:cs="Times New Roman" w:eastAsia="Times New Roman" w:hint="default"/>
        </w:rPr>
        <w:t>2</w:t>
      </w:r>
      <w:r>
        <w:rPr/>
        <w:t>、投资活动现金流入小计较上年同期减少</w:t>
      </w:r>
      <w:r>
        <w:rPr>
          <w:rFonts w:ascii="Times New Roman" w:hAnsi="Times New Roman" w:cs="Times New Roman" w:eastAsia="Times New Roman" w:hint="default"/>
        </w:rPr>
        <w:t>31.10%</w:t>
      </w:r>
      <w:r>
        <w:rPr/>
        <w:t>，主要是报告期理财产品到期赎回金额减少所致。</w:t>
      </w:r>
    </w:p>
    <w:p>
      <w:pPr>
        <w:pStyle w:val="BodyText"/>
        <w:spacing w:line="302" w:lineRule="auto" w:before="101"/>
        <w:ind w:right="0"/>
        <w:jc w:val="left"/>
      </w:pPr>
      <w:r>
        <w:rPr>
          <w:rFonts w:ascii="Times New Roman" w:hAnsi="Times New Roman" w:cs="Times New Roman" w:eastAsia="Times New Roman" w:hint="default"/>
          <w:spacing w:val="-1"/>
        </w:rPr>
        <w:t>3</w:t>
      </w:r>
      <w:r>
        <w:rPr>
          <w:spacing w:val="-1"/>
        </w:rPr>
        <w:t>、投资活动现金流出小计较上年同期减少</w:t>
      </w:r>
      <w:r>
        <w:rPr>
          <w:rFonts w:ascii="Times New Roman" w:hAnsi="Times New Roman" w:cs="Times New Roman" w:eastAsia="Times New Roman" w:hint="default"/>
          <w:spacing w:val="-1"/>
        </w:rPr>
        <w:t>31.61%</w:t>
      </w:r>
      <w:r>
        <w:rPr>
          <w:spacing w:val="-1"/>
        </w:rPr>
        <w:t>，主要是报告期购买理财产品金额减少及购置长期资产支付的现金减少所</w:t>
      </w:r>
      <w:r>
        <w:rPr>
          <w:spacing w:val="-41"/>
        </w:rPr>
        <w:t> </w:t>
      </w:r>
      <w:r>
        <w:rPr>
          <w:spacing w:val="-41"/>
        </w:rPr>
      </w:r>
      <w:r>
        <w:rPr/>
        <w:t>致。</w:t>
      </w:r>
    </w:p>
    <w:p>
      <w:pPr>
        <w:pStyle w:val="BodyText"/>
        <w:spacing w:line="240" w:lineRule="auto" w:before="69"/>
        <w:ind w:right="704"/>
        <w:jc w:val="left"/>
      </w:pPr>
      <w:r>
        <w:rPr>
          <w:rFonts w:ascii="Times New Roman" w:hAnsi="Times New Roman" w:cs="Times New Roman" w:eastAsia="Times New Roman" w:hint="default"/>
        </w:rPr>
        <w:t>4</w:t>
      </w:r>
      <w:r>
        <w:rPr/>
        <w:t>、投资活动产生的现金流量净额较上年同期增加</w:t>
      </w:r>
      <w:r>
        <w:rPr>
          <w:rFonts w:ascii="Times New Roman" w:hAnsi="Times New Roman" w:cs="Times New Roman" w:eastAsia="Times New Roman" w:hint="default"/>
        </w:rPr>
        <w:t>63.16%</w:t>
      </w:r>
      <w:r>
        <w:rPr/>
        <w:t>，主要是报告期购置长期资产支付的现金减少所致。</w:t>
      </w:r>
    </w:p>
    <w:p>
      <w:pPr>
        <w:pStyle w:val="BodyText"/>
        <w:spacing w:line="240" w:lineRule="auto" w:before="103"/>
        <w:ind w:right="704"/>
        <w:jc w:val="left"/>
      </w:pPr>
      <w:r>
        <w:rPr>
          <w:rFonts w:ascii="Times New Roman" w:hAnsi="Times New Roman" w:cs="Times New Roman" w:eastAsia="Times New Roman" w:hint="default"/>
        </w:rPr>
        <w:t>5</w:t>
      </w:r>
      <w:r>
        <w:rPr/>
        <w:t>、筹资活动现金流入小计较上年同期增加</w:t>
      </w:r>
      <w:r>
        <w:rPr>
          <w:rFonts w:ascii="Times New Roman" w:hAnsi="Times New Roman" w:cs="Times New Roman" w:eastAsia="Times New Roman" w:hint="default"/>
        </w:rPr>
        <w:t>71.88%</w:t>
      </w:r>
      <w:r>
        <w:rPr/>
        <w:t>，主要是报告期发行短期债券增加所致。</w:t>
      </w:r>
    </w:p>
    <w:p>
      <w:pPr>
        <w:pStyle w:val="BodyText"/>
        <w:spacing w:line="338" w:lineRule="auto" w:before="102"/>
        <w:ind w:right="2915"/>
        <w:jc w:val="left"/>
      </w:pPr>
      <w:r>
        <w:rPr>
          <w:rFonts w:ascii="Times New Roman" w:hAnsi="Times New Roman" w:cs="Times New Roman" w:eastAsia="Times New Roman" w:hint="default"/>
        </w:rPr>
        <w:t>6</w:t>
      </w:r>
      <w:r>
        <w:rPr/>
        <w:t>、筹资活动现金流出小计较上年同期增加</w:t>
      </w:r>
      <w:r>
        <w:rPr>
          <w:rFonts w:ascii="Times New Roman" w:hAnsi="Times New Roman" w:cs="Times New Roman" w:eastAsia="Times New Roman" w:hint="default"/>
        </w:rPr>
        <w:t>491.66%</w:t>
      </w:r>
      <w:r>
        <w:rPr/>
        <w:t>，主要是报告期偿还借款增加所致。 报告期内公司经营活动产生的现金净流量与本年度净利润存在重大差异的原因说明</w:t>
      </w:r>
    </w:p>
    <w:p>
      <w:pPr>
        <w:pStyle w:val="BodyText"/>
        <w:spacing w:line="240" w:lineRule="auto" w:before="43"/>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736"/>
        <w:gridCol w:w="1771"/>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33,607,086.70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228.21%</w:t>
            </w:r>
            <w:r>
              <w:rPr>
                <w:rFonts w:ascii="Times New Roman"/>
                <w:sz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理财收益，对联营企业的投资收益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部分不可持续</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1,410,756.33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9.58%</w:t>
            </w:r>
            <w:r>
              <w:rPr>
                <w:rFonts w:ascii="Times New Roman"/>
                <w:sz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按账龄计提</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9,490,780.25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64.45%</w:t>
            </w:r>
            <w:r>
              <w:rPr>
                <w:rFonts w:ascii="Times New Roman"/>
                <w:sz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40,162.57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捐赠等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704"/>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1" w:hRule="exact"/>
        </w:trPr>
        <w:tc>
          <w:tcPr>
            <w:tcW w:w="1368" w:type="dxa"/>
            <w:vMerge/>
            <w:tcBorders>
              <w:left w:val="single" w:sz="4" w:space="0" w:color="000000"/>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901"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448,073,047.98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388,260,449.96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82,626,850.53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74,951,370.16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4.45%</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486,756,391.18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236,519,029.20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主要是报告期开发成本增加所致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87,198,279.86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4.57%</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72,289,929.28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37,947,027.90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44,479,098.04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3,766,730.33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主要是报告期上海榕基园区建设支 出增加所致。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4.74%</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04"/>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0" w:right="0"/>
              <w:jc w:val="left"/>
              <w:rPr>
                <w:rFonts w:ascii="Times New Roman" w:hAnsi="Times New Roman" w:cs="Times New Roman" w:eastAsia="Times New Roman" w:hint="default"/>
                <w:sz w:val="18"/>
                <w:szCs w:val="18"/>
              </w:rPr>
            </w:pPr>
            <w:r>
              <w:rPr>
                <w:rFonts w:ascii="Times New Roman"/>
                <w:sz w:val="18"/>
              </w:rPr>
              <w:t>-55,604,600.00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98,004,591.40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-156.74%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58" w:hRule="exact"/>
        </w:trPr>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截至</w:t>
            </w:r>
          </w:p>
        </w:tc>
        <w:tc>
          <w:tcPr>
            <w:tcW w:w="593" w:type="dxa"/>
            <w:tcBorders>
              <w:top w:val="single" w:sz="4" w:space="0" w:color="000000"/>
              <w:left w:val="single" w:sz="4" w:space="0" w:color="000000"/>
              <w:bottom w:val="nil" w:sz="6" w:space="0" w:color="auto"/>
              <w:right w:val="single" w:sz="4" w:space="0" w:color="000000"/>
            </w:tcBorders>
            <w:shd w:val="clear" w:color="auto" w:fill="D3D3D3"/>
          </w:tcPr>
          <w:p>
            <w:pPr/>
          </w:p>
        </w:tc>
        <w:tc>
          <w:tcPr>
            <w:tcW w:w="692" w:type="dxa"/>
            <w:tcBorders>
              <w:top w:val="single" w:sz="4" w:space="0" w:color="000000"/>
              <w:left w:val="single" w:sz="4" w:space="0" w:color="000000"/>
              <w:bottom w:val="nil" w:sz="6" w:space="0" w:color="auto"/>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616"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2"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937"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51"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0" w:right="109"/>
              <w:jc w:val="both"/>
              <w:rPr>
                <w:rFonts w:ascii="宋体" w:hAnsi="宋体" w:cs="宋体" w:eastAsia="宋体" w:hint="default"/>
                <w:sz w:val="18"/>
                <w:szCs w:val="18"/>
              </w:rPr>
            </w:pPr>
            <w:r>
              <w:rPr>
                <w:rFonts w:ascii="宋体" w:hAnsi="宋体" w:cs="宋体" w:eastAsia="宋体" w:hint="default"/>
                <w:sz w:val="18"/>
                <w:szCs w:val="18"/>
              </w:rPr>
              <w:t>负债 表日 的进</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616"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展情</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2"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6" w:hRule="exact"/>
        </w:trPr>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593" w:type="dxa"/>
            <w:tcBorders>
              <w:top w:val="nil" w:sz="6" w:space="0" w:color="auto"/>
              <w:left w:val="single" w:sz="4" w:space="0" w:color="000000"/>
              <w:bottom w:val="single" w:sz="4" w:space="0" w:color="000000"/>
              <w:right w:val="single" w:sz="4" w:space="0" w:color="000000"/>
            </w:tcBorders>
            <w:shd w:val="clear" w:color="auto" w:fill="D3D3D3"/>
          </w:tcPr>
          <w:p>
            <w:pPr/>
          </w:p>
        </w:tc>
        <w:tc>
          <w:tcPr>
            <w:tcW w:w="692" w:type="dxa"/>
            <w:tcBorders>
              <w:top w:val="nil" w:sz="6" w:space="0" w:color="auto"/>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上海榕 基软件 开发有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电子计 算机软 硬件领 域内的 技术开</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53,300,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按经营 期限</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已支 付资 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-3,268,0</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27.90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hyperlink r:id="rId15">
              <w:r>
                <w:rPr>
                  <w:rFonts w:ascii="Times New Roman"/>
                  <w:sz w:val="18"/>
                </w:rPr>
                <w:t>http://w</w:t>
              </w:r>
            </w:hyperlink>
            <w:r>
              <w:rPr>
                <w:rFonts w:ascii="Times New Roman"/>
                <w:sz w:val="18"/>
              </w:rPr>
              <w:t> </w:t>
            </w:r>
            <w:r>
              <w:rPr>
                <w:rFonts w:ascii="Times New Roman"/>
                <w:spacing w:val="-2"/>
                <w:sz w:val="18"/>
              </w:rPr>
              <w:t>ww.cnin</w:t>
            </w:r>
            <w:r>
              <w:rPr>
                <w:rFonts w:ascii="Times New Roman"/>
                <w:w w:val="100"/>
                <w:sz w:val="18"/>
              </w:rPr>
              <w:t> </w:t>
            </w:r>
            <w:r>
              <w:rPr>
                <w:rFonts w:ascii="Times New Roman"/>
                <w:sz w:val="18"/>
              </w:rPr>
              <w:t>fo.com.</w:t>
            </w:r>
            <w:r>
              <w:rPr>
                <w:rFonts w:ascii="Times New Roman"/>
                <w:w w:val="100"/>
                <w:sz w:val="18"/>
              </w:rPr>
              <w:t> </w:t>
            </w:r>
            <w:r>
              <w:rPr>
                <w:rFonts w:ascii="Times New Roman"/>
                <w:sz w:val="18"/>
              </w:rPr>
              <w:t>cn/cninf</w:t>
            </w:r>
            <w:r>
              <w:rPr>
                <w:rFonts w:ascii="Times New Roman"/>
                <w:w w:val="99"/>
                <w:sz w:val="18"/>
              </w:rPr>
              <w:t> </w:t>
            </w:r>
            <w:r>
              <w:rPr>
                <w:rFonts w:ascii="Times New Roman"/>
                <w:sz w:val="18"/>
              </w:rPr>
              <w:t>o-new/d</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21" w:hRule="exact"/>
        </w:trPr>
        <w:tc>
          <w:tcPr>
            <w:tcW w:w="654" w:type="dxa"/>
            <w:vMerge w:val="restart"/>
            <w:tcBorders>
              <w:top w:val="single" w:sz="4" w:space="0" w:color="000000"/>
              <w:left w:val="single" w:sz="4" w:space="0" w:color="000000"/>
              <w:right w:val="single" w:sz="4" w:space="0" w:color="000000"/>
            </w:tcBorders>
          </w:tcPr>
          <w:p>
            <w:pPr/>
          </w:p>
        </w:tc>
        <w:tc>
          <w:tcPr>
            <w:tcW w:w="6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w:t>
            </w:r>
          </w:p>
        </w:tc>
        <w:tc>
          <w:tcPr>
            <w:tcW w:w="623"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622" w:type="dxa"/>
            <w:vMerge w:val="restart"/>
            <w:tcBorders>
              <w:top w:val="single" w:sz="4" w:space="0" w:color="000000"/>
              <w:left w:val="single" w:sz="4" w:space="0" w:color="000000"/>
              <w:right w:val="single" w:sz="4" w:space="0" w:color="000000"/>
            </w:tcBorders>
          </w:tcPr>
          <w:p>
            <w:pPr/>
          </w:p>
        </w:tc>
        <w:tc>
          <w:tcPr>
            <w:tcW w:w="623"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616"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592" w:type="dxa"/>
            <w:vMerge w:val="restart"/>
            <w:tcBorders>
              <w:top w:val="single" w:sz="4" w:space="0" w:color="000000"/>
              <w:left w:val="single" w:sz="4" w:space="0" w:color="000000"/>
              <w:right w:val="single" w:sz="4" w:space="0" w:color="000000"/>
            </w:tcBorders>
          </w:tcPr>
          <w:p>
            <w:pPr/>
          </w:p>
        </w:tc>
        <w:tc>
          <w:tcPr>
            <w:tcW w:w="593" w:type="dxa"/>
            <w:vMerge w:val="restart"/>
            <w:tcBorders>
              <w:top w:val="single" w:sz="4" w:space="0" w:color="000000"/>
              <w:left w:val="single" w:sz="4" w:space="0" w:color="000000"/>
              <w:right w:val="single" w:sz="4" w:space="0" w:color="000000"/>
            </w:tcBorders>
          </w:tcPr>
          <w:p>
            <w:pPr/>
          </w:p>
        </w:tc>
        <w:tc>
          <w:tcPr>
            <w:tcW w:w="692"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isclosur</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e/szse_s</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让，技</w:t>
            </w: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me/bull</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术咨</w:t>
            </w: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etin_det</w:t>
            </w:r>
          </w:p>
        </w:tc>
      </w:tr>
      <w:tr>
        <w:trPr>
          <w:trHeight w:val="313"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ail/true/</w:t>
            </w:r>
          </w:p>
        </w:tc>
      </w:tr>
      <w:tr>
        <w:trPr>
          <w:trHeight w:val="315"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120019</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6037?an</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54" w:type="dxa"/>
            <w:vMerge/>
            <w:tcBorders>
              <w:left w:val="single" w:sz="4" w:space="0" w:color="000000"/>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2"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592" w:type="dxa"/>
            <w:vMerge/>
            <w:tcBorders>
              <w:left w:val="single" w:sz="4" w:space="0" w:color="000000"/>
              <w:right w:val="single" w:sz="4" w:space="0" w:color="000000"/>
            </w:tcBorders>
          </w:tcPr>
          <w:p>
            <w:pPr/>
          </w:p>
        </w:tc>
        <w:tc>
          <w:tcPr>
            <w:tcW w:w="593" w:type="dxa"/>
            <w:vMerge/>
            <w:tcBorders>
              <w:left w:val="single" w:sz="4" w:space="0" w:color="000000"/>
              <w:right w:val="single" w:sz="4" w:space="0" w:color="000000"/>
            </w:tcBorders>
          </w:tcPr>
          <w:p>
            <w:pPr/>
          </w:p>
        </w:tc>
        <w:tc>
          <w:tcPr>
            <w:tcW w:w="692"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014-09-</w:t>
            </w:r>
          </w:p>
        </w:tc>
      </w:tr>
      <w:tr>
        <w:trPr>
          <w:trHeight w:val="349" w:hRule="exact"/>
        </w:trPr>
        <w:tc>
          <w:tcPr>
            <w:tcW w:w="654" w:type="dxa"/>
            <w:vMerge/>
            <w:tcBorders>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622"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592" w:type="dxa"/>
            <w:vMerge/>
            <w:tcBorders>
              <w:left w:val="single" w:sz="4" w:space="0" w:color="000000"/>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692"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02</w:t>
            </w:r>
          </w:p>
        </w:tc>
      </w:tr>
      <w:tr>
        <w:trPr>
          <w:trHeight w:val="361" w:hRule="exact"/>
        </w:trPr>
        <w:tc>
          <w:tcPr>
            <w:tcW w:w="654" w:type="dxa"/>
            <w:tcBorders>
              <w:top w:val="single" w:sz="4" w:space="0" w:color="000000"/>
              <w:left w:val="single" w:sz="4" w:space="0" w:color="000000"/>
              <w:bottom w:val="nil" w:sz="6" w:space="0" w:color="auto"/>
              <w:right w:val="single" w:sz="4" w:space="0" w:color="000000"/>
            </w:tcBorders>
          </w:tcPr>
          <w:p>
            <w:pPr/>
          </w:p>
        </w:tc>
        <w:tc>
          <w:tcPr>
            <w:tcW w:w="65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592"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ww.cnin</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信息服</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fo.com.</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务；计</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cn/cninf</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o-new/d</w:t>
            </w:r>
          </w:p>
        </w:tc>
      </w:tr>
      <w:tr>
        <w:trPr>
          <w:trHeight w:val="187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福建榕 易付网 络科技 有限公 司</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77"/>
              <w:jc w:val="left"/>
              <w:rPr>
                <w:rFonts w:ascii="宋体" w:hAnsi="宋体" w:cs="宋体" w:eastAsia="宋体" w:hint="default"/>
                <w:sz w:val="18"/>
                <w:szCs w:val="18"/>
              </w:rPr>
            </w:pPr>
            <w:r>
              <w:rPr>
                <w:rFonts w:ascii="宋体" w:hAnsi="宋体" w:cs="宋体" w:eastAsia="宋体" w:hint="default"/>
                <w:sz w:val="18"/>
                <w:szCs w:val="18"/>
              </w:rPr>
              <w:t>硬件研 发和技 术服 务；信 息系统 集成服</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按经营 期限</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已支 付资 金</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-14,426.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43"/>
              <w:jc w:val="both"/>
              <w:rPr>
                <w:rFonts w:ascii="Times New Roman" w:hAnsi="Times New Roman" w:cs="Times New Roman" w:eastAsia="Times New Roman" w:hint="default"/>
                <w:sz w:val="18"/>
                <w:szCs w:val="18"/>
              </w:rPr>
            </w:pPr>
            <w:r>
              <w:rPr>
                <w:rFonts w:ascii="Times New Roman"/>
                <w:sz w:val="18"/>
              </w:rPr>
              <w:t>isclosur</w:t>
            </w:r>
            <w:r>
              <w:rPr>
                <w:rFonts w:ascii="Times New Roman"/>
                <w:w w:val="100"/>
                <w:sz w:val="18"/>
              </w:rPr>
              <w:t> </w:t>
            </w:r>
            <w:r>
              <w:rPr>
                <w:rFonts w:ascii="Times New Roman"/>
                <w:sz w:val="18"/>
              </w:rPr>
              <w:t>e/szse_s</w:t>
            </w:r>
            <w:r>
              <w:rPr>
                <w:rFonts w:ascii="Times New Roman"/>
                <w:spacing w:val="-1"/>
                <w:w w:val="99"/>
                <w:sz w:val="18"/>
              </w:rPr>
              <w:t> </w:t>
            </w:r>
            <w:r>
              <w:rPr>
                <w:rFonts w:ascii="Times New Roman"/>
                <w:sz w:val="18"/>
              </w:rPr>
              <w:t>me/bull</w:t>
            </w:r>
            <w:r>
              <w:rPr>
                <w:rFonts w:ascii="Times New Roman"/>
                <w:w w:val="100"/>
                <w:sz w:val="18"/>
              </w:rPr>
              <w:t> </w:t>
            </w:r>
            <w:r>
              <w:rPr>
                <w:rFonts w:ascii="Times New Roman"/>
                <w:sz w:val="18"/>
              </w:rPr>
              <w:t>etin_det</w:t>
            </w:r>
            <w:r>
              <w:rPr>
                <w:rFonts w:ascii="Times New Roman"/>
                <w:w w:val="100"/>
                <w:sz w:val="18"/>
              </w:rPr>
              <w:t> </w:t>
            </w:r>
            <w:r>
              <w:rPr>
                <w:rFonts w:ascii="Times New Roman"/>
                <w:sz w:val="18"/>
              </w:rPr>
              <w:t>ail/true/</w:t>
            </w:r>
            <w:r>
              <w:rPr>
                <w:rFonts w:ascii="Times New Roman"/>
                <w:w w:val="100"/>
                <w:sz w:val="18"/>
              </w:rPr>
              <w:t> </w:t>
            </w:r>
            <w:r>
              <w:rPr>
                <w:rFonts w:ascii="Times New Roman"/>
                <w:sz w:val="18"/>
              </w:rPr>
              <w:t>120102</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务；信</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0433?an</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息技术</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3"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咨询服</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6"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9" w:hRule="exact"/>
        </w:trPr>
        <w:tc>
          <w:tcPr>
            <w:tcW w:w="654" w:type="dxa"/>
            <w:tcBorders>
              <w:top w:val="nil" w:sz="6" w:space="0" w:color="auto"/>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592"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16</w:t>
            </w:r>
          </w:p>
        </w:tc>
      </w:tr>
      <w:tr>
        <w:trPr>
          <w:trHeight w:val="535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79"/>
              <w:jc w:val="both"/>
              <w:rPr>
                <w:rFonts w:ascii="宋体" w:hAnsi="宋体" w:cs="宋体" w:eastAsia="宋体" w:hint="default"/>
                <w:sz w:val="18"/>
                <w:szCs w:val="18"/>
              </w:rPr>
            </w:pPr>
            <w:r>
              <w:rPr>
                <w:rFonts w:ascii="宋体" w:hAnsi="宋体" w:cs="宋体" w:eastAsia="宋体" w:hint="default"/>
                <w:sz w:val="18"/>
                <w:szCs w:val="18"/>
              </w:rPr>
              <w:t>福建星 榕基信 息科技 有限责 任公司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电子产 品的研 发、制 造、销 售；计 算机、 软件及 辅助设 备的批 发、零 售；国 内贸易 代理； 信息技 术咨询 服务； 对外贸</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9" w:right="0"/>
              <w:jc w:val="left"/>
              <w:rPr>
                <w:rFonts w:ascii="Times New Roman" w:hAnsi="Times New Roman" w:cs="Times New Roman" w:eastAsia="Times New Roman" w:hint="default"/>
                <w:sz w:val="18"/>
                <w:szCs w:val="18"/>
              </w:rPr>
            </w:pPr>
            <w:r>
              <w:rPr>
                <w:rFonts w:ascii="Times New Roman"/>
                <w:sz w:val="18"/>
              </w:rPr>
              <w:t>35,500,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福建省 星云大 数据应 用服务 有限公 司、自 然人 林卫国</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按经营 期限</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97"/>
              <w:jc w:val="both"/>
              <w:rPr>
                <w:rFonts w:ascii="宋体" w:hAnsi="宋体" w:cs="宋体" w:eastAsia="宋体" w:hint="default"/>
                <w:sz w:val="18"/>
                <w:szCs w:val="18"/>
              </w:rPr>
            </w:pPr>
            <w:r>
              <w:rPr>
                <w:rFonts w:ascii="宋体" w:hAnsi="宋体" w:cs="宋体" w:eastAsia="宋体" w:hint="default"/>
                <w:sz w:val="18"/>
                <w:szCs w:val="18"/>
              </w:rPr>
              <w:t>已支 付资 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400.99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62" w:lineRule="auto"/>
              <w:ind w:left="22" w:right="30"/>
              <w:jc w:val="left"/>
              <w:rPr>
                <w:rFonts w:ascii="Times New Roman" w:hAnsi="Times New Roman" w:cs="Times New Roman" w:eastAsia="Times New Roman" w:hint="default"/>
                <w:sz w:val="18"/>
                <w:szCs w:val="18"/>
              </w:rPr>
            </w:pPr>
            <w:hyperlink r:id="rId15">
              <w:r>
                <w:rPr>
                  <w:rFonts w:ascii="Times New Roman"/>
                  <w:sz w:val="18"/>
                </w:rPr>
                <w:t>http://w</w:t>
              </w:r>
            </w:hyperlink>
            <w:r>
              <w:rPr>
                <w:rFonts w:ascii="Times New Roman"/>
                <w:sz w:val="18"/>
              </w:rPr>
              <w:t> </w:t>
            </w:r>
            <w:r>
              <w:rPr>
                <w:rFonts w:ascii="Times New Roman"/>
                <w:spacing w:val="-2"/>
                <w:sz w:val="18"/>
              </w:rPr>
              <w:t>ww.cnin</w:t>
            </w:r>
            <w:r>
              <w:rPr>
                <w:rFonts w:ascii="Times New Roman"/>
                <w:w w:val="100"/>
                <w:sz w:val="18"/>
              </w:rPr>
              <w:t> </w:t>
            </w:r>
            <w:r>
              <w:rPr>
                <w:rFonts w:ascii="Times New Roman"/>
                <w:sz w:val="18"/>
              </w:rPr>
              <w:t>fo.com.</w:t>
            </w:r>
            <w:r>
              <w:rPr>
                <w:rFonts w:ascii="Times New Roman"/>
                <w:w w:val="100"/>
                <w:sz w:val="18"/>
              </w:rPr>
              <w:t> </w:t>
            </w:r>
            <w:r>
              <w:rPr>
                <w:rFonts w:ascii="Times New Roman"/>
                <w:sz w:val="18"/>
              </w:rPr>
              <w:t>cn/cninf</w:t>
            </w:r>
            <w:r>
              <w:rPr>
                <w:rFonts w:ascii="Times New Roman"/>
                <w:w w:val="99"/>
                <w:sz w:val="18"/>
              </w:rPr>
              <w:t> </w:t>
            </w:r>
            <w:r>
              <w:rPr>
                <w:rFonts w:ascii="Times New Roman"/>
                <w:sz w:val="18"/>
              </w:rPr>
              <w:t>o-new/d</w:t>
            </w:r>
            <w:r>
              <w:rPr>
                <w:rFonts w:ascii="Times New Roman"/>
                <w:w w:val="99"/>
                <w:sz w:val="18"/>
              </w:rPr>
              <w:t> </w:t>
            </w:r>
            <w:r>
              <w:rPr>
                <w:rFonts w:ascii="Times New Roman"/>
                <w:sz w:val="18"/>
              </w:rPr>
              <w:t>isclosur</w:t>
            </w:r>
            <w:r>
              <w:rPr>
                <w:rFonts w:ascii="Times New Roman"/>
                <w:w w:val="99"/>
                <w:sz w:val="18"/>
              </w:rPr>
              <w:t> </w:t>
            </w:r>
            <w:r>
              <w:rPr>
                <w:rFonts w:ascii="Times New Roman"/>
                <w:sz w:val="18"/>
              </w:rPr>
              <w:t>e/szse_s</w:t>
            </w:r>
            <w:r>
              <w:rPr>
                <w:rFonts w:ascii="Times New Roman"/>
                <w:spacing w:val="-1"/>
                <w:w w:val="99"/>
                <w:sz w:val="18"/>
              </w:rPr>
              <w:t> </w:t>
            </w:r>
            <w:r>
              <w:rPr>
                <w:rFonts w:ascii="Times New Roman"/>
                <w:sz w:val="18"/>
              </w:rPr>
              <w:t>me/bull</w:t>
            </w:r>
            <w:r>
              <w:rPr>
                <w:rFonts w:ascii="Times New Roman"/>
                <w:w w:val="100"/>
                <w:sz w:val="18"/>
              </w:rPr>
              <w:t> </w:t>
            </w:r>
            <w:r>
              <w:rPr>
                <w:rFonts w:ascii="Times New Roman"/>
                <w:sz w:val="18"/>
              </w:rPr>
              <w:t>etin_det</w:t>
            </w:r>
            <w:r>
              <w:rPr>
                <w:rFonts w:ascii="Times New Roman"/>
                <w:w w:val="100"/>
                <w:sz w:val="18"/>
              </w:rPr>
              <w:t> </w:t>
            </w:r>
            <w:r>
              <w:rPr>
                <w:rFonts w:ascii="Times New Roman"/>
                <w:sz w:val="18"/>
              </w:rPr>
              <w:t>ail/true/</w:t>
            </w:r>
            <w:r>
              <w:rPr>
                <w:rFonts w:ascii="Times New Roman"/>
                <w:w w:val="100"/>
                <w:sz w:val="18"/>
              </w:rPr>
              <w:t> </w:t>
            </w:r>
            <w:r>
              <w:rPr>
                <w:rFonts w:ascii="Times New Roman"/>
                <w:sz w:val="18"/>
              </w:rPr>
              <w:t>120166</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9246?an</w:t>
            </w:r>
          </w:p>
          <w:p>
            <w:pPr>
              <w:pStyle w:val="TableParagraph"/>
              <w:spacing w:line="362" w:lineRule="auto" w:before="105"/>
              <w:ind w:left="22" w:right="64"/>
              <w:jc w:val="both"/>
              <w:rPr>
                <w:rFonts w:ascii="Times New Roman" w:hAnsi="Times New Roman" w:cs="Times New Roman" w:eastAsia="Times New Roman" w:hint="default"/>
                <w:sz w:val="18"/>
                <w:szCs w:val="18"/>
              </w:rPr>
            </w:pPr>
            <w:r>
              <w:rPr>
                <w:rFonts w:ascii="Times New Roman"/>
                <w:sz w:val="18"/>
              </w:rPr>
              <w:t>nounce</w:t>
            </w:r>
            <w:r>
              <w:rPr>
                <w:rFonts w:ascii="Times New Roman"/>
                <w:w w:val="100"/>
                <w:sz w:val="18"/>
              </w:rPr>
              <w:t> </w:t>
            </w:r>
            <w:r>
              <w:rPr>
                <w:rFonts w:ascii="Times New Roman"/>
                <w:sz w:val="18"/>
              </w:rPr>
              <w:t>Time=2</w:t>
            </w:r>
            <w:r>
              <w:rPr>
                <w:rFonts w:ascii="Times New Roman"/>
                <w:w w:val="100"/>
                <w:sz w:val="18"/>
              </w:rPr>
              <w:t> </w:t>
            </w:r>
            <w:r>
              <w:rPr>
                <w:rFonts w:ascii="Times New Roman"/>
                <w:sz w:val="18"/>
              </w:rPr>
              <w:t>015-10-</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193,80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-3,282,0</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53.17</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704"/>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向社会公 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6,958.79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54,194.21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46,225.06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购买银行 理财产品</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发行短期 融资券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59,194.21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46,225.06</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90,566.32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3,885.65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9,734.67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15,939.63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7,591.55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万元，募集资金累计投入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54,194.21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46,225.06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其中包含利息及理财收益净收入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9,852.94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项目达到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是否达到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项目可行</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19"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10"/>
              <w:ind w:left="83"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04" w:right="24"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00" w:right="23" w:hanging="76"/>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8" w:lineRule="auto" w:before="10"/>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95" w:right="23" w:hanging="270"/>
              <w:jc w:val="left"/>
              <w:rPr>
                <w:rFonts w:ascii="宋体" w:hAnsi="宋体" w:cs="宋体" w:eastAsia="宋体" w:hint="default"/>
                <w:sz w:val="18"/>
                <w:szCs w:val="18"/>
              </w:rPr>
            </w:pPr>
            <w:r>
              <w:rPr>
                <w:rFonts w:ascii="宋体" w:hAnsi="宋体" w:cs="宋体" w:eastAsia="宋体" w:hint="default"/>
                <w:sz w:val="18"/>
                <w:szCs w:val="18"/>
              </w:rPr>
              <w:t>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5" w:right="23"/>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新一代电子政务应用 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6,764.68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8,224.43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1,732.71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信息安全风险综合管 理系统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67.70%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质检三电工程企业端 软件运维服务平台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9,024.31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10,903.06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协同管理软件平台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8,938.89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66.88%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1,847.91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技术研发与创新中心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3,104.37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4,288.62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29,689.94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4,222.85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40.37%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24,504.27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88,682.83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6,958.79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54,194.21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4,222.85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受到全球经济的影响，一方面由于周边市场环境发生变化，研发环境建设投入放缓；另一方面为了 应对市场需求发生变化和技术发展需要，为了满足客户需求，公司继续加大研发投入促进产品升级 换代，适当延长研发期间；同时募集资金投资项目尚未整体达产，其规模效应还未充分发挥，虽然 </w:t>
            </w:r>
            <w:r>
              <w:rPr>
                <w:rFonts w:ascii="宋体" w:hAnsi="宋体" w:cs="宋体" w:eastAsia="宋体" w:hint="default"/>
                <w:spacing w:val="-2"/>
                <w:sz w:val="18"/>
                <w:szCs w:val="18"/>
              </w:rPr>
              <w:t>销售出现了一定程度增长，却未完全达到预期。基于上述原因，</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年度募集资金投资项目形成的</w:t>
            </w:r>
            <w:r>
              <w:rPr>
                <w:rFonts w:ascii="宋体" w:hAnsi="宋体" w:cs="宋体" w:eastAsia="宋体" w:hint="default"/>
                <w:spacing w:val="-86"/>
                <w:sz w:val="18"/>
                <w:szCs w:val="18"/>
              </w:rPr>
              <w:t> </w:t>
            </w:r>
            <w:r>
              <w:rPr>
                <w:rFonts w:ascii="宋体" w:hAnsi="宋体" w:cs="宋体" w:eastAsia="宋体" w:hint="default"/>
                <w:sz w:val="18"/>
                <w:szCs w:val="18"/>
              </w:rPr>
              <w:t>现有效益未能完全达到招股说明书承诺的项目整体完成后的预期收益。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年，公司变更募投项目实施地点及实施方式，原募投项目场地投入</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5,828.75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万元，本次追加投</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7,471.25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4,087.76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万元，追加投资后</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场地总投资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13,300.00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年，公司以超募资金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万元投资设立子公司福建榕易付网 络科技有限公司，子公司北京中榕基信息技术有限公司减资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年，河南榕基信 息技术有限公司以超募资金支付土地竞买保证金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万元，收回原购买土地预付款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bl>
    <w:p>
      <w:pPr>
        <w:spacing w:after="0" w:line="30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日召开的第三届董事会第十三次会议，会议决定变更募集资金投资项目实施</w:t>
            </w:r>
            <w:r>
              <w:rPr>
                <w:rFonts w:ascii="宋体" w:hAnsi="宋体" w:cs="宋体" w:eastAsia="宋体" w:hint="default"/>
                <w:sz w:val="18"/>
                <w:szCs w:val="18"/>
              </w:rPr>
              <w:t> 地点，实施地点由原来的福州软件园变更为福州高新区海西园。</w:t>
            </w:r>
          </w:p>
        </w:tc>
      </w:tr>
      <w:tr>
        <w:trPr>
          <w:trHeight w:val="325"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7"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202"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
        </w:tc>
      </w:tr>
      <w:tr>
        <w:trPr>
          <w:trHeight w:val="200" w:hRule="exact"/>
        </w:trPr>
        <w:tc>
          <w:tcPr>
            <w:tcW w:w="17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vMerge/>
            <w:tcBorders>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7"/>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年，福建榕基软件股份有限公司使用闲置募集资金购买银行理财产品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福建榕易付网络科技有限公司使用闲置募集资金购买理财产品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投资设立子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投资设立子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11,504.27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40.37%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11,504.27</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日召开第三届董事会第十六次会议及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年第一次临时股东大会，会议审议通过了《关于变更部分超募资金使用计划</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同意对北京中榕基信息技术有限公司减资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本次减资后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其注册资本由原来的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万元；本公司将收回超募资金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万元，并将收回的超募资金用于以下两个方面：使用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万元设立福</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建榕易付公司，剩余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万元暂无使用计划，将转回公司募集资金专户管理。</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vMerge/>
            <w:tcBorders>
              <w:left w:val="single" w:sz="4" w:space="0" w:color="000000"/>
              <w:right w:val="single" w:sz="4" w:space="0" w:color="000000"/>
            </w:tcBorders>
          </w:tcPr>
          <w:p>
            <w:pPr/>
          </w:p>
        </w:tc>
      </w:tr>
      <w:tr>
        <w:trPr>
          <w:trHeight w:val="629"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vMerge/>
            <w:tcBorders>
              <w:left w:val="single" w:sz="4" w:space="0" w:color="000000"/>
              <w:bottom w:val="single" w:sz="4" w:space="0" w:color="000000"/>
              <w:right w:val="single" w:sz="4" w:space="0" w:color="000000"/>
            </w:tcBorders>
          </w:tcPr>
          <w:p>
            <w:pPr/>
          </w:p>
        </w:tc>
      </w:tr>
      <w:tr>
        <w:trPr>
          <w:trHeight w:val="40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8"/>
      </w:tblGrid>
      <w:tr>
        <w:trPr>
          <w:trHeight w:val="362"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704"/>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4849" w:space="407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电气自动化</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福州创华电 气自动化系 统有限公司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控制系统服 务、计算机 软件销售， 计算机网络</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71,160,355.8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69,451,343.2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32,075.47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16,896,289.1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17,166,791.8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成果转让， 计算机数据 处理、计算</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32,472,825.0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center"/>
              <w:rPr>
                <w:rFonts w:ascii="Times New Roman" w:hAnsi="Times New Roman" w:cs="Times New Roman" w:eastAsia="Times New Roman" w:hint="default"/>
                <w:sz w:val="18"/>
                <w:szCs w:val="18"/>
              </w:rPr>
            </w:pPr>
            <w:r>
              <w:rPr>
                <w:rFonts w:ascii="Times New Roman"/>
                <w:sz w:val="18"/>
              </w:rPr>
              <w:t>7,024,011.55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14,823,446.6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 w:right="0"/>
              <w:jc w:val="center"/>
              <w:rPr>
                <w:rFonts w:ascii="Times New Roman" w:hAnsi="Times New Roman" w:cs="Times New Roman" w:eastAsia="Times New Roman" w:hint="default"/>
                <w:sz w:val="18"/>
                <w:szCs w:val="18"/>
              </w:rPr>
            </w:pPr>
            <w:r>
              <w:rPr>
                <w:rFonts w:ascii="Times New Roman"/>
                <w:sz w:val="18"/>
              </w:rPr>
              <w:t>1,541,462.87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center"/>
              <w:rPr>
                <w:rFonts w:ascii="Times New Roman" w:hAnsi="Times New Roman" w:cs="Times New Roman" w:eastAsia="Times New Roman" w:hint="default"/>
                <w:sz w:val="18"/>
                <w:szCs w:val="18"/>
              </w:rPr>
            </w:pPr>
            <w:r>
              <w:rPr>
                <w:rFonts w:ascii="Times New Roman"/>
                <w:sz w:val="18"/>
              </w:rPr>
              <w:t>1,595,586.82</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机数据库、</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计算机维护</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电子计算机</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119"/>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软硬件领域 内的技术开 发，技术转 让，技术咨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104,506,883.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87,546,399.7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5,143,456.53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-3,159,338.8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-3,268,027.9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询，技术服</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
              <w:jc w:val="both"/>
              <w:rPr>
                <w:rFonts w:ascii="宋体" w:hAnsi="宋体" w:cs="宋体" w:eastAsia="宋体" w:hint="default"/>
                <w:sz w:val="18"/>
                <w:szCs w:val="18"/>
              </w:rPr>
            </w:pPr>
            <w:r>
              <w:rPr>
                <w:rFonts w:ascii="宋体" w:hAnsi="宋体" w:cs="宋体" w:eastAsia="宋体" w:hint="default"/>
                <w:spacing w:val="-14"/>
                <w:sz w:val="18"/>
                <w:szCs w:val="18"/>
              </w:rPr>
              <w:t>榕基五一（北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京）信息技术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辅助设备、 机械设备、 电子产品、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113,010,393.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18,642,521.4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133,338,001.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-16,579,639.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-10,165,942.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器件和元</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件、仪器仪</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表</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务，软件开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平面设计，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河南榕基信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硬件及耗 材、办公设 备租赁、销</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126,299,431.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80,317,616.9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7" w:right="0"/>
              <w:jc w:val="left"/>
              <w:rPr>
                <w:rFonts w:ascii="Times New Roman" w:hAnsi="Times New Roman" w:cs="Times New Roman" w:eastAsia="Times New Roman" w:hint="default"/>
                <w:sz w:val="18"/>
                <w:szCs w:val="18"/>
              </w:rPr>
            </w:pPr>
            <w:r>
              <w:rPr>
                <w:rFonts w:ascii="Times New Roman"/>
                <w:sz w:val="18"/>
              </w:rPr>
              <w:t>8,695,369.45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-2,866,747.6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-2,655,931.4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售，网络技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务，办公自</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动化产品销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售及服务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计算机及网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络软件开发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机硬件技术</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马鞍山榕基 软件信息科 技有限公司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服务，电子 计算机及配 件的批发，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129,453,644.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45,399,708.4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41" w:right="0"/>
              <w:jc w:val="left"/>
              <w:rPr>
                <w:rFonts w:ascii="Times New Roman" w:hAnsi="Times New Roman" w:cs="Times New Roman" w:eastAsia="Times New Roman" w:hint="default"/>
                <w:sz w:val="18"/>
                <w:szCs w:val="18"/>
              </w:rPr>
            </w:pPr>
            <w:r>
              <w:rPr>
                <w:rFonts w:ascii="Times New Roman"/>
                <w:sz w:val="18"/>
              </w:rPr>
              <w:t>-492,131.94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2" w:right="0"/>
              <w:jc w:val="left"/>
              <w:rPr>
                <w:rFonts w:ascii="Times New Roman" w:hAnsi="Times New Roman" w:cs="Times New Roman" w:eastAsia="Times New Roman" w:hint="default"/>
                <w:sz w:val="18"/>
                <w:szCs w:val="18"/>
              </w:rPr>
            </w:pPr>
            <w:r>
              <w:rPr>
                <w:rFonts w:ascii="Times New Roman"/>
                <w:sz w:val="18"/>
              </w:rPr>
              <w:t>-60,573.74</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自营或代理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各类商品和</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口业务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10"/>
              <w:jc w:val="left"/>
              <w:rPr>
                <w:rFonts w:ascii="宋体" w:hAnsi="宋体" w:cs="宋体" w:eastAsia="宋体" w:hint="default"/>
                <w:sz w:val="18"/>
                <w:szCs w:val="18"/>
              </w:rPr>
            </w:pPr>
            <w:r>
              <w:rPr>
                <w:rFonts w:ascii="宋体" w:hAnsi="宋体" w:cs="宋体" w:eastAsia="宋体" w:hint="default"/>
                <w:sz w:val="18"/>
                <w:szCs w:val="18"/>
              </w:rPr>
              <w:t>计算机维 修，计算机 系统服务，</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97,550,434.3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45,497,928.9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7" w:right="0"/>
              <w:jc w:val="left"/>
              <w:rPr>
                <w:rFonts w:ascii="Times New Roman" w:hAnsi="Times New Roman" w:cs="Times New Roman" w:eastAsia="Times New Roman" w:hint="default"/>
                <w:sz w:val="18"/>
                <w:szCs w:val="18"/>
              </w:rPr>
            </w:pPr>
            <w:r>
              <w:rPr>
                <w:rFonts w:ascii="Times New Roman"/>
                <w:sz w:val="18"/>
              </w:rPr>
              <w:t>2,120,301.89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-1,726,866.5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-1,591,239.9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辅助设备、</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88.519699pt;margin-top:516.299988pt;width:84.9pt;height:144.450pt;mso-position-horizontal-relative:page;mso-position-vertical-relative:page;z-index:-1143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636" w:lineRule="auto" w:before="158"/>
                    <w:ind w:left="180" w:right="976" w:hanging="180"/>
                    <w:jc w:val="left"/>
                  </w:pPr>
                  <w:r>
                    <w:rPr/>
                    <w:t>制造业、 农业，</w:t>
                  </w:r>
                </w:p>
              </w:txbxContent>
            </v:textbox>
            <w10:wrap type="none"/>
          </v:shape>
        </w:pict>
      </w:r>
      <w:r>
        <w:rPr/>
        <w:pict>
          <v:group style="position:absolute;margin-left:221.699997pt;margin-top:516.299988pt;width:51.75pt;height:144.450pt;mso-position-horizontal-relative:page;mso-position-vertical-relative:page;z-index:-1143112" coordorigin="4434,10326" coordsize="1035,2889">
            <v:group style="position:absolute;left:4434;top:10326;width:1035;height:2889" coordorigin="4434,10326" coordsize="1035,2889">
              <v:shape style="position:absolute;left:4434;top:10326;width:1035;height:2889" coordorigin="4434,10326" coordsize="1035,2889" path="m4434,13214l5468,13214,5468,10326,4434,10326,4434,13214xe" filled="true" fillcolor="#ffffff" stroked="false">
                <v:path arrowok="t"/>
                <v:fill type="solid"/>
              </v:shape>
            </v:group>
            <v:group style="position:absolute;left:4457;top:11418;width:989;height:352" coordorigin="4457,11418" coordsize="989,352">
              <v:shape style="position:absolute;left:4457;top:11418;width:989;height:352" coordorigin="4457,11418" coordsize="989,352" path="m4457,11770l5446,11770,5446,11418,4457,11418,4457,11770xe" filled="true" fillcolor="#ffffff" stroked="false">
                <v:path arrowok="t"/>
                <v:fill type="solid"/>
              </v:shape>
            </v:group>
            <v:group style="position:absolute;left:4457;top:11770;width:989;height:353" coordorigin="4457,11770" coordsize="989,353">
              <v:shape style="position:absolute;left:4457;top:11770;width:989;height:353" coordorigin="4457,11770" coordsize="989,353" path="m4457,12122l5446,12122,5446,11770,4457,11770,4457,1212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技术进出</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口、货物进</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出口、代理</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计算机网络</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软件研发与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计算机硬件</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成服务，电</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子计算机及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配件的批发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零售，建筑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智能化的设 计与施工服 务，安防工</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83,037,918.2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72,816,175.6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92,370,552.5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12,132,343.7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13,335,211.1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程的设计与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自营和代理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各类商品和</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口，国家限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定公司经营</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或禁止进出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口的商品和</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技术除外</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对信息传</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服务和软件</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业、 服务业、教 育业，</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52,094,223.8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52,050,223.8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136,352.52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0" w:right="0"/>
              <w:jc w:val="center"/>
              <w:rPr>
                <w:rFonts w:ascii="Times New Roman" w:hAnsi="Times New Roman" w:cs="Times New Roman" w:eastAsia="Times New Roman" w:hint="default"/>
                <w:sz w:val="18"/>
                <w:szCs w:val="18"/>
              </w:rPr>
            </w:pPr>
            <w:r>
              <w:rPr>
                <w:rFonts w:ascii="Times New Roman"/>
                <w:sz w:val="18"/>
              </w:rPr>
              <w:t>136,352.52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工业、交通</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运输业的投</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19"/>
              <w:jc w:val="left"/>
              <w:rPr>
                <w:rFonts w:ascii="宋体" w:hAnsi="宋体" w:cs="宋体" w:eastAsia="宋体" w:hint="default"/>
                <w:sz w:val="18"/>
                <w:szCs w:val="18"/>
              </w:rPr>
            </w:pPr>
            <w:r>
              <w:rPr>
                <w:rFonts w:ascii="宋体" w:hAnsi="宋体" w:cs="宋体" w:eastAsia="宋体" w:hint="default"/>
                <w:sz w:val="18"/>
                <w:szCs w:val="18"/>
              </w:rPr>
              <w:t>榕基国际投 资有限公司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国际市场合 作开发，进 出口贸易， 计算机软硬</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85,280,283.8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85,273,774.9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1,002,553.96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1,002,553.96</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件销售服务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97.519699pt;margin-top:703.380005pt;width:75.9pt;height:64.45pt;mso-position-horizontal-relative:page;mso-position-vertical-relative:page;z-index:-1143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制造、</w:t>
                  </w:r>
                </w:p>
              </w:txbxContent>
            </v:textbox>
            <w10:wrap type="none"/>
          </v:shape>
        </w:pict>
      </w:r>
      <w:r>
        <w:rPr/>
        <w:pict>
          <v:group style="position:absolute;margin-left:221.699997pt;margin-top:703.380005pt;width:51.75pt;height:64.45pt;mso-position-horizontal-relative:page;mso-position-vertical-relative:page;z-index:-1143064" coordorigin="4434,14068" coordsize="1035,1289">
            <v:group style="position:absolute;left:4434;top:14068;width:1035;height:1289" coordorigin="4434,14068" coordsize="1035,1289">
              <v:shape style="position:absolute;left:4434;top:14068;width:1035;height:1289" coordorigin="4434,14068" coordsize="1035,1289" path="m4434,15356l5468,15356,5468,14068,4434,14068,4434,15356xe" filled="true" fillcolor="#ffffff" stroked="false">
                <v:path arrowok="t"/>
                <v:fill type="solid"/>
              </v:shape>
            </v:group>
            <v:group style="position:absolute;left:4457;top:14360;width:989;height:352" coordorigin="4457,14360" coordsize="989,352">
              <v:shape style="position:absolute;left:4457;top:14360;width:989;height:352" coordorigin="4457,14360" coordsize="989,352" path="m4457,14712l5446,14712,5446,14360,4457,14360,4457,14712xe" filled="true" fillcolor="#ffffff" stroked="false">
                <v:path arrowok="t"/>
                <v:fill type="solid"/>
              </v:shape>
            </v:group>
            <v:group style="position:absolute;left:4457;top:14712;width:989;height:352" coordorigin="4457,14712" coordsize="989,352">
              <v:shape style="position:absolute;left:4457;top:14712;width:989;height:352" coordorigin="4457,14712" coordsize="989,352" path="m4457,15064l5446,15064,5446,14712,4457,14712,4457,150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河南豫础置 业有限公司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与经营（凭 有效资质证 </w:t>
            </w:r>
            <w:r>
              <w:rPr>
                <w:rFonts w:ascii="宋体" w:hAnsi="宋体" w:cs="宋体" w:eastAsia="宋体" w:hint="default"/>
                <w:spacing w:val="-16"/>
                <w:sz w:val="18"/>
                <w:szCs w:val="18"/>
              </w:rPr>
              <w:t>经营）、房屋</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32,958,700.8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26,445,690.7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-2,333,280.7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-2,717,888.1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信阳榕基信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机硬件技术 服务、产品 销售、技术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177,442,619.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10,934,890.0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-5,721,468.9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-5,041,550.3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服务、系统</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电力行业协</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同办公系</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福建亿榕信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统、电力仪 器仪表、电 能计量设备 和电力信息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473,530,238.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159,025,970.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377,628,420.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50,500,012.2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49,138,710.7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化建设咨询</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莲子种植及</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初级农产品</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的初加工、</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销售和产品</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福建文鑫莲 业食品有限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研发；预包 装食品和散 装食品的批</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30,247,100.0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196,259,415.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105,998,640.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129,692,699.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spacing w:val="-1"/>
                <w:sz w:val="18"/>
              </w:rPr>
              <w:t>2,621,428.11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4,428,213.15</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发零售；莲</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子剥壳机、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脱模机的生</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福建榕易付 网络科技有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机软硬件研 发和技术服 务；信息系 统集成服</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105,000,000.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105,535,573.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104,985,573.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5"/>
                <w:sz w:val="18"/>
              </w:rPr>
              <w:t>-14,426.26</w:t>
            </w:r>
            <w:r>
              <w:rPr>
                <w:rFonts w:ascii="Times New Roman"/>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w w:val="95"/>
                <w:sz w:val="18"/>
              </w:rPr>
              <w:t>-14,426.26</w:t>
            </w:r>
            <w:r>
              <w:rPr>
                <w:rFonts w:ascii="Times New Roman"/>
                <w:sz w:val="18"/>
              </w:rPr>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2"/>
                <w:sz w:val="18"/>
                <w:szCs w:val="18"/>
              </w:rPr>
              <w:t> </w:t>
            </w:r>
            <w:r>
              <w:rPr>
                <w:rFonts w:ascii="宋体" w:hAnsi="宋体" w:cs="宋体" w:eastAsia="宋体" w:hint="default"/>
                <w:sz w:val="18"/>
                <w:szCs w:val="18"/>
              </w:rPr>
              <w:t>；信息技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术咨询服务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福建星榕基 信息科技有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电子产品的 研发、 销售；计算 机、软件及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50,000,400.9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91" w:right="0"/>
              <w:jc w:val="left"/>
              <w:rPr>
                <w:rFonts w:ascii="Times New Roman" w:hAnsi="Times New Roman" w:cs="Times New Roman" w:eastAsia="Times New Roman" w:hint="default"/>
                <w:sz w:val="18"/>
                <w:szCs w:val="18"/>
              </w:rPr>
            </w:pPr>
            <w:r>
              <w:rPr>
                <w:rFonts w:ascii="Times New Roman"/>
                <w:sz w:val="18"/>
              </w:rPr>
              <w:t>30,000.00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534.65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400.99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辅助设备的</w:t>
            </w:r>
          </w:p>
        </w:tc>
        <w:tc>
          <w:tcPr>
            <w:tcW w:w="1045" w:type="dxa"/>
            <w:vMerge w:val="restart"/>
            <w:tcBorders>
              <w:top w:val="single" w:sz="4" w:space="0" w:color="000000"/>
              <w:left w:val="single" w:sz="4" w:space="0" w:color="000000"/>
              <w:right w:val="single" w:sz="4" w:space="0" w:color="000000"/>
            </w:tcBorders>
          </w:tcPr>
          <w:p>
            <w:pPr>
              <w:pStyle w:val="TableParagraph"/>
              <w:spacing w:line="22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1.75pt;height:111.25pt;mso-position-horizontal-relative:char;mso-position-vertical-relative:line" coordorigin="0,0" coordsize="1035,2225">
                  <v:group style="position:absolute;left:0;top:0;width:1035;height:2225" coordorigin="0,0" coordsize="1035,2225">
                    <v:shape style="position:absolute;left:0;top:0;width:1035;height:2225" coordorigin="0,0" coordsize="1035,2225" path="m0,2225l1034,2225,1034,0,0,0,0,2225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国内贸易代</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理；信息技</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务；对外贸</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w:t>
            </w: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shape style="position:absolute;margin-left:197.519699pt;margin-top:-111.738007pt;width:75.9pt;height:111.25pt;mso-position-horizontal-relative:page;mso-position-vertical-relative:paragraph;z-index:-1143016" type="#_x0000_t202" filled="false" stroked="false">
            <v:textbox inset="0,0,0,0">
              <w:txbxContent>
                <w:p>
                  <w:pPr>
                    <w:spacing w:line="240" w:lineRule="auto" w:before="8"/>
                    <w:rPr>
                      <w:rFonts w:ascii="宋体" w:hAnsi="宋体" w:cs="宋体" w:eastAsia="宋体" w:hint="default"/>
                      <w:sz w:val="24"/>
                      <w:szCs w:val="24"/>
                    </w:rPr>
                  </w:pPr>
                </w:p>
                <w:p>
                  <w:pPr>
                    <w:pStyle w:val="BodyText"/>
                    <w:spacing w:line="240" w:lineRule="auto"/>
                    <w:ind w:left="0" w:right="0"/>
                    <w:jc w:val="left"/>
                  </w:pPr>
                  <w:r>
                    <w:rPr/>
                    <w:t>零售；</w:t>
                  </w:r>
                </w:p>
              </w:txbxContent>
            </v:textbox>
            <w10:wrap type="none"/>
          </v:shape>
        </w:pict>
      </w:r>
      <w:r>
        <w:rPr/>
        <w:t>报告期内取得和处置子公司的情况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福建榕易付网络科技有限公司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三电工程</w:t>
            </w:r>
            <w:r>
              <w:rPr>
                <w:rFonts w:ascii="Times New Roman" w:hAnsi="Times New Roman" w:cs="Times New Roman" w:eastAsia="Times New Roman" w:hint="default"/>
                <w:sz w:val="18"/>
                <w:szCs w:val="18"/>
              </w:rPr>
              <w:t>”</w:t>
            </w:r>
            <w:r>
              <w:rPr>
                <w:rFonts w:ascii="宋体" w:hAnsi="宋体" w:cs="宋体" w:eastAsia="宋体" w:hint="default"/>
                <w:sz w:val="18"/>
                <w:szCs w:val="18"/>
              </w:rPr>
              <w:t>面向全国几万家进出口企 业交易为基础将开展榕基网络支付业务</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（互联网支付和移动电话支付）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更好地拓展检验检疫行业以及其他市场</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进一步提升公司信息安全领域的整体实 力</w:t>
            </w:r>
          </w:p>
        </w:tc>
      </w:tr>
      <w:tr>
        <w:trPr>
          <w:trHeight w:val="133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进一步提高公司的整体实力，重点面向 福建省中小企业信息化云服务公共平台 和福建省物联网公共服务平台拓展业 务。</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800"/>
        </w:sectPr>
      </w:pPr>
    </w:p>
    <w:p>
      <w:pPr>
        <w:pStyle w:val="BodyText"/>
        <w:spacing w:line="360" w:lineRule="auto" w:before="51"/>
        <w:ind w:left="153" w:right="-19"/>
        <w:jc w:val="left"/>
      </w:pPr>
      <w:r>
        <w:rPr/>
        <w:t>主要控股参股公司情况说明 重要的非全资子公司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800"/>
          <w:cols w:num="2" w:equalWidth="0">
            <w:col w:w="2315" w:space="6604"/>
            <w:col w:w="1211"/>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48"/>
        <w:gridCol w:w="1722"/>
        <w:gridCol w:w="1974"/>
        <w:gridCol w:w="2046"/>
        <w:gridCol w:w="1865"/>
      </w:tblGrid>
      <w:tr>
        <w:trPr>
          <w:trHeight w:val="738" w:hRule="exact"/>
        </w:trPr>
        <w:tc>
          <w:tcPr>
            <w:tcW w:w="2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少数股东持股比例</w:t>
            </w:r>
            <w:r>
              <w:rPr>
                <w:rFonts w:ascii="Times New Roman" w:hAnsi="Times New Roman" w:cs="Times New Roman" w:eastAsia="Times New Roman" w:hint="default"/>
                <w:sz w:val="18"/>
                <w:szCs w:val="18"/>
              </w:rPr>
              <w:t>%</w:t>
            </w:r>
          </w:p>
        </w:tc>
        <w:tc>
          <w:tcPr>
            <w:tcW w:w="19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61"/>
              <w:ind w:left="799" w:right="7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20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9" w:lineRule="auto" w:before="61"/>
              <w:ind w:left="746" w:right="23" w:hanging="720"/>
              <w:jc w:val="left"/>
              <w:rPr>
                <w:rFonts w:ascii="宋体" w:hAnsi="宋体" w:cs="宋体" w:eastAsia="宋体" w:hint="default"/>
                <w:sz w:val="18"/>
                <w:szCs w:val="18"/>
              </w:rPr>
            </w:pPr>
            <w:r>
              <w:rPr>
                <w:rFonts w:ascii="宋体" w:hAnsi="宋体" w:cs="宋体" w:eastAsia="宋体" w:hint="default"/>
                <w:sz w:val="18"/>
                <w:szCs w:val="18"/>
              </w:rPr>
              <w:t>本期向少数股东宣告分派 的股利</w:t>
            </w:r>
          </w:p>
        </w:tc>
        <w:tc>
          <w:tcPr>
            <w:tcW w:w="18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27" w:hRule="exact"/>
        </w:trPr>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6"/>
              <w:jc w:val="center"/>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159,558.68</w:t>
            </w:r>
          </w:p>
        </w:tc>
        <w:tc>
          <w:tcPr>
            <w:tcW w:w="2046"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702,401.16</w:t>
            </w:r>
          </w:p>
        </w:tc>
      </w:tr>
      <w:tr>
        <w:trPr>
          <w:trHeight w:val="739" w:hRule="exact"/>
        </w:trPr>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6"/>
                <w:sz w:val="18"/>
                <w:szCs w:val="18"/>
              </w:rPr>
              <w:t>福建星榕基信息科技有限责 </w:t>
            </w:r>
            <w:r>
              <w:rPr>
                <w:rFonts w:ascii="宋体" w:hAnsi="宋体" w:cs="宋体" w:eastAsia="宋体" w:hint="default"/>
                <w:sz w:val="18"/>
                <w:szCs w:val="18"/>
              </w:rPr>
              <w:t>任公司</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29.00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116.29</w:t>
            </w:r>
          </w:p>
        </w:tc>
        <w:tc>
          <w:tcPr>
            <w:tcW w:w="2046"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14,500,116.29</w:t>
            </w:r>
          </w:p>
        </w:tc>
      </w:tr>
      <w:tr>
        <w:trPr>
          <w:trHeight w:val="427" w:hRule="exact"/>
        </w:trPr>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6"/>
              <w:jc w:val="center"/>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54.10</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c>
          <w:tcPr>
            <w:tcW w:w="2046"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r>
    </w:tbl>
    <w:p>
      <w:pPr>
        <w:pStyle w:val="BodyText"/>
        <w:spacing w:line="240" w:lineRule="auto" w:before="51"/>
        <w:ind w:right="0"/>
        <w:jc w:val="left"/>
      </w:pPr>
      <w:r>
        <w:rPr/>
        <w:t>重要非全资子公司的主要财务信息：</w:t>
      </w:r>
    </w:p>
    <w:p>
      <w:pPr>
        <w:pStyle w:val="BodyText"/>
        <w:spacing w:line="240" w:lineRule="auto" w:before="117"/>
        <w:ind w:left="0" w:right="331"/>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84"/>
        <w:gridCol w:w="1435"/>
        <w:gridCol w:w="1315"/>
        <w:gridCol w:w="1354"/>
        <w:gridCol w:w="1355"/>
        <w:gridCol w:w="1354"/>
        <w:gridCol w:w="1358"/>
      </w:tblGrid>
      <w:tr>
        <w:trPr>
          <w:trHeight w:val="427" w:hRule="exact"/>
        </w:trPr>
        <w:tc>
          <w:tcPr>
            <w:tcW w:w="168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71"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27" w:hRule="exact"/>
        </w:trPr>
        <w:tc>
          <w:tcPr>
            <w:tcW w:w="1684" w:type="dxa"/>
            <w:vMerge/>
            <w:tcBorders>
              <w:left w:val="single" w:sz="6" w:space="0" w:color="000000"/>
              <w:bottom w:val="single" w:sz="6" w:space="0" w:color="000000"/>
              <w:right w:val="single" w:sz="6" w:space="0" w:color="000000"/>
            </w:tcBorders>
            <w:shd w:val="clear" w:color="auto" w:fill="D9D9D9"/>
          </w:tcPr>
          <w:p>
            <w:pPr/>
          </w:p>
        </w:tc>
        <w:tc>
          <w:tcPr>
            <w:tcW w:w="14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5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9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0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1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39"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浙江榕基信息技术有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25,510,439.16</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6,962,385.90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32,472,825.06</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25,448,813.51</w:t>
            </w:r>
          </w:p>
        </w:tc>
        <w:tc>
          <w:tcPr>
            <w:tcW w:w="135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25,448,813.51</w:t>
            </w:r>
          </w:p>
        </w:tc>
      </w:tr>
      <w:tr>
        <w:trPr>
          <w:trHeight w:val="739"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福建星榕基信息科技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有限责任公司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50,030,000.00</w:t>
            </w:r>
          </w:p>
        </w:tc>
        <w:tc>
          <w:tcPr>
            <w:tcW w:w="131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50,030,000.00</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29,599.01</w:t>
            </w:r>
          </w:p>
        </w:tc>
        <w:tc>
          <w:tcPr>
            <w:tcW w:w="135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29,599.01</w:t>
            </w:r>
          </w:p>
        </w:tc>
      </w:tr>
      <w:tr>
        <w:trPr>
          <w:trHeight w:val="427"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浙江检榕网络科技有</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130,076.63</w:t>
            </w:r>
          </w:p>
        </w:tc>
        <w:tc>
          <w:tcPr>
            <w:tcW w:w="131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130,076.63</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704,347.74</w:t>
            </w:r>
          </w:p>
        </w:tc>
        <w:tc>
          <w:tcPr>
            <w:tcW w:w="135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704,347.74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8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84"/>
        <w:gridCol w:w="1435"/>
        <w:gridCol w:w="1315"/>
        <w:gridCol w:w="1354"/>
        <w:gridCol w:w="1355"/>
        <w:gridCol w:w="1354"/>
        <w:gridCol w:w="1358"/>
      </w:tblGrid>
      <w:tr>
        <w:trPr>
          <w:trHeight w:val="388"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35"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t>续（</w:t>
      </w:r>
      <w:r>
        <w:rPr>
          <w:rFonts w:ascii="Times New Roman" w:hAnsi="Times New Roman" w:cs="Times New Roman" w:eastAsia="Times New Roman" w:hint="default"/>
        </w:rPr>
        <w:t>1</w:t>
      </w:r>
      <w:r>
        <w:rPr>
          <w:spacing w:val="-90"/>
        </w:rPr>
        <w:t>）</w:t>
      </w:r>
      <w:r>
        <w:rPr/>
        <w:t>：</w:t>
      </w:r>
    </w:p>
    <w:p>
      <w:pPr>
        <w:pStyle w:val="BodyText"/>
        <w:spacing w:line="240" w:lineRule="auto" w:before="103"/>
        <w:ind w:left="0" w:right="331"/>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690"/>
        <w:gridCol w:w="1361"/>
        <w:gridCol w:w="1360"/>
        <w:gridCol w:w="1360"/>
        <w:gridCol w:w="1361"/>
        <w:gridCol w:w="1360"/>
        <w:gridCol w:w="1364"/>
      </w:tblGrid>
      <w:tr>
        <w:trPr>
          <w:trHeight w:val="427" w:hRule="exact"/>
        </w:trPr>
        <w:tc>
          <w:tcPr>
            <w:tcW w:w="169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65"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1690" w:type="dxa"/>
            <w:vMerge/>
            <w:tcBorders>
              <w:left w:val="single" w:sz="6" w:space="0" w:color="000000"/>
              <w:bottom w:val="single" w:sz="6" w:space="0" w:color="000000"/>
              <w:right w:val="single" w:sz="6" w:space="0" w:color="000000"/>
            </w:tcBorders>
            <w:shd w:val="clear" w:color="auto" w:fill="D9D9D9"/>
          </w:tcPr>
          <w:p>
            <w:pPr/>
          </w:p>
        </w:tc>
        <w:tc>
          <w:tcPr>
            <w:tcW w:w="13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2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1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39"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3"/>
              <w:jc w:val="left"/>
              <w:rPr>
                <w:rFonts w:ascii="宋体" w:hAnsi="宋体" w:cs="宋体" w:eastAsia="宋体" w:hint="default"/>
                <w:sz w:val="18"/>
                <w:szCs w:val="18"/>
              </w:rPr>
            </w:pPr>
            <w:r>
              <w:rPr>
                <w:rFonts w:ascii="宋体" w:hAnsi="宋体" w:cs="宋体" w:eastAsia="宋体" w:hint="default"/>
                <w:spacing w:val="6"/>
                <w:sz w:val="18"/>
                <w:szCs w:val="18"/>
              </w:rPr>
              <w:t>浙江榕基信息技术有 </w:t>
            </w:r>
            <w:r>
              <w:rPr>
                <w:rFonts w:ascii="宋体" w:hAnsi="宋体" w:cs="宋体" w:eastAsia="宋体" w:hint="default"/>
                <w:sz w:val="18"/>
                <w:szCs w:val="18"/>
              </w:rPr>
              <w:t>限公司</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23,977,003.71</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1,928,245.60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25,905,249.31</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20,476,824.58</w:t>
            </w:r>
          </w:p>
        </w:tc>
        <w:tc>
          <w:tcPr>
            <w:tcW w:w="1360"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20,476,824.58</w:t>
            </w:r>
          </w:p>
        </w:tc>
      </w:tr>
      <w:tr>
        <w:trPr>
          <w:trHeight w:val="739"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6"/>
                <w:sz w:val="18"/>
                <w:szCs w:val="18"/>
              </w:rPr>
              <w:t>福建星榕基信息科技 </w:t>
            </w:r>
            <w:r>
              <w:rPr>
                <w:rFonts w:ascii="宋体" w:hAnsi="宋体" w:cs="宋体" w:eastAsia="宋体" w:hint="default"/>
                <w:sz w:val="18"/>
                <w:szCs w:val="18"/>
              </w:rPr>
              <w:t>有限责任公司</w:t>
            </w:r>
          </w:p>
        </w:tc>
        <w:tc>
          <w:tcPr>
            <w:tcW w:w="136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pacing w:val="6"/>
                <w:sz w:val="18"/>
                <w:szCs w:val="18"/>
              </w:rPr>
              <w:t>浙江检榕网络科技有 </w:t>
            </w:r>
            <w:r>
              <w:rPr>
                <w:rFonts w:ascii="宋体" w:hAnsi="宋体" w:cs="宋体" w:eastAsia="宋体" w:hint="default"/>
                <w:sz w:val="18"/>
                <w:szCs w:val="18"/>
              </w:rPr>
              <w:t>限公司</w:t>
            </w:r>
          </w:p>
        </w:tc>
        <w:tc>
          <w:tcPr>
            <w:tcW w:w="136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t>续（</w:t>
      </w:r>
      <w:r>
        <w:rPr>
          <w:rFonts w:ascii="Times New Roman" w:hAnsi="Times New Roman" w:cs="Times New Roman" w:eastAsia="Times New Roman" w:hint="default"/>
        </w:rPr>
        <w:t>2</w:t>
      </w:r>
      <w:r>
        <w:rPr>
          <w:spacing w:val="-90"/>
        </w:rPr>
        <w:t>）</w:t>
      </w:r>
      <w:r>
        <w:rPr/>
        <w:t>：</w:t>
      </w:r>
    </w:p>
    <w:p>
      <w:pPr>
        <w:pStyle w:val="BodyText"/>
        <w:spacing w:line="240" w:lineRule="auto" w:before="102"/>
        <w:ind w:left="0" w:right="331"/>
        <w:jc w:val="right"/>
      </w:pPr>
      <w:r>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427" w:type="dxa"/>
        <w:tblLayout w:type="fixed"/>
        <w:tblCellMar>
          <w:top w:w="0" w:type="dxa"/>
          <w:left w:w="0" w:type="dxa"/>
          <w:bottom w:w="0" w:type="dxa"/>
          <w:right w:w="0" w:type="dxa"/>
        </w:tblCellMar>
        <w:tblLook w:val="01E0"/>
      </w:tblPr>
      <w:tblGrid>
        <w:gridCol w:w="2916"/>
        <w:gridCol w:w="1620"/>
        <w:gridCol w:w="992"/>
        <w:gridCol w:w="1560"/>
        <w:gridCol w:w="1984"/>
      </w:tblGrid>
      <w:tr>
        <w:trPr>
          <w:trHeight w:val="427" w:hRule="exact"/>
        </w:trPr>
        <w:tc>
          <w:tcPr>
            <w:tcW w:w="291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156"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37" w:hRule="exact"/>
        </w:trPr>
        <w:tc>
          <w:tcPr>
            <w:tcW w:w="2916" w:type="dxa"/>
            <w:vMerge/>
            <w:tcBorders>
              <w:left w:val="single" w:sz="8" w:space="0" w:color="000000"/>
              <w:bottom w:val="single" w:sz="8" w:space="0" w:color="000000"/>
              <w:right w:val="single" w:sz="8" w:space="0" w:color="000000"/>
            </w:tcBorders>
            <w:shd w:val="clear" w:color="auto" w:fill="D9D9D9"/>
          </w:tcPr>
          <w:p>
            <w:pPr/>
          </w:p>
        </w:tc>
        <w:tc>
          <w:tcPr>
            <w:tcW w:w="16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7"/>
              <w:ind w:left="78" w:right="0"/>
              <w:jc w:val="left"/>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b/>
                <w:bCs/>
                <w:spacing w:val="1"/>
                <w:w w:val="99"/>
                <w:sz w:val="18"/>
                <w:szCs w:val="18"/>
              </w:rPr>
              <w:t> </w:t>
            </w:r>
            <w:r>
              <w:rPr>
                <w:rFonts w:ascii="宋体" w:hAnsi="宋体" w:cs="宋体" w:eastAsia="宋体" w:hint="default"/>
                <w:b/>
                <w:bCs/>
                <w:sz w:val="18"/>
                <w:szCs w:val="18"/>
              </w:rPr>
              <w:t>营业收入</w:t>
            </w:r>
            <w:r>
              <w:rPr>
                <w:rFonts w:ascii="宋体" w:hAnsi="宋体" w:cs="宋体" w:eastAsia="宋体" w:hint="default"/>
                <w:sz w:val="18"/>
                <w:szCs w:val="18"/>
              </w:rPr>
            </w:r>
          </w:p>
        </w:tc>
        <w:tc>
          <w:tcPr>
            <w:tcW w:w="99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7"/>
              <w:ind w:left="214"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7"/>
              <w:ind w:left="228"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9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7"/>
              <w:ind w:left="259"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432"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14,823,446.67</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1,595,586.82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1,595,586.82</w:t>
            </w:r>
          </w:p>
        </w:tc>
        <w:tc>
          <w:tcPr>
            <w:tcW w:w="1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4,801,688.71</w:t>
            </w:r>
          </w:p>
        </w:tc>
      </w:tr>
      <w:tr>
        <w:trPr>
          <w:trHeight w:val="432"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400.99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400.99</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30,000.00</w:t>
            </w:r>
          </w:p>
        </w:tc>
      </w:tr>
      <w:tr>
        <w:trPr>
          <w:trHeight w:val="433"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1620"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w w:val="95"/>
                <w:sz w:val="18"/>
              </w:rPr>
              <w:t>-991,675.17</w:t>
            </w:r>
            <w:r>
              <w:rPr>
                <w:rFonts w:ascii="Times New Roman"/>
                <w:sz w:val="18"/>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-991,675.17</w:t>
            </w:r>
            <w:r>
              <w:rPr>
                <w:rFonts w:ascii="Times New Roman"/>
                <w:sz w:val="18"/>
              </w:rPr>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-404,001.50</w:t>
            </w:r>
            <w:r>
              <w:rPr>
                <w:rFonts w:ascii="Times New Roman"/>
                <w:sz w:val="18"/>
              </w:rPr>
            </w:r>
          </w:p>
        </w:tc>
      </w:tr>
    </w:tbl>
    <w:p>
      <w:pPr>
        <w:pStyle w:val="BodyText"/>
        <w:spacing w:line="240" w:lineRule="auto" w:before="51"/>
        <w:ind w:right="0"/>
        <w:jc w:val="left"/>
      </w:pPr>
      <w:r>
        <w:rPr/>
        <w:t>续（</w:t>
      </w:r>
      <w:r>
        <w:rPr>
          <w:rFonts w:ascii="Times New Roman" w:hAnsi="Times New Roman" w:cs="Times New Roman" w:eastAsia="Times New Roman" w:hint="default"/>
        </w:rPr>
        <w:t>3</w:t>
      </w:r>
      <w:r>
        <w:rPr>
          <w:spacing w:val="-90"/>
        </w:rPr>
        <w:t>）</w:t>
      </w:r>
      <w:r>
        <w:rPr/>
        <w:t>：</w:t>
      </w:r>
    </w:p>
    <w:p>
      <w:pPr>
        <w:pStyle w:val="BodyText"/>
        <w:spacing w:line="240" w:lineRule="auto" w:before="102"/>
        <w:ind w:left="0" w:right="331"/>
        <w:jc w:val="right"/>
      </w:pPr>
      <w:r>
        <w:rPr/>
        <w:t>单位：元</w:t>
      </w:r>
    </w:p>
    <w:p>
      <w:pPr>
        <w:spacing w:line="240" w:lineRule="auto" w:before="1"/>
        <w:rPr>
          <w:rFonts w:ascii="宋体" w:hAnsi="宋体" w:cs="宋体" w:eastAsia="宋体" w:hint="default"/>
          <w:sz w:val="8"/>
          <w:szCs w:val="8"/>
        </w:rPr>
      </w:pPr>
    </w:p>
    <w:tbl>
      <w:tblPr>
        <w:tblW w:w="0" w:type="auto"/>
        <w:jc w:val="left"/>
        <w:tblInd w:w="884" w:type="dxa"/>
        <w:tblLayout w:type="fixed"/>
        <w:tblCellMar>
          <w:top w:w="0" w:type="dxa"/>
          <w:left w:w="0" w:type="dxa"/>
          <w:bottom w:w="0" w:type="dxa"/>
          <w:right w:w="0" w:type="dxa"/>
        </w:tblCellMar>
        <w:tblLook w:val="01E0"/>
      </w:tblPr>
      <w:tblGrid>
        <w:gridCol w:w="2916"/>
        <w:gridCol w:w="1150"/>
        <w:gridCol w:w="1128"/>
        <w:gridCol w:w="1301"/>
        <w:gridCol w:w="1662"/>
      </w:tblGrid>
      <w:tr>
        <w:trPr>
          <w:trHeight w:val="432" w:hRule="exact"/>
        </w:trPr>
        <w:tc>
          <w:tcPr>
            <w:tcW w:w="291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5240"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2916" w:type="dxa"/>
            <w:vMerge/>
            <w:tcBorders>
              <w:left w:val="single" w:sz="8" w:space="0" w:color="000000"/>
              <w:bottom w:val="single" w:sz="8" w:space="0" w:color="000000"/>
              <w:right w:val="single" w:sz="8" w:space="0" w:color="000000"/>
            </w:tcBorders>
            <w:shd w:val="clear" w:color="auto" w:fill="D9D9D9"/>
          </w:tcPr>
          <w:p>
            <w:pPr/>
          </w:p>
        </w:tc>
        <w:tc>
          <w:tcPr>
            <w:tcW w:w="11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30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left="98"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b/>
                <w:bCs/>
                <w:w w:val="95"/>
                <w:sz w:val="18"/>
                <w:szCs w:val="18"/>
              </w:rPr>
              <w:t>经营活动现金流量</w:t>
            </w:r>
            <w:r>
              <w:rPr>
                <w:rFonts w:ascii="宋体" w:hAnsi="宋体" w:cs="宋体" w:eastAsia="宋体" w:hint="default"/>
                <w:sz w:val="18"/>
                <w:szCs w:val="18"/>
              </w:rPr>
            </w:r>
          </w:p>
        </w:tc>
      </w:tr>
      <w:tr>
        <w:trPr>
          <w:trHeight w:val="433"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5" w:right="-2"/>
              <w:jc w:val="left"/>
              <w:rPr>
                <w:rFonts w:ascii="Times New Roman" w:hAnsi="Times New Roman" w:cs="Times New Roman" w:eastAsia="Times New Roman" w:hint="default"/>
                <w:sz w:val="18"/>
                <w:szCs w:val="18"/>
              </w:rPr>
            </w:pPr>
            <w:r>
              <w:rPr>
                <w:rFonts w:ascii="Times New Roman"/>
                <w:sz w:val="18"/>
              </w:rPr>
              <w:t>14,119,131.53</w:t>
            </w:r>
          </w:p>
        </w:tc>
        <w:tc>
          <w:tcPr>
            <w:tcW w:w="1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-2,830,187.23</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76" w:right="-1"/>
              <w:jc w:val="left"/>
              <w:rPr>
                <w:rFonts w:ascii="Times New Roman" w:hAnsi="Times New Roman" w:cs="Times New Roman" w:eastAsia="Times New Roman" w:hint="default"/>
                <w:sz w:val="18"/>
                <w:szCs w:val="18"/>
              </w:rPr>
            </w:pPr>
            <w:r>
              <w:rPr>
                <w:rFonts w:ascii="Times New Roman"/>
                <w:sz w:val="18"/>
              </w:rPr>
              <w:t>-2,830,187.23</w:t>
            </w:r>
          </w:p>
        </w:tc>
        <w:tc>
          <w:tcPr>
            <w:tcW w:w="1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-14,097,554.12</w:t>
            </w:r>
          </w:p>
        </w:tc>
      </w:tr>
      <w:tr>
        <w:trPr>
          <w:trHeight w:val="432"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150" w:type="dxa"/>
            <w:tcBorders>
              <w:top w:val="single" w:sz="8" w:space="0" w:color="000000"/>
              <w:left w:val="single" w:sz="8" w:space="0" w:color="000000"/>
              <w:bottom w:val="single" w:sz="8" w:space="0" w:color="000000"/>
              <w:right w:val="single" w:sz="8" w:space="0" w:color="000000"/>
            </w:tcBorders>
          </w:tcPr>
          <w:p>
            <w:pPr/>
          </w:p>
        </w:tc>
        <w:tc>
          <w:tcPr>
            <w:tcW w:w="1128" w:type="dxa"/>
            <w:tcBorders>
              <w:top w:val="single" w:sz="8" w:space="0" w:color="000000"/>
              <w:left w:val="single" w:sz="8" w:space="0" w:color="000000"/>
              <w:bottom w:val="single" w:sz="8" w:space="0" w:color="000000"/>
              <w:right w:val="single" w:sz="8" w:space="0" w:color="000000"/>
            </w:tcBorders>
          </w:tcPr>
          <w:p>
            <w:pPr/>
          </w:p>
        </w:tc>
        <w:tc>
          <w:tcPr>
            <w:tcW w:w="1301"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2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1150" w:type="dxa"/>
            <w:tcBorders>
              <w:top w:val="single" w:sz="8" w:space="0" w:color="000000"/>
              <w:left w:val="single" w:sz="8" w:space="0" w:color="000000"/>
              <w:bottom w:val="single" w:sz="8" w:space="0" w:color="000000"/>
              <w:right w:val="single" w:sz="8" w:space="0" w:color="000000"/>
            </w:tcBorders>
          </w:tcPr>
          <w:p>
            <w:pPr/>
          </w:p>
        </w:tc>
        <w:tc>
          <w:tcPr>
            <w:tcW w:w="1128" w:type="dxa"/>
            <w:tcBorders>
              <w:top w:val="single" w:sz="8" w:space="0" w:color="000000"/>
              <w:left w:val="single" w:sz="8" w:space="0" w:color="000000"/>
              <w:bottom w:val="single" w:sz="8" w:space="0" w:color="000000"/>
              <w:right w:val="single" w:sz="8" w:space="0" w:color="000000"/>
            </w:tcBorders>
          </w:tcPr>
          <w:p>
            <w:pPr/>
          </w:p>
        </w:tc>
        <w:tc>
          <w:tcPr>
            <w:tcW w:w="1301" w:type="dxa"/>
            <w:tcBorders>
              <w:top w:val="single" w:sz="8" w:space="0" w:color="000000"/>
              <w:left w:val="single" w:sz="8" w:space="0" w:color="000000"/>
              <w:bottom w:val="single" w:sz="8" w:space="0" w:color="000000"/>
              <w:right w:val="single" w:sz="8" w:space="0" w:color="000000"/>
            </w:tcBorders>
          </w:tcPr>
          <w:p>
            <w:pPr/>
          </w:p>
        </w:tc>
        <w:tc>
          <w:tcPr>
            <w:tcW w:w="166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328" w:firstLine="359"/>
        <w:jc w:val="both"/>
      </w:pPr>
      <w:r>
        <w:rPr>
          <w:spacing w:val="-1"/>
        </w:rPr>
        <w:t>随着国家</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规划以及重大民生工程的开展、推进，国内软件和信息技术服务业作为</w:t>
      </w:r>
      <w:r>
        <w:rPr>
          <w:rFonts w:ascii="Times New Roman" w:hAnsi="Times New Roman" w:cs="Times New Roman" w:eastAsia="Times New Roman" w:hint="default"/>
          <w:spacing w:val="-1"/>
        </w:rPr>
        <w:t>“</w:t>
      </w:r>
      <w:r>
        <w:rPr>
          <w:spacing w:val="-1"/>
        </w:rPr>
        <w:t>战略性新兴产业</w:t>
      </w:r>
      <w:r>
        <w:rPr>
          <w:rFonts w:ascii="Times New Roman" w:hAnsi="Times New Roman" w:cs="Times New Roman" w:eastAsia="Times New Roman" w:hint="default"/>
          <w:spacing w:val="-1"/>
        </w:rPr>
        <w:t>”</w:t>
      </w:r>
      <w:r>
        <w:rPr>
          <w:spacing w:val="-1"/>
        </w:rPr>
        <w:t>，受益于国</w:t>
      </w:r>
      <w:r>
        <w:rPr/>
        <w:t> </w:t>
      </w:r>
      <w:r>
        <w:rPr>
          <w:spacing w:val="-2"/>
        </w:rPr>
        <w:t>家对新一代信息技术产业持续的政策和资金扶持，市场规模持续扩大。同时，国民经济的发展和社会信息化的建设，引导社</w:t>
      </w:r>
      <w:r>
        <w:rPr>
          <w:spacing w:val="-66"/>
        </w:rPr>
        <w:t> </w:t>
      </w:r>
      <w:r>
        <w:rPr>
          <w:spacing w:val="-66"/>
        </w:rPr>
      </w:r>
      <w:r>
        <w:rPr>
          <w:spacing w:val="-2"/>
        </w:rPr>
        <w:t>会各方面力量向软件产业领域持续投入，也将为软件产业的发展提供巨大的需求。未来，信息技术创新不断加快，信息领域</w:t>
      </w:r>
      <w:r>
        <w:rPr>
          <w:spacing w:val="-66"/>
        </w:rPr>
        <w:t> </w:t>
      </w:r>
      <w:r>
        <w:rPr>
          <w:spacing w:val="-66"/>
        </w:rPr>
      </w:r>
      <w:r>
        <w:rPr>
          <w:spacing w:val="-2"/>
        </w:rPr>
        <w:t>新产品、新服务、新业态大量涌现，在云计算、大数据、物联网、移动互联网等新一代信息技术驱动下，将进一步加快软件</w:t>
      </w:r>
    </w:p>
    <w:p>
      <w:pPr>
        <w:spacing w:after="0" w:line="312" w:lineRule="auto"/>
        <w:jc w:val="both"/>
        <w:sectPr>
          <w:pgSz w:w="11910" w:h="16840"/>
          <w:pgMar w:header="747" w:footer="982" w:top="1060" w:bottom="1180" w:left="980" w:right="80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业向服务化转型的步伐，使社会各领域信息化水平持续提升。围绕着智慧城市建设、信息惠民工程建设，民生服务应用、政</w:t>
      </w:r>
      <w:r>
        <w:rPr>
          <w:spacing w:val="-66"/>
        </w:rPr>
        <w:t> </w:t>
      </w:r>
      <w:r>
        <w:rPr>
          <w:spacing w:val="-66"/>
        </w:rPr>
      </w:r>
      <w:r>
        <w:rPr/>
        <w:t>府信息化、信息基础设施建设等新的市场需求将不断被激发，为中国</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企业带来新的市场机遇和发展活力。</w:t>
      </w:r>
    </w:p>
    <w:p>
      <w:pPr>
        <w:pStyle w:val="BodyText"/>
        <w:spacing w:line="300" w:lineRule="auto"/>
        <w:ind w:left="513" w:right="5131"/>
        <w:jc w:val="left"/>
      </w:pPr>
      <w:r>
        <w:rPr>
          <w:rFonts w:ascii="Times New Roman" w:hAnsi="Times New Roman" w:cs="Times New Roman" w:eastAsia="Times New Roman" w:hint="default"/>
        </w:rPr>
        <w:t>1</w:t>
      </w:r>
      <w:r>
        <w:rPr/>
        <w:t>、行业竞争格局和发展趋势 公司所属行业为信息产业中的软件和信息技术服务业。</w:t>
      </w:r>
    </w:p>
    <w:p>
      <w:pPr>
        <w:pStyle w:val="BodyText"/>
        <w:spacing w:line="314" w:lineRule="auto" w:before="31"/>
        <w:ind w:left="153" w:right="91" w:firstLine="360"/>
        <w:jc w:val="left"/>
      </w:pPr>
      <w:r>
        <w:rPr>
          <w:spacing w:val="-2"/>
        </w:rPr>
        <w:t>国内软件和信息技术服务业作为</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，受益于国家对新一代信息技术产业持续的政策和资金扶持，市场规</w:t>
      </w:r>
      <w:r>
        <w:rPr/>
        <w:t> </w:t>
      </w:r>
      <w:r>
        <w:rPr>
          <w:spacing w:val="-2"/>
        </w:rPr>
        <w:t>模持续扩大。同时，国民经济的发展和社会信息化的建设，引导社会各方面力量向软件产业领域持续投入，也将为软件产业</w:t>
      </w:r>
      <w:r>
        <w:rPr>
          <w:spacing w:val="-66"/>
        </w:rPr>
        <w:t> </w:t>
      </w:r>
      <w:r>
        <w:rPr>
          <w:spacing w:val="-66"/>
        </w:rPr>
      </w:r>
      <w:r>
        <w:rPr/>
        <w:t>的发展提供巨大的需求。未来，信息技术创新不断加快，信息领域新产品、新服务、新业态大量涌现，在云计算、大数据、 </w:t>
      </w:r>
      <w:r>
        <w:rPr>
          <w:spacing w:val="-2"/>
        </w:rPr>
        <w:t>物联网、移动互联网等新一代信息技术驱动下，将进一步加快软件业向服务化转型的步伐，使社会各领域信息化水平持续提</w:t>
      </w:r>
      <w:r>
        <w:rPr>
          <w:spacing w:val="-66"/>
        </w:rPr>
        <w:t> </w:t>
      </w:r>
      <w:r>
        <w:rPr>
          <w:spacing w:val="-66"/>
        </w:rPr>
      </w:r>
      <w:r>
        <w:rPr>
          <w:spacing w:val="-2"/>
        </w:rPr>
        <w:t>升。围绕着智慧城市建设、信息惠民工程建设，民生服务应用、政府信息化、信息基础设施建设等新的市场需求将不断被激</w:t>
      </w:r>
      <w:r>
        <w:rPr>
          <w:spacing w:val="-66"/>
        </w:rPr>
        <w:t> </w:t>
      </w:r>
      <w:r>
        <w:rPr>
          <w:spacing w:val="-66"/>
        </w:rPr>
      </w:r>
      <w:r>
        <w:rPr/>
        <w:t>发，为中国</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企业带来新的市场机遇和发展活力。</w:t>
      </w:r>
    </w:p>
    <w:p>
      <w:pPr>
        <w:pStyle w:val="BodyText"/>
        <w:spacing w:line="316" w:lineRule="auto" w:before="1"/>
        <w:ind w:left="153" w:right="191" w:firstLine="360"/>
        <w:jc w:val="both"/>
      </w:pPr>
      <w:r>
        <w:rPr>
          <w:spacing w:val="-2"/>
        </w:rPr>
        <w:t>公司是国家高新技术企业、国家规划布局内重点软件企业，随着国家和部委文件的执行，公司将继续获得国家对于软件</w:t>
      </w:r>
      <w:r>
        <w:rPr/>
        <w:t> </w:t>
      </w:r>
      <w:r>
        <w:rPr>
          <w:spacing w:val="-2"/>
        </w:rPr>
        <w:t>企业的扶持和优惠政策支持，包括继续享受软件增值税优惠政策，进一步享受营业税优惠政策，继续享受企业所得税的优惠</w:t>
      </w:r>
      <w:r>
        <w:rPr>
          <w:spacing w:val="-66"/>
        </w:rPr>
        <w:t> </w:t>
      </w:r>
      <w:r>
        <w:rPr>
          <w:spacing w:val="-66"/>
        </w:rPr>
      </w:r>
      <w:r>
        <w:rPr>
          <w:spacing w:val="-2"/>
        </w:rPr>
        <w:t>税率，在国家鼓励、支持软件企业通过资源整合做大做强的政策环境下，更加顺利地实施重组并购，以及其他人才引进和知</w:t>
      </w:r>
      <w:r>
        <w:rPr>
          <w:spacing w:val="-66"/>
        </w:rPr>
        <w:t> </w:t>
      </w:r>
      <w:r>
        <w:rPr>
          <w:spacing w:val="-66"/>
        </w:rPr>
      </w:r>
      <w:r>
        <w:rPr/>
        <w:t>识产权保护等。这些政策的出台和执行，为公司创造了良好的经营环境，并将在较长时期内得到保持。</w:t>
      </w:r>
    </w:p>
    <w:p>
      <w:pPr>
        <w:pStyle w:val="BodyText"/>
        <w:spacing w:line="316" w:lineRule="auto" w:before="19"/>
        <w:ind w:left="513" w:right="0"/>
        <w:jc w:val="left"/>
      </w:pPr>
      <w:r>
        <w:rPr/>
        <w:t>公司专注于软件产品的开发与销售，其主要产品涉及电子政务、信息安全、质检三电工程和协同管理等四个领域。 </w:t>
      </w:r>
      <w:r>
        <w:rPr>
          <w:spacing w:val="-2"/>
        </w:rPr>
        <w:t>新一代信息技术已经成为引领各领域创新不可或缺的重要动力和支撑，成为实施创新驱动发展战略、建设创新型国家的</w:t>
      </w:r>
    </w:p>
    <w:p>
      <w:pPr>
        <w:pStyle w:val="BodyText"/>
        <w:spacing w:line="316" w:lineRule="auto" w:before="19"/>
        <w:ind w:left="513" w:right="0" w:hanging="360"/>
        <w:jc w:val="left"/>
      </w:pPr>
      <w:r>
        <w:rPr/>
        <w:t>关键所在，在深层次上改变交通、医疗、电信、能源、金融等基础领域的面貌。 </w:t>
      </w:r>
      <w:r>
        <w:rPr>
          <w:spacing w:val="-2"/>
        </w:rPr>
        <w:t>随着中国经济社会的不断发展，电子政务经过多年发展，在信息网络基础设施、信息网络技术服务、业务系统平台搭建</w:t>
      </w:r>
    </w:p>
    <w:p>
      <w:pPr>
        <w:pStyle w:val="BodyText"/>
        <w:spacing w:line="316" w:lineRule="auto" w:before="19"/>
        <w:ind w:left="153" w:right="0"/>
        <w:jc w:val="left"/>
      </w:pPr>
      <w:r>
        <w:rPr>
          <w:spacing w:val="-2"/>
        </w:rPr>
        <w:t>等发面都取得了长足的进步。社会公众的日常生活需求也在不断变化、不断增长，对电子政务服务提供产生了新的需求与期</w:t>
      </w:r>
      <w:r>
        <w:rPr>
          <w:spacing w:val="-66"/>
        </w:rPr>
        <w:t> </w:t>
      </w:r>
      <w:r>
        <w:rPr>
          <w:spacing w:val="-66"/>
        </w:rPr>
      </w:r>
      <w:r>
        <w:rPr/>
        <w:t>待。今后，面向公众的电子政务将成为共同趋势，信息公开、数据开放也将成为政务信息服务新业态。</w:t>
      </w:r>
    </w:p>
    <w:p>
      <w:pPr>
        <w:pStyle w:val="BodyText"/>
        <w:spacing w:line="309" w:lineRule="auto" w:before="19"/>
        <w:ind w:left="153" w:right="188" w:firstLine="360"/>
        <w:jc w:val="both"/>
      </w:pPr>
      <w:r>
        <w:rPr/>
        <w:t>质检三电工程是我国</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的重要内容，</w:t>
      </w:r>
      <w:r>
        <w:rPr>
          <w:spacing w:val="23"/>
        </w:rPr>
        <w:t> </w:t>
      </w:r>
      <w:r>
        <w:rPr>
          <w:rFonts w:ascii="Times New Roman" w:hAnsi="Times New Roman" w:cs="Times New Roman" w:eastAsia="Times New Roman" w:hint="default"/>
        </w:rPr>
        <w:t>“</w:t>
      </w:r>
      <w:r>
        <w:rPr/>
        <w:t>金质工程</w:t>
      </w:r>
      <w:r>
        <w:rPr>
          <w:rFonts w:ascii="Times New Roman" w:hAnsi="Times New Roman" w:cs="Times New Roman" w:eastAsia="Times New Roman" w:hint="default"/>
        </w:rPr>
        <w:t>”</w:t>
      </w:r>
      <w:r>
        <w:rPr/>
        <w:t>能促进各级质检机关向管理服务型转变，提高质量监督检验</w:t>
      </w:r>
      <w:r>
        <w:rPr>
          <w:spacing w:val="1"/>
        </w:rPr>
        <w:t> </w:t>
      </w:r>
      <w:r>
        <w:rPr>
          <w:spacing w:val="-2"/>
        </w:rPr>
        <w:t>检疫执法的透明度，形成全国统一的质检大网络，能促进质检系统执法电子化、信息化，为生产企业和外经贸企业带来更大</w:t>
      </w:r>
      <w:r>
        <w:rPr>
          <w:spacing w:val="-66"/>
        </w:rPr>
        <w:t> </w:t>
      </w:r>
      <w:r>
        <w:rPr>
          <w:spacing w:val="-66"/>
        </w:rPr>
      </w:r>
      <w:r>
        <w:rPr>
          <w:spacing w:val="-2"/>
        </w:rPr>
        <w:t>的方便与效益，加大打击假冒伪劣的力度，更有效地规范市场经济秩序，促进社会主义市场经济的发展。质检机关将在中国</w:t>
      </w:r>
      <w:r>
        <w:rPr>
          <w:spacing w:val="-66"/>
        </w:rPr>
        <w:t> </w:t>
      </w:r>
      <w:r>
        <w:rPr>
          <w:spacing w:val="-66"/>
        </w:rPr>
      </w:r>
      <w:r>
        <w:rPr>
          <w:spacing w:val="-2"/>
        </w:rPr>
        <w:t>电子检验检疫主干系统应用环境建设的基础上，逐步完善其相关配套设施的建设，借助国家统一电子政务网络，充分利用公</w:t>
      </w:r>
      <w:r>
        <w:rPr>
          <w:spacing w:val="-66"/>
        </w:rPr>
        <w:t> </w:t>
      </w:r>
      <w:r>
        <w:rPr>
          <w:spacing w:val="-66"/>
        </w:rPr>
      </w:r>
      <w:r>
        <w:rPr>
          <w:spacing w:val="-2"/>
        </w:rPr>
        <w:t>共通信网络，逐步建成政务内外网、互联网、移动互联网、物联网支撑的布局模式，以全面满足现有主干系统、外接外挂系</w:t>
      </w:r>
      <w:r>
        <w:rPr>
          <w:spacing w:val="-68"/>
        </w:rPr>
        <w:t> </w:t>
      </w:r>
      <w:r>
        <w:rPr>
          <w:spacing w:val="-68"/>
        </w:rPr>
      </w:r>
      <w:r>
        <w:rPr>
          <w:spacing w:val="-1"/>
        </w:rPr>
        <w:t>统内、外部数据交换；逐步实现中国电子检验检疫</w:t>
      </w:r>
      <w:r>
        <w:rPr>
          <w:rFonts w:ascii="Times New Roman" w:hAnsi="Times New Roman" w:cs="Times New Roman" w:eastAsia="Times New Roman" w:hint="default"/>
          <w:spacing w:val="-1"/>
        </w:rPr>
        <w:t>“</w:t>
      </w:r>
      <w:r>
        <w:rPr>
          <w:spacing w:val="-1"/>
        </w:rPr>
        <w:t>区域一体化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互联互通、信息互换</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监管互认、执法互助</w:t>
      </w:r>
      <w:r>
        <w:rPr>
          <w:rFonts w:ascii="Times New Roman" w:hAnsi="Times New Roman" w:cs="Times New Roman" w:eastAsia="Times New Roman" w:hint="default"/>
          <w:spacing w:val="-1"/>
        </w:rPr>
        <w:t>”</w:t>
      </w:r>
      <w:r>
        <w:rPr>
          <w:spacing w:val="-1"/>
        </w:rPr>
        <w:t>的新业务</w:t>
      </w:r>
      <w:r>
        <w:rPr>
          <w:spacing w:val="-59"/>
        </w:rPr>
        <w:t> </w:t>
      </w:r>
      <w:r>
        <w:rPr>
          <w:spacing w:val="-1"/>
        </w:rPr>
        <w:t>模式改革；在系统全国应用推广的基础上，逐步建成检验检疫全面</w:t>
      </w:r>
      <w:r>
        <w:rPr>
          <w:rFonts w:ascii="Times New Roman" w:hAnsi="Times New Roman" w:cs="Times New Roman" w:eastAsia="Times New Roman" w:hint="default"/>
          <w:spacing w:val="-1"/>
        </w:rPr>
        <w:t>“</w:t>
      </w:r>
      <w:r>
        <w:rPr>
          <w:spacing w:val="-1"/>
        </w:rPr>
        <w:t>无纸化</w:t>
      </w:r>
      <w:r>
        <w:rPr>
          <w:rFonts w:ascii="Times New Roman" w:hAnsi="Times New Roman" w:cs="Times New Roman" w:eastAsia="Times New Roman" w:hint="default"/>
          <w:spacing w:val="-1"/>
        </w:rPr>
        <w:t>”</w:t>
      </w:r>
      <w:r>
        <w:rPr>
          <w:spacing w:val="-1"/>
        </w:rPr>
        <w:t>信息共享平台，建成检验检疫</w:t>
      </w:r>
      <w:r>
        <w:rPr>
          <w:rFonts w:ascii="Times New Roman" w:hAnsi="Times New Roman" w:cs="Times New Roman" w:eastAsia="Times New Roman" w:hint="default"/>
          <w:spacing w:val="-1"/>
        </w:rPr>
        <w:t>“</w:t>
      </w:r>
      <w:r>
        <w:rPr>
          <w:spacing w:val="-1"/>
        </w:rPr>
        <w:t>大数据</w:t>
      </w:r>
      <w:r>
        <w:rPr>
          <w:rFonts w:ascii="Times New Roman" w:hAnsi="Times New Roman" w:cs="Times New Roman" w:eastAsia="Times New Roman" w:hint="default"/>
          <w:spacing w:val="-1"/>
        </w:rPr>
        <w:t>”</w:t>
      </w:r>
      <w:r>
        <w:rPr>
          <w:spacing w:val="-1"/>
        </w:rPr>
        <w:t>云服务中</w:t>
      </w:r>
      <w:r>
        <w:rPr>
          <w:spacing w:val="-79"/>
        </w:rPr>
        <w:t> </w:t>
      </w:r>
      <w:r>
        <w:rPr>
          <w:spacing w:val="-2"/>
        </w:rPr>
        <w:t>心，在</w:t>
      </w:r>
      <w:r>
        <w:rPr>
          <w:rFonts w:ascii="Times New Roman" w:hAnsi="Times New Roman" w:cs="Times New Roman" w:eastAsia="Times New Roman" w:hint="default"/>
          <w:spacing w:val="-2"/>
        </w:rPr>
        <w:t>“</w:t>
      </w:r>
      <w:r>
        <w:rPr>
          <w:spacing w:val="-2"/>
        </w:rPr>
        <w:t>电子业务平台、电子服务平台、集中认证平台</w:t>
      </w:r>
      <w:r>
        <w:rPr>
          <w:rFonts w:ascii="Times New Roman" w:hAnsi="Times New Roman" w:cs="Times New Roman" w:eastAsia="Times New Roman" w:hint="default"/>
          <w:spacing w:val="-2"/>
        </w:rPr>
        <w:t>”</w:t>
      </w:r>
      <w:r>
        <w:rPr>
          <w:spacing w:val="-2"/>
        </w:rPr>
        <w:t>三大平台的基础上，逐步扩展建设内、外部数据、应用服务，实现电</w:t>
      </w:r>
      <w:r>
        <w:rPr>
          <w:spacing w:val="-46"/>
        </w:rPr>
        <w:t> </w:t>
      </w:r>
      <w:r>
        <w:rPr>
          <w:spacing w:val="-46"/>
        </w:rPr>
      </w:r>
      <w:r>
        <w:rPr>
          <w:spacing w:val="-1"/>
        </w:rPr>
        <w:t>子缴费、单一窗口、移动</w:t>
      </w:r>
      <w:r>
        <w:rPr>
          <w:rFonts w:ascii="Times New Roman" w:hAnsi="Times New Roman" w:cs="Times New Roman" w:eastAsia="Times New Roman" w:hint="default"/>
          <w:spacing w:val="-1"/>
        </w:rPr>
        <w:t>App</w:t>
      </w:r>
      <w:r>
        <w:rPr>
          <w:spacing w:val="-1"/>
        </w:rPr>
        <w:t>等独立支撑平台，为应用系统和数据的集中化、标准化、协同化管理提供保障和支撑；同时打</w:t>
      </w:r>
      <w:r>
        <w:rPr>
          <w:spacing w:val="-69"/>
        </w:rPr>
        <w:t> </w:t>
      </w:r>
      <w:r>
        <w:rPr>
          <w:spacing w:val="-69"/>
        </w:rPr>
      </w:r>
      <w:r>
        <w:rPr>
          <w:spacing w:val="-2"/>
        </w:rPr>
        <w:t>造独立、完整的面向外贸企业的检验检疫信息化统一门户，实现面向企业用户服务的信息交互窗口，集成统一的检验检疫数</w:t>
      </w:r>
      <w:r>
        <w:rPr>
          <w:spacing w:val="-66"/>
        </w:rPr>
        <w:t> </w:t>
      </w:r>
      <w:r>
        <w:rPr>
          <w:spacing w:val="-66"/>
        </w:rPr>
      </w:r>
      <w:r>
        <w:rPr/>
        <w:t>据申报、内容发布、信息服务等</w:t>
      </w:r>
    </w:p>
    <w:p>
      <w:pPr>
        <w:pStyle w:val="BodyText"/>
        <w:spacing w:line="300" w:lineRule="auto" w:before="24"/>
        <w:ind w:left="514" w:right="0"/>
        <w:jc w:val="left"/>
      </w:pPr>
      <w:r>
        <w:rPr>
          <w:rFonts w:ascii="Times New Roman" w:hAnsi="Times New Roman" w:cs="Times New Roman" w:eastAsia="Times New Roman" w:hint="default"/>
        </w:rPr>
        <w:t>2</w:t>
      </w:r>
      <w:r>
        <w:rPr/>
        <w:t>、公司发展战略 </w:t>
      </w:r>
      <w:r>
        <w:rPr>
          <w:spacing w:val="-2"/>
        </w:rPr>
        <w:t>公司将紧抓软件服务行业云计算、物联网、移动互联网、大数据、智慧城市等新一代信息技术对传统行业信息化的升级</w:t>
      </w:r>
    </w:p>
    <w:p>
      <w:pPr>
        <w:pStyle w:val="BodyText"/>
        <w:spacing w:line="309" w:lineRule="auto" w:before="31"/>
        <w:ind w:right="90"/>
        <w:jc w:val="left"/>
      </w:pPr>
      <w:r>
        <w:rPr>
          <w:spacing w:val="-2"/>
        </w:rPr>
        <w:t>改造和迁移的发展趋势，继续推动</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发展战略，提升电子政务、信息安全、质检三电工程和协同管</w:t>
      </w:r>
      <w:r>
        <w:rPr>
          <w:spacing w:val="-45"/>
        </w:rPr>
        <w:t> </w:t>
      </w:r>
      <w:r>
        <w:rPr>
          <w:spacing w:val="-45"/>
        </w:rPr>
      </w:r>
      <w:r>
        <w:rPr/>
        <w:t>理四个领域软件产品和服务的产业化速度，坚持技术创新，带动软件平台化和服务化商业模式创新，培育新的利润增长点， 推动公司持续成长，实现规模化、跨越式发展。</w:t>
      </w:r>
    </w:p>
    <w:p>
      <w:pPr>
        <w:pStyle w:val="BodyText"/>
        <w:spacing w:line="316" w:lineRule="auto" w:before="24"/>
        <w:ind w:left="514" w:right="0"/>
        <w:jc w:val="left"/>
      </w:pPr>
      <w:r>
        <w:rPr/>
        <w:t>（一）由软件产品提供商向行业软件平台运营商转型 </w:t>
      </w:r>
      <w:r>
        <w:rPr>
          <w:spacing w:val="-2"/>
        </w:rPr>
        <w:t>公司将研发新一代电子政务应用平台、协同管理软件平台、信息安全等行业应用软件支撑平台，在直接为客户提供产品</w:t>
      </w:r>
    </w:p>
    <w:p>
      <w:pPr>
        <w:pStyle w:val="BodyText"/>
        <w:spacing w:line="316" w:lineRule="auto" w:before="19"/>
        <w:ind w:right="0"/>
        <w:jc w:val="left"/>
      </w:pPr>
      <w:r>
        <w:rPr>
          <w:spacing w:val="-2"/>
        </w:rPr>
        <w:t>的同时，可以依托已有的综合优势，向移动运营商、其他软件开发商提供统一的组件平台和实现方法，逐步推进公司向行业</w:t>
      </w:r>
      <w:r>
        <w:rPr>
          <w:spacing w:val="-66"/>
        </w:rPr>
        <w:t> </w:t>
      </w:r>
      <w:r>
        <w:rPr>
          <w:spacing w:val="-66"/>
        </w:rPr>
      </w:r>
      <w:r>
        <w:rPr/>
        <w:t>软件平台运营商转型。</w:t>
      </w:r>
    </w:p>
    <w:p>
      <w:pPr>
        <w:pStyle w:val="BodyText"/>
        <w:spacing w:line="316" w:lineRule="auto" w:before="19"/>
        <w:ind w:left="514" w:right="0"/>
        <w:jc w:val="left"/>
      </w:pPr>
      <w:r>
        <w:rPr/>
        <w:t>（二）由软件产品销售模式向软件服务模式的转变 公司积极发展软件服务化业务，采用云计算技术，通过互联网建立软件服务云平台，实现软件租用服务模式。 </w:t>
      </w:r>
      <w:r>
        <w:rPr>
          <w:spacing w:val="-2"/>
        </w:rPr>
        <w:t>公司研发的无线信息服务平台，积极与移动通信运营商合作，采用</w:t>
      </w:r>
      <w:r>
        <w:rPr>
          <w:rFonts w:ascii="Times New Roman" w:hAnsi="Times New Roman" w:cs="Times New Roman" w:eastAsia="Times New Roman" w:hint="default"/>
          <w:spacing w:val="-2"/>
        </w:rPr>
        <w:t>PaaS</w:t>
      </w:r>
      <w:r>
        <w:rPr>
          <w:spacing w:val="-2"/>
        </w:rPr>
        <w:t>方式和</w:t>
      </w:r>
      <w:r>
        <w:rPr>
          <w:rFonts w:ascii="Times New Roman" w:hAnsi="Times New Roman" w:cs="Times New Roman" w:eastAsia="Times New Roman" w:hint="default"/>
          <w:spacing w:val="-2"/>
        </w:rPr>
        <w:t>SaaS</w:t>
      </w:r>
      <w:r>
        <w:rPr>
          <w:spacing w:val="-2"/>
        </w:rPr>
        <w:t>进行推广，通过软件租用和运营商电</w:t>
      </w:r>
    </w:p>
    <w:p>
      <w:pPr>
        <w:pStyle w:val="BodyText"/>
        <w:spacing w:line="235" w:lineRule="exact"/>
        <w:ind w:right="0"/>
        <w:jc w:val="left"/>
      </w:pPr>
      <w:r>
        <w:rPr/>
        <w:t>信增值业务分成等方式进行模式创新。</w:t>
      </w:r>
    </w:p>
    <w:p>
      <w:pPr>
        <w:spacing w:after="0" w:line="235"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年经营计划</w:t>
      </w:r>
    </w:p>
    <w:p>
      <w:pPr>
        <w:pStyle w:val="BodyText"/>
        <w:spacing w:line="316" w:lineRule="auto" w:before="63"/>
        <w:ind w:left="153" w:right="191" w:firstLine="360"/>
        <w:jc w:val="both"/>
      </w:pPr>
      <w:r>
        <w:rPr>
          <w:spacing w:val="-2"/>
        </w:rPr>
        <w:t>2016年是公司经营重启新一轮增长周期的关键时期，公司将努力扩大收入规模，提升细分业务领域的盈利水平。同时公</w:t>
      </w:r>
      <w:r>
        <w:rPr/>
        <w:t> </w:t>
      </w:r>
      <w:r>
        <w:rPr>
          <w:spacing w:val="-2"/>
        </w:rPr>
        <w:t>司选择和公司当前业务、技术背景较为接近且市场潜力较大的中国电子检验检疫主干系统、物联网平台、中小企业服务平台</w:t>
      </w:r>
      <w:r>
        <w:rPr>
          <w:spacing w:val="-66"/>
        </w:rPr>
        <w:t> </w:t>
      </w:r>
      <w:r>
        <w:rPr>
          <w:spacing w:val="-66"/>
        </w:rPr>
      </w:r>
      <w:r>
        <w:rPr/>
        <w:t>等作为新的突破方向，优化产业链布局，保持对关键业务和技术的投入力度，为未来发展奠定坚实基础。 </w:t>
      </w:r>
    </w:p>
    <w:p>
      <w:pPr>
        <w:pStyle w:val="BodyText"/>
        <w:spacing w:line="316" w:lineRule="auto" w:before="19"/>
        <w:ind w:left="153" w:right="191" w:firstLine="360"/>
        <w:jc w:val="both"/>
      </w:pPr>
      <w:r>
        <w:rPr>
          <w:spacing w:val="-2"/>
        </w:rPr>
        <w:t>（一）继续在重点发展行业巩固现有优势，加强顶层设计，以产品化和行业化思路强化行业布局；在持续跟进行业，以</w:t>
      </w:r>
      <w:r>
        <w:rPr/>
        <w:t> 持续创新的思路规划解决方案、产品和服务，逐步扩大核心业务比例。 </w:t>
      </w:r>
    </w:p>
    <w:p>
      <w:pPr>
        <w:pStyle w:val="BodyText"/>
        <w:spacing w:line="316" w:lineRule="auto" w:before="19"/>
        <w:ind w:left="153" w:right="191" w:firstLine="360"/>
        <w:jc w:val="both"/>
      </w:pPr>
      <w:r>
        <w:rPr>
          <w:spacing w:val="-2"/>
        </w:rPr>
        <w:t>（二）公司将进一步贯彻“行业化、产品化、服务化”的经营战略创新，继续坚持以市场为导向、以企业技术中心为核</w:t>
      </w:r>
      <w:r>
        <w:rPr/>
        <w:t> </w:t>
      </w:r>
      <w:r>
        <w:rPr>
          <w:spacing w:val="-2"/>
        </w:rPr>
        <w:t>心的自主创新体系，健全创新机制，加强人才队伍培养和引进，提升四大领域软件产品的研发和产业化速度，推动商业模式</w:t>
      </w:r>
      <w:r>
        <w:rPr>
          <w:spacing w:val="-66"/>
        </w:rPr>
        <w:t> </w:t>
      </w:r>
      <w:r>
        <w:rPr>
          <w:spacing w:val="-66"/>
        </w:rPr>
      </w:r>
      <w:r>
        <w:rPr/>
        <w:t>创新，推动逐步发展新的利润增长点。 </w:t>
      </w:r>
    </w:p>
    <w:p>
      <w:pPr>
        <w:pStyle w:val="BodyText"/>
        <w:spacing w:line="316" w:lineRule="auto" w:before="19"/>
        <w:ind w:left="153" w:right="191" w:firstLine="360"/>
        <w:jc w:val="both"/>
      </w:pPr>
      <w:r>
        <w:rPr>
          <w:spacing w:val="-2"/>
        </w:rPr>
        <w:t>（三）公司坚持“以人为本”的基本管理思想，建立科学、快速的利益响应机制，稳定公司核心骨干，引进中高层次人</w:t>
      </w:r>
      <w:r>
        <w:rPr/>
        <w:t> 才，优化人才结构，建立适合公司的激励机制。 </w:t>
      </w:r>
    </w:p>
    <w:p>
      <w:pPr>
        <w:pStyle w:val="BodyText"/>
        <w:spacing w:line="316" w:lineRule="auto" w:before="19"/>
        <w:ind w:left="153" w:right="191" w:firstLine="360"/>
        <w:jc w:val="both"/>
      </w:pPr>
      <w:r>
        <w:rPr>
          <w:spacing w:val="-2"/>
        </w:rPr>
        <w:t>（四）在技术创新方面，公司将加大在所处领域的核心产品和技术研发及产业化投入，不断增强技术实力，保持行业技</w:t>
      </w:r>
      <w:r>
        <w:rPr/>
        <w:t> 术领先水平，增强企业的核心竞争能力，为公司的成长提供产品和技术优势。 </w:t>
      </w:r>
    </w:p>
    <w:p>
      <w:pPr>
        <w:pStyle w:val="BodyText"/>
        <w:spacing w:line="316" w:lineRule="auto" w:before="19"/>
        <w:ind w:left="153" w:right="191" w:firstLine="360"/>
        <w:jc w:val="both"/>
      </w:pPr>
      <w:r>
        <w:rPr>
          <w:spacing w:val="-2"/>
        </w:rPr>
        <w:t>（五）在市场营销与服务体系建设方面，公司已初步建立以北京为指挥中心、遍布全国的营销和服务网络体系，公司将</w:t>
      </w:r>
      <w:r>
        <w:rPr/>
        <w:t> </w:t>
      </w:r>
      <w:r>
        <w:rPr>
          <w:spacing w:val="-2"/>
        </w:rPr>
        <w:t>继续完善河南、上海、马鞍山等区域中心体系建设，增强运维服务网点营销服务能力，继续完善产品代理体系，加大品牌宣</w:t>
      </w:r>
      <w:r>
        <w:rPr>
          <w:spacing w:val="-66"/>
        </w:rPr>
        <w:t> </w:t>
      </w:r>
      <w:r>
        <w:rPr>
          <w:spacing w:val="-66"/>
        </w:rPr>
      </w:r>
      <w:r>
        <w:rPr/>
        <w:t>传力度，促进公司规模化发展。 </w:t>
      </w:r>
    </w:p>
    <w:p>
      <w:pPr>
        <w:pStyle w:val="BodyText"/>
        <w:spacing w:line="316" w:lineRule="auto" w:before="19"/>
        <w:ind w:left="153" w:right="0" w:firstLine="360"/>
        <w:jc w:val="left"/>
      </w:pPr>
      <w:r>
        <w:rPr>
          <w:spacing w:val="-4"/>
        </w:rPr>
        <w:t>（六）2016年我们将严格按照上市公司的要求，规范运作，进一步完善公司的治理结构，建立和健全投资者沟通的平台，</w:t>
      </w:r>
      <w:r>
        <w:rPr/>
        <w:t> </w:t>
      </w:r>
      <w:r>
        <w:rPr>
          <w:spacing w:val="-2"/>
        </w:rPr>
        <w:t>规范公司与投资者关系的管理工作，加强公司与投资者和潜在投资者之间的沟通，加深投资者对公司的了解和认同，促进公</w:t>
      </w:r>
      <w:r>
        <w:rPr>
          <w:spacing w:val="-66"/>
        </w:rPr>
        <w:t> </w:t>
      </w:r>
      <w:r>
        <w:rPr>
          <w:spacing w:val="-66"/>
        </w:rPr>
      </w:r>
      <w:r>
        <w:rPr>
          <w:spacing w:val="-2"/>
        </w:rPr>
        <w:t>司与投资者之间长期、稳定的良好关系，提升公司的诚信度、核心竞争能力和持续发展能力，实现公司价值最大化和股东利</w:t>
      </w:r>
      <w:r>
        <w:rPr>
          <w:spacing w:val="-66"/>
        </w:rPr>
        <w:t> </w:t>
      </w:r>
      <w:r>
        <w:rPr>
          <w:spacing w:val="-66"/>
        </w:rPr>
      </w:r>
      <w:r>
        <w:rPr/>
        <w:t>益最大化。 </w:t>
      </w:r>
    </w:p>
    <w:p>
      <w:pPr>
        <w:pStyle w:val="BodyText"/>
        <w:spacing w:line="240" w:lineRule="auto" w:before="19"/>
        <w:ind w:left="513" w:right="0"/>
        <w:jc w:val="left"/>
      </w:pPr>
      <w:r>
        <w:rPr>
          <w:rFonts w:ascii="Times New Roman" w:hAnsi="Times New Roman" w:cs="Times New Roman" w:eastAsia="Times New Roman" w:hint="default"/>
        </w:rPr>
        <w:t>4</w:t>
      </w:r>
      <w:r>
        <w:rPr/>
        <w:t>、未来面对的风险及应对措施</w:t>
      </w:r>
    </w:p>
    <w:p>
      <w:pPr>
        <w:pStyle w:val="BodyText"/>
        <w:spacing w:line="316" w:lineRule="auto" w:before="63"/>
        <w:ind w:left="513" w:right="0"/>
        <w:jc w:val="left"/>
      </w:pPr>
      <w:r>
        <w:rPr/>
        <w:t>（一）人力资源管理和人力成本上升的风险 </w:t>
      </w:r>
      <w:r>
        <w:rPr>
          <w:spacing w:val="-2"/>
        </w:rPr>
        <w:t>公司规模的迅速扩张带来人才上的瓶颈，高端人才比较紧缺仍然是公司目前存在的主要困难，特别是研发人员扩张速度</w:t>
      </w:r>
    </w:p>
    <w:p>
      <w:pPr>
        <w:pStyle w:val="BodyText"/>
        <w:spacing w:line="316" w:lineRule="auto" w:before="19"/>
        <w:ind w:left="153" w:right="91"/>
        <w:jc w:val="left"/>
      </w:pPr>
      <w:r>
        <w:rPr/>
        <w:t>跟不上公司业务规模的扩张，导致公司潜在的新用户的需求得不到很好的满足，这可能会使公司失去一些市场机会。同时， </w:t>
      </w:r>
      <w:r>
        <w:rPr>
          <w:spacing w:val="-2"/>
        </w:rPr>
        <w:t>中国经济快速发展，城市生活成本的上升，尤其是北上广深等一线大中城市，中高端人才工资薪酬呈上升趋势，公司面临人</w:t>
      </w:r>
      <w:r>
        <w:rPr>
          <w:spacing w:val="-66"/>
        </w:rPr>
        <w:t> </w:t>
      </w:r>
      <w:r>
        <w:rPr>
          <w:spacing w:val="-66"/>
        </w:rPr>
      </w:r>
      <w:r>
        <w:rPr/>
        <w:t>力成本上升导致利润水平下降的风险。</w:t>
      </w:r>
    </w:p>
    <w:p>
      <w:pPr>
        <w:pStyle w:val="BodyText"/>
        <w:spacing w:line="312" w:lineRule="auto" w:before="19"/>
        <w:ind w:left="153" w:right="189" w:firstLine="360"/>
        <w:jc w:val="both"/>
      </w:pPr>
      <w:r>
        <w:rPr>
          <w:spacing w:val="-2"/>
        </w:rPr>
        <w:t>公司将建立多层次培训体系、薪酬体系和有效的激励措施，满足研发技术类的人才需求；开展营销服务体系的建设，构</w:t>
      </w:r>
      <w:r>
        <w:rPr/>
        <w:t> 筑全国性的销售服务体系，实现客户的本地化服务。公司还积极加强企业文化建设，把</w:t>
      </w:r>
      <w:r>
        <w:rPr>
          <w:rFonts w:ascii="Times New Roman" w:hAnsi="Times New Roman" w:cs="Times New Roman" w:eastAsia="Times New Roman" w:hint="default"/>
        </w:rPr>
        <w:t>“</w:t>
      </w:r>
      <w:r>
        <w:rPr/>
        <w:t>服务于社会以促进企业发展，贡献</w:t>
      </w:r>
      <w:r>
        <w:rPr>
          <w:spacing w:val="-78"/>
        </w:rPr>
        <w:t> </w:t>
      </w:r>
      <w:r>
        <w:rPr>
          <w:spacing w:val="-78"/>
        </w:rPr>
      </w:r>
      <w:r>
        <w:rPr/>
        <w:t>于企业以追求个人进步</w:t>
      </w:r>
      <w:r>
        <w:rPr>
          <w:rFonts w:ascii="Times New Roman" w:hAnsi="Times New Roman" w:cs="Times New Roman" w:eastAsia="Times New Roman" w:hint="default"/>
        </w:rPr>
        <w:t>”</w:t>
      </w:r>
      <w:r>
        <w:rPr/>
        <w:t>作为核心价值观，努力培育团结、创新、开拓、务实的企业文化精神，争取广大员工的认可。公司</w:t>
      </w:r>
      <w:r>
        <w:rPr>
          <w:spacing w:val="-77"/>
        </w:rPr>
        <w:t> </w:t>
      </w:r>
      <w:r>
        <w:rPr>
          <w:spacing w:val="-77"/>
        </w:rPr>
      </w:r>
      <w:r>
        <w:rPr>
          <w:spacing w:val="-2"/>
        </w:rPr>
        <w:t>将投入更多资源改善工作环境和工作条件，增强公司对高素质人才的吸引力和归属感。公司将通过动态平衡人员结构，提高</w:t>
      </w:r>
      <w:r>
        <w:rPr>
          <w:spacing w:val="-66"/>
        </w:rPr>
        <w:t> </w:t>
      </w:r>
      <w:r>
        <w:rPr>
          <w:spacing w:val="-66"/>
        </w:rPr>
      </w:r>
      <w:r>
        <w:rPr>
          <w:spacing w:val="-2"/>
        </w:rPr>
        <w:t>项目管理能力，以及积极向二三线城市布局区域研发中心，降低人员成本上升的风险。公司将在河南、上海以及马鞍山设立</w:t>
      </w:r>
      <w:r>
        <w:rPr>
          <w:spacing w:val="-66"/>
        </w:rPr>
        <w:t> </w:t>
      </w:r>
      <w:r>
        <w:rPr>
          <w:spacing w:val="-66"/>
        </w:rPr>
      </w:r>
      <w:r>
        <w:rPr/>
        <w:t>区域研发中心，未来还将根据发展需要在其他地区设立区域研发中心。</w:t>
      </w:r>
    </w:p>
    <w:p>
      <w:pPr>
        <w:pStyle w:val="BodyText"/>
        <w:spacing w:line="316" w:lineRule="auto" w:before="22"/>
        <w:ind w:left="513" w:right="0"/>
        <w:jc w:val="left"/>
      </w:pPr>
      <w:r>
        <w:rPr/>
        <w:t>（二）行业技术风险 </w:t>
      </w:r>
      <w:r>
        <w:rPr>
          <w:spacing w:val="-2"/>
        </w:rPr>
        <w:t>软件行业技术进步快、产品更新快、市场需求变化快的特点以及公司规模化扩张对公司保持持续的技术领先提出了更高</w:t>
      </w:r>
    </w:p>
    <w:p>
      <w:pPr>
        <w:pStyle w:val="BodyText"/>
        <w:spacing w:line="316" w:lineRule="auto" w:before="19"/>
        <w:ind w:left="513" w:right="91" w:hanging="360"/>
        <w:jc w:val="left"/>
      </w:pPr>
      <w:r>
        <w:rPr/>
        <w:t>的要求，如何在研发技术、研发管理方面保持有效创新，如何保证产品快速满足市场，均给公司带来较大的挑战。 公司将继续跟踪、学习和应用新的技术，准确把握国际信息技术发展趋势，继续积极开发具有自有知识产权的新产品，</w:t>
      </w:r>
    </w:p>
    <w:p>
      <w:pPr>
        <w:pStyle w:val="BodyText"/>
        <w:spacing w:line="240" w:lineRule="auto" w:before="19"/>
        <w:ind w:left="153" w:right="0"/>
        <w:jc w:val="left"/>
      </w:pPr>
      <w:r>
        <w:rPr/>
        <w:t>开发出功能和性能更加完善的新产品，以满足客户更加多样化、个性化的需求。</w:t>
      </w:r>
    </w:p>
    <w:p>
      <w:pPr>
        <w:pStyle w:val="BodyText"/>
        <w:spacing w:line="316" w:lineRule="auto" w:before="76"/>
        <w:ind w:left="513" w:right="0"/>
        <w:jc w:val="left"/>
      </w:pPr>
      <w:r>
        <w:rPr/>
        <w:t>（三）公司管理能力风险 </w:t>
      </w:r>
      <w:r>
        <w:rPr>
          <w:spacing w:val="-2"/>
        </w:rPr>
        <w:t>随着公司业务规模的扩大，人员的增长，对运营管控能力提出更高的要求。如果公司管理能力不能跟上规模和人员发展</w:t>
      </w:r>
    </w:p>
    <w:p>
      <w:pPr>
        <w:pStyle w:val="BodyText"/>
        <w:spacing w:line="316" w:lineRule="auto" w:before="19"/>
        <w:ind w:left="513" w:right="0" w:hanging="360"/>
        <w:jc w:val="left"/>
      </w:pPr>
      <w:r>
        <w:rPr/>
        <w:t>的要求，将会对公司业绩产生影响。 </w:t>
      </w:r>
      <w:r>
        <w:rPr>
          <w:spacing w:val="-2"/>
        </w:rPr>
        <w:t>公司将通过进一步完善法人治理结构，建立健全的内部组织结构，细化内控的具体执行办法，完成对相关人员的业务和</w:t>
      </w:r>
    </w:p>
    <w:p>
      <w:pPr>
        <w:pStyle w:val="BodyText"/>
        <w:spacing w:line="240" w:lineRule="auto" w:before="19"/>
        <w:ind w:left="153" w:right="0"/>
        <w:jc w:val="left"/>
      </w:pPr>
      <w:r>
        <w:rPr/>
        <w:t>风险防范培训、考核、监督与评价工作等方式从而避免在公司管理能力出现的风险，积极应对公司规模扩张带来的挑战。</w:t>
      </w:r>
    </w:p>
    <w:p>
      <w:pPr>
        <w:pStyle w:val="BodyText"/>
        <w:spacing w:line="316" w:lineRule="auto" w:before="76"/>
        <w:ind w:left="513" w:right="91"/>
        <w:jc w:val="left"/>
      </w:pPr>
      <w:r>
        <w:rPr/>
        <w:t>（四）新业务投入风险 公司依照发展战略及面临的市场形势，</w:t>
      </w:r>
      <w:r>
        <w:rPr>
          <w:rFonts w:ascii="Times New Roman" w:hAnsi="Times New Roman" w:cs="Times New Roman" w:eastAsia="Times New Roman" w:hint="default"/>
        </w:rPr>
        <w:t>2016</w:t>
      </w:r>
      <w:r>
        <w:rPr/>
        <w:t>年将继续保持新业务的投入力度。新业务的投入会相应增加公司经营成本，</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如遭遇重大市场环境变化，有可能达不到预期的投资目标。 </w:t>
      </w:r>
      <w:r>
        <w:rPr>
          <w:spacing w:val="-4"/>
        </w:rPr>
        <w:t>公司将通过跟踪新业务市场发展趋势，定期进行新业务研讨、严格审核大额新业务投入等措施提高新业务开展的预见性，</w:t>
      </w:r>
    </w:p>
    <w:p>
      <w:pPr>
        <w:pStyle w:val="BodyText"/>
        <w:spacing w:line="240" w:lineRule="auto" w:before="19"/>
        <w:ind w:left="153" w:right="0"/>
        <w:jc w:val="both"/>
      </w:pPr>
      <w:r>
        <w:rPr/>
        <w:t>降低由此带来的经营风险。</w:t>
      </w:r>
    </w:p>
    <w:p>
      <w:pPr>
        <w:pStyle w:val="BodyText"/>
        <w:spacing w:line="316" w:lineRule="auto" w:before="76"/>
        <w:ind w:left="513" w:right="0"/>
        <w:jc w:val="left"/>
      </w:pPr>
      <w:r>
        <w:rPr/>
        <w:t>（五）企业并购整合风险 </w:t>
      </w:r>
      <w:r>
        <w:rPr>
          <w:spacing w:val="-4"/>
        </w:rPr>
        <w:t>公司会在今后继续实施积极稳妥地产业链整合和扩张战略。在完成并购企业的过程后，随之而来会出现相应的整合风险，</w:t>
      </w:r>
    </w:p>
    <w:p>
      <w:pPr>
        <w:pStyle w:val="BodyText"/>
        <w:spacing w:line="316" w:lineRule="auto" w:before="19"/>
        <w:ind w:left="153" w:right="191"/>
        <w:jc w:val="both"/>
      </w:pPr>
      <w:r>
        <w:rPr>
          <w:spacing w:val="-2"/>
        </w:rPr>
        <w:t>如不能做到资源与业务的有效整合，将会为公司经营和管理带来风险。公司将通过明确并购的战略目标，细致分析相关标的</w:t>
      </w:r>
      <w:r>
        <w:rPr>
          <w:spacing w:val="-66"/>
        </w:rPr>
        <w:t> </w:t>
      </w:r>
      <w:r>
        <w:rPr>
          <w:spacing w:val="-66"/>
        </w:rPr>
      </w:r>
      <w:r>
        <w:rPr>
          <w:spacing w:val="-2"/>
        </w:rPr>
        <w:t>公司，建立科学的收购风险管理机制，及时对完成并购的企业进行有效整合，改善其经营管理，以期达到效益最大化，规避</w:t>
      </w:r>
      <w:r>
        <w:rPr>
          <w:spacing w:val="-66"/>
        </w:rPr>
        <w:t> </w:t>
      </w:r>
      <w:r>
        <w:rPr>
          <w:spacing w:val="-66"/>
        </w:rPr>
      </w:r>
      <w:r>
        <w:rPr/>
        <w:t>整合风险。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62"/>
              <w:jc w:val="left"/>
              <w:rPr>
                <w:rFonts w:ascii="Times New Roman" w:hAnsi="Times New Roman" w:cs="Times New Roman" w:eastAsia="Times New Roman" w:hint="default"/>
                <w:sz w:val="18"/>
                <w:szCs w:val="18"/>
              </w:rPr>
            </w:pPr>
            <w:hyperlink r:id="rId16">
              <w:r>
                <w:rPr>
                  <w:rFonts w:ascii="Times New Roman"/>
                  <w:spacing w:val="-1"/>
                  <w:sz w:val="18"/>
                </w:rPr>
                <w:t>http://ircs.p5w.net/ircs/topicInteraction/b</w:t>
              </w:r>
            </w:hyperlink>
            <w:r>
              <w:rPr>
                <w:rFonts w:ascii="Times New Roman"/>
                <w:spacing w:val="-27"/>
                <w:sz w:val="18"/>
              </w:rPr>
              <w:t> </w:t>
            </w:r>
            <w:r>
              <w:rPr>
                <w:rFonts w:ascii="Times New Roman"/>
                <w:spacing w:val="-27"/>
                <w:sz w:val="18"/>
              </w:rPr>
            </w:r>
            <w:r>
              <w:rPr>
                <w:rFonts w:ascii="Times New Roman"/>
                <w:sz w:val="18"/>
              </w:rPr>
              <w:t>bs.do?rid=13536</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3" w:right="48"/>
              <w:jc w:val="left"/>
              <w:rPr>
                <w:rFonts w:ascii="Times New Roman" w:hAnsi="Times New Roman" w:cs="Times New Roman" w:eastAsia="Times New Roman" w:hint="default"/>
                <w:sz w:val="18"/>
                <w:szCs w:val="18"/>
              </w:rPr>
            </w:pPr>
            <w:hyperlink r:id="rId17">
              <w:r>
                <w:rPr>
                  <w:rFonts w:ascii="Times New Roman"/>
                  <w:sz w:val="18"/>
                </w:rPr>
                <w:t>http://www.cninfo.com.cn/finalpage/201</w:t>
              </w:r>
            </w:hyperlink>
            <w:r>
              <w:rPr>
                <w:rFonts w:ascii="Times New Roman"/>
                <w:w w:val="100"/>
                <w:sz w:val="18"/>
              </w:rPr>
              <w:t> </w:t>
            </w:r>
            <w:r>
              <w:rPr>
                <w:rFonts w:ascii="Times New Roman"/>
                <w:spacing w:val="-1"/>
                <w:sz w:val="18"/>
              </w:rPr>
              <w:t>5-10-30/1201742810.DOC?www.cninfo.</w:t>
            </w:r>
          </w:p>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3" w:right="48"/>
              <w:jc w:val="left"/>
              <w:rPr>
                <w:rFonts w:ascii="Times New Roman" w:hAnsi="Times New Roman" w:cs="Times New Roman" w:eastAsia="Times New Roman" w:hint="default"/>
                <w:sz w:val="18"/>
                <w:szCs w:val="18"/>
              </w:rPr>
            </w:pPr>
            <w:hyperlink r:id="rId17">
              <w:r>
                <w:rPr>
                  <w:rFonts w:ascii="Times New Roman"/>
                  <w:sz w:val="18"/>
                </w:rPr>
                <w:t>http://www.cninfo.com.cn/finalpage/201</w:t>
              </w:r>
            </w:hyperlink>
            <w:r>
              <w:rPr>
                <w:rFonts w:ascii="Times New Roman"/>
                <w:w w:val="100"/>
                <w:sz w:val="18"/>
              </w:rPr>
              <w:t> </w:t>
            </w:r>
            <w:r>
              <w:rPr>
                <w:rFonts w:ascii="Times New Roman"/>
                <w:spacing w:val="-1"/>
                <w:sz w:val="18"/>
              </w:rPr>
              <w:t>5-12-04/1201807986.DOC?www.cninfo.</w:t>
            </w:r>
          </w:p>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sz w:val="18"/>
              </w:rPr>
              <w:t>com.cn</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3" w:right="48"/>
              <w:jc w:val="left"/>
              <w:rPr>
                <w:rFonts w:ascii="Times New Roman" w:hAnsi="Times New Roman" w:cs="Times New Roman" w:eastAsia="Times New Roman" w:hint="default"/>
                <w:sz w:val="18"/>
                <w:szCs w:val="18"/>
              </w:rPr>
            </w:pPr>
            <w:hyperlink r:id="rId17">
              <w:r>
                <w:rPr>
                  <w:rFonts w:ascii="Times New Roman"/>
                  <w:sz w:val="18"/>
                </w:rPr>
                <w:t>http://www.cninfo.com.cn/finalpage/201</w:t>
              </w:r>
            </w:hyperlink>
            <w:r>
              <w:rPr>
                <w:rFonts w:ascii="Times New Roman"/>
                <w:w w:val="100"/>
                <w:sz w:val="18"/>
              </w:rPr>
              <w:t> </w:t>
            </w:r>
            <w:r>
              <w:rPr>
                <w:rFonts w:ascii="Times New Roman"/>
                <w:spacing w:val="-1"/>
                <w:sz w:val="18"/>
              </w:rPr>
              <w:t>5-12-16/1201841049.DOC?www.cninfo.</w:t>
            </w:r>
          </w:p>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sz w:val="18"/>
              </w:rPr>
              <w:t>com.cn</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97"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2014</w:t>
      </w:r>
      <w:r>
        <w:rPr/>
        <w:t>年度股东大会审议通过了《关于</w:t>
      </w:r>
      <w:r>
        <w:rPr>
          <w:rFonts w:ascii="Times New Roman" w:hAnsi="Times New Roman" w:cs="Times New Roman" w:eastAsia="Times New Roman" w:hint="default"/>
        </w:rPr>
        <w:t>&lt;</w:t>
      </w:r>
      <w:r>
        <w:rPr/>
        <w:t>公司未来三年股东回报规划（</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&gt;</w:t>
      </w:r>
      <w:r>
        <w:rPr/>
        <w:t>的议案》， </w:t>
      </w:r>
      <w:r>
        <w:rPr>
          <w:spacing w:val="-2"/>
        </w:rPr>
        <w:t>该回报规划综合考虑公司的盈利能力、经营模式、发展阶段、投资资金需求、现金流状况、股东回报、社会资金成本及外部</w:t>
      </w:r>
      <w:r>
        <w:rPr>
          <w:spacing w:val="-68"/>
        </w:rPr>
        <w:t> </w:t>
      </w:r>
      <w:r>
        <w:rPr>
          <w:spacing w:val="-68"/>
        </w:rPr>
      </w:r>
      <w:r>
        <w:rPr>
          <w:spacing w:val="-2"/>
        </w:rPr>
        <w:t>融资环境等因素，平衡股东的投资回报和公司未来发展的资金需要，建立对投资者持续、稳定、科学的回报规划与机制，保</w:t>
      </w:r>
      <w:r>
        <w:rPr>
          <w:spacing w:val="-66"/>
        </w:rPr>
        <w:t> </w:t>
      </w:r>
      <w:r>
        <w:rPr>
          <w:spacing w:val="-66"/>
        </w:rPr>
      </w:r>
      <w:r>
        <w:rPr/>
        <w:t>持利润分配政策的一致性、合理性和稳定性，保证现金分红信息披露的真实性。</w:t>
      </w:r>
    </w:p>
    <w:p>
      <w:pPr>
        <w:pStyle w:val="BodyText"/>
        <w:spacing w:line="300" w:lineRule="auto" w:before="22"/>
        <w:ind w:right="188" w:firstLine="360"/>
        <w:jc w:val="both"/>
      </w:pPr>
      <w:r>
        <w:rPr>
          <w:spacing w:val="-2"/>
        </w:rPr>
        <w:t>报告期内，董事会根据公司</w:t>
      </w:r>
      <w:r>
        <w:rPr>
          <w:rFonts w:ascii="Times New Roman" w:hAnsi="Times New Roman" w:cs="Times New Roman" w:eastAsia="Times New Roman" w:hint="default"/>
          <w:spacing w:val="-2"/>
        </w:rPr>
        <w:t>2014</w:t>
      </w:r>
      <w:r>
        <w:rPr>
          <w:spacing w:val="-2"/>
        </w:rPr>
        <w:t>年度经营业绩情况以及未来发展规划，在充分征询独立董事及公司股东意见后，制定了</w:t>
      </w:r>
      <w:r>
        <w:rPr/>
        <w:t> 公司</w:t>
      </w:r>
      <w:r>
        <w:rPr>
          <w:rFonts w:ascii="Times New Roman" w:hAnsi="Times New Roman" w:cs="Times New Roman" w:eastAsia="Times New Roman" w:hint="default"/>
        </w:rPr>
        <w:t>2014</w:t>
      </w:r>
      <w:r>
        <w:rPr/>
        <w:t>年度利润分配预案。该议案经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日召开的公司第三届董事会第十四次会议以及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日召开的公司</w:t>
      </w:r>
      <w:r>
        <w:rPr>
          <w:spacing w:val="-83"/>
        </w:rPr>
        <w:t> </w:t>
      </w:r>
      <w:r>
        <w:rPr>
          <w:spacing w:val="-83"/>
        </w:rPr>
      </w:r>
      <w:r>
        <w:rPr>
          <w:rFonts w:ascii="Times New Roman" w:hAnsi="Times New Roman" w:cs="Times New Roman" w:eastAsia="Times New Roman" w:hint="default"/>
        </w:rPr>
        <w:t>2014</w:t>
      </w:r>
      <w:r>
        <w:rPr/>
        <w:t>年度股东大会审议通过。</w:t>
      </w:r>
    </w:p>
    <w:p>
      <w:pPr>
        <w:pStyle w:val="BodyText"/>
        <w:spacing w:line="300" w:lineRule="auto" w:before="13"/>
        <w:ind w:left="153" w:right="0" w:firstLine="360"/>
        <w:jc w:val="left"/>
      </w:pPr>
      <w:r>
        <w:rPr>
          <w:spacing w:val="-2"/>
        </w:rPr>
        <w:t>根据公司</w:t>
      </w:r>
      <w:r>
        <w:rPr>
          <w:rFonts w:ascii="Times New Roman" w:hAnsi="Times New Roman" w:cs="Times New Roman" w:eastAsia="Times New Roman" w:hint="default"/>
          <w:spacing w:val="-2"/>
        </w:rPr>
        <w:t>2014</w:t>
      </w:r>
      <w:r>
        <w:rPr>
          <w:spacing w:val="-2"/>
        </w:rPr>
        <w:t>年度股东大会决议，公司：拟以</w:t>
      </w:r>
      <w:r>
        <w:rPr>
          <w:rFonts w:ascii="Times New Roman" w:hAnsi="Times New Roman" w:cs="Times New Roman" w:eastAsia="Times New Roman" w:hint="default"/>
          <w:spacing w:val="-2"/>
        </w:rPr>
        <w:t>2014</w:t>
      </w:r>
      <w:r>
        <w:rPr>
          <w:spacing w:val="-2"/>
        </w:rPr>
        <w:t>年年末总股本</w:t>
      </w:r>
      <w:r>
        <w:rPr>
          <w:rFonts w:ascii="Times New Roman" w:hAnsi="Times New Roman" w:cs="Times New Roman" w:eastAsia="Times New Roman" w:hint="default"/>
          <w:spacing w:val="-2"/>
        </w:rPr>
        <w:t>622,200,000.00</w:t>
      </w:r>
      <w:r>
        <w:rPr>
          <w:spacing w:val="-2"/>
        </w:rPr>
        <w:t>股为基数，向全体股东每</w:t>
      </w:r>
      <w:r>
        <w:rPr>
          <w:rFonts w:ascii="Times New Roman" w:hAnsi="Times New Roman" w:cs="Times New Roman" w:eastAsia="Times New Roman" w:hint="default"/>
          <w:spacing w:val="-2"/>
        </w:rPr>
        <w:t>10</w:t>
      </w:r>
      <w:r>
        <w:rPr>
          <w:spacing w:val="-2"/>
        </w:rPr>
        <w:t>股派现金</w:t>
      </w:r>
      <w:r>
        <w:rPr>
          <w:rFonts w:ascii="Times New Roman" w:hAnsi="Times New Roman" w:cs="Times New Roman" w:eastAsia="Times New Roman" w:hint="default"/>
          <w:spacing w:val="-2"/>
        </w:rPr>
        <w:t>0.15</w:t>
      </w:r>
      <w:r>
        <w:rPr>
          <w:rFonts w:ascii="Times New Roman" w:hAnsi="Times New Roman" w:cs="Times New Roman" w:eastAsia="Times New Roman" w:hint="default"/>
        </w:rPr>
        <w:t> </w:t>
      </w:r>
      <w:r>
        <w:rPr/>
        <w:t>元（含税），共派发股利</w:t>
      </w:r>
      <w:r>
        <w:rPr>
          <w:rFonts w:ascii="Times New Roman" w:hAnsi="Times New Roman" w:cs="Times New Roman" w:eastAsia="Times New Roman" w:hint="default"/>
        </w:rPr>
        <w:t>9,333,000</w:t>
      </w:r>
      <w:r>
        <w:rPr/>
        <w:t>元，上述方案公司已于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日实施完毕。</w:t>
      </w: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报告期内不存在现金分红政策进行调整和变更的情形。</w:t>
            </w:r>
          </w:p>
        </w:tc>
      </w:tr>
    </w:tbl>
    <w:p>
      <w:pPr>
        <w:pStyle w:val="BodyText"/>
        <w:spacing w:line="319" w:lineRule="auto" w:before="5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年度权益分派方案： </w:t>
      </w:r>
      <w:r>
        <w:rPr>
          <w:spacing w:val="-1"/>
        </w:rPr>
        <w:t>以</w:t>
      </w:r>
      <w:r>
        <w:rPr>
          <w:rFonts w:ascii="Times New Roman" w:hAnsi="Times New Roman" w:cs="Times New Roman" w:eastAsia="Times New Roman" w:hint="default"/>
          <w:spacing w:val="-1"/>
        </w:rPr>
        <w:t>2013</w:t>
      </w:r>
      <w:r>
        <w:rPr>
          <w:spacing w:val="-1"/>
        </w:rPr>
        <w:t>年年末总股本</w:t>
      </w:r>
      <w:r>
        <w:rPr>
          <w:rFonts w:ascii="Times New Roman" w:hAnsi="Times New Roman" w:cs="Times New Roman" w:eastAsia="Times New Roman" w:hint="default"/>
          <w:spacing w:val="-1"/>
        </w:rPr>
        <w:t>311,100,000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0.5</w:t>
      </w:r>
      <w:r>
        <w:rPr>
          <w:spacing w:val="-1"/>
        </w:rPr>
        <w:t>元（含税），共派发股利</w:t>
      </w:r>
      <w:r>
        <w:rPr>
          <w:rFonts w:ascii="Times New Roman" w:hAnsi="Times New Roman" w:cs="Times New Roman" w:eastAsia="Times New Roman" w:hint="default"/>
          <w:spacing w:val="-1"/>
        </w:rPr>
        <w:t>15,555,000</w:t>
      </w:r>
      <w:r>
        <w:rPr>
          <w:spacing w:val="-1"/>
        </w:rPr>
        <w:t>元，剩余未分配</w:t>
      </w:r>
    </w:p>
    <w:p>
      <w:pPr>
        <w:pStyle w:val="BodyText"/>
        <w:spacing w:line="300" w:lineRule="auto"/>
        <w:ind w:right="180"/>
        <w:jc w:val="left"/>
      </w:pPr>
      <w:r>
        <w:rPr/>
        <w:t>利润</w:t>
      </w:r>
      <w:r>
        <w:rPr>
          <w:rFonts w:ascii="Times New Roman" w:hAnsi="Times New Roman" w:cs="Times New Roman" w:eastAsia="Times New Roman" w:hint="default"/>
        </w:rPr>
        <w:t>286,605,328.55</w:t>
      </w:r>
      <w:r>
        <w:rPr/>
        <w:t>元结转下一年度，同时，截止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日，公司资本公积金为</w:t>
      </w:r>
      <w:r>
        <w:rPr>
          <w:rFonts w:ascii="Times New Roman" w:hAnsi="Times New Roman" w:cs="Times New Roman" w:eastAsia="Times New Roman" w:hint="default"/>
        </w:rPr>
        <w:t>675,293,237.65</w:t>
      </w:r>
      <w:r>
        <w:rPr/>
        <w:t>元，以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的总股本</w:t>
      </w:r>
      <w:r>
        <w:rPr>
          <w:rFonts w:ascii="Times New Roman" w:hAnsi="Times New Roman" w:cs="Times New Roman" w:eastAsia="Times New Roman" w:hint="default"/>
        </w:rPr>
        <w:t>311,100,000</w:t>
      </w:r>
      <w:r>
        <w:rPr/>
        <w:t>股为基数进行资本公积转增股本，每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00" w:lineRule="auto" w:before="13"/>
        <w:ind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年度权益分派预案： </w:t>
      </w:r>
      <w:r>
        <w:rPr>
          <w:spacing w:val="-1"/>
        </w:rPr>
        <w:t>以</w:t>
      </w:r>
      <w:r>
        <w:rPr>
          <w:rFonts w:ascii="Times New Roman" w:hAnsi="Times New Roman" w:cs="Times New Roman" w:eastAsia="Times New Roman" w:hint="default"/>
          <w:spacing w:val="-1"/>
        </w:rPr>
        <w:t>2014</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0.15</w:t>
      </w:r>
      <w:r>
        <w:rPr>
          <w:spacing w:val="-1"/>
        </w:rPr>
        <w:t>元（含税），共派发股利</w:t>
      </w:r>
      <w:r>
        <w:rPr>
          <w:rFonts w:ascii="Times New Roman" w:hAnsi="Times New Roman" w:cs="Times New Roman" w:eastAsia="Times New Roman" w:hint="default"/>
          <w:spacing w:val="-1"/>
        </w:rPr>
        <w:t>9,333,000</w:t>
      </w:r>
      <w:r>
        <w:rPr>
          <w:spacing w:val="-1"/>
        </w:rPr>
        <w:t>元，剩余未分配</w:t>
      </w:r>
      <w:r>
        <w:rPr>
          <w:spacing w:val="-66"/>
        </w:rPr>
        <w:t> </w:t>
      </w:r>
      <w:r>
        <w:rPr>
          <w:spacing w:val="-66"/>
        </w:rPr>
      </w:r>
      <w:r>
        <w:rPr/>
        <w:t>利润</w:t>
      </w:r>
      <w:r>
        <w:rPr>
          <w:rFonts w:ascii="Times New Roman" w:hAnsi="Times New Roman" w:cs="Times New Roman" w:eastAsia="Times New Roman" w:hint="default"/>
        </w:rPr>
        <w:t>332,538,196.94</w:t>
      </w:r>
      <w:r>
        <w:rPr/>
        <w:t>元结转下一年度，</w:t>
      </w:r>
      <w:r>
        <w:rPr>
          <w:rFonts w:ascii="Times New Roman" w:hAnsi="Times New Roman" w:cs="Times New Roman" w:eastAsia="Times New Roman" w:hint="default"/>
        </w:rPr>
        <w:t>2014</w:t>
      </w:r>
      <w:r>
        <w:rPr/>
        <w:t>年度公司不进行资本公积金转增股本。</w:t>
      </w:r>
    </w:p>
    <w:p>
      <w:pPr>
        <w:pStyle w:val="BodyText"/>
        <w:spacing w:line="240" w:lineRule="auto" w:before="13"/>
        <w:ind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年度权益分派预案：</w:t>
      </w:r>
    </w:p>
    <w:p>
      <w:pPr>
        <w:pStyle w:val="BodyText"/>
        <w:spacing w:line="340" w:lineRule="auto" w:before="63"/>
        <w:ind w:right="0"/>
        <w:jc w:val="left"/>
      </w:pPr>
      <w:r>
        <w:rPr>
          <w:rFonts w:ascii="Times New Roman" w:hAnsi="Times New Roman" w:cs="Times New Roman" w:eastAsia="Times New Roman" w:hint="default"/>
        </w:rPr>
        <w:t>2015 </w:t>
      </w:r>
      <w:r>
        <w:rPr/>
        <w:t>年度不进行利润分配，也不进行资本公积金转增股本，公司未分配利润结转下一年度。 公司近三年（包括本报告期）普通股现金分红情况表</w:t>
      </w:r>
    </w:p>
    <w:p>
      <w:pPr>
        <w:pStyle w:val="BodyText"/>
        <w:spacing w:line="240" w:lineRule="auto" w:before="40"/>
        <w:ind w:left="0" w:right="18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807"/>
        <w:gridCol w:w="1736"/>
        <w:gridCol w:w="1451"/>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9" w:right="8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r>
        <w:rPr/>
        <w:pict>
          <v:shape style="position:absolute;margin-left:307.439392pt;margin-top:651.659973pt;width:116pt;height:111.2pt;mso-position-horizontal-relative:page;mso-position-vertical-relative:page;z-index:-11429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0" w:right="0"/>
                    <w:jc w:val="left"/>
                  </w:pPr>
                  <w:r>
                    <w:rPr/>
                    <w:t>离职后半年内，</w:t>
                  </w:r>
                </w:p>
              </w:txbxContent>
            </v:textbox>
            <w10:wrap type="none"/>
          </v:shape>
        </w:pict>
      </w:r>
      <w:r>
        <w:rPr/>
        <w:pict>
          <v:group style="position:absolute;margin-left:367.619995pt;margin-top:651.659973pt;width:55.8pt;height:111.2pt;mso-position-horizontal-relative:page;mso-position-vertical-relative:page;z-index:-1142968" coordorigin="7352,13033" coordsize="1116,2224">
            <v:group style="position:absolute;left:7352;top:13033;width:1116;height:2224" coordorigin="7352,13033" coordsize="1116,2224">
              <v:shape style="position:absolute;left:7352;top:13033;width:1116;height:2224" coordorigin="7352,13033" coordsize="1116,2224" path="m7352,15257l8468,15257,8468,13033,7352,13033,7352,15257xe" filled="true" fillcolor="#ffffff" stroked="false">
                <v:path arrowok="t"/>
                <v:fill type="solid"/>
              </v:shape>
            </v:group>
            <v:group style="position:absolute;left:7375;top:13793;width:1070;height:353" coordorigin="7375,13793" coordsize="1070,353">
              <v:shape style="position:absolute;left:7375;top:13793;width:1070;height:353" coordorigin="7375,13793" coordsize="1070,353" path="m7375,14146l8444,14146,8444,13793,7375,13793,7375,14146xe" filled="true" fillcolor="#ffffff" stroked="false">
                <v:path arrowok="t"/>
                <v:fill type="solid"/>
              </v:shape>
            </v:group>
            <v:group style="position:absolute;left:7375;top:14146;width:1070;height:352" coordorigin="7375,14146" coordsize="1070,352">
              <v:shape style="position:absolute;left:7375;top:14146;width:1070;height:352" coordorigin="7375,14146" coordsize="1070,352" path="m7375,14497l8444,14497,8444,14146,7375,14146,7375,1449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381"/>
        <w:gridCol w:w="1807"/>
        <w:gridCol w:w="1736"/>
        <w:gridCol w:w="1451"/>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15,830,627.57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9,333,000.00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22,250,622.89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41.94%</w:t>
            </w:r>
            <w:r>
              <w:rPr>
                <w:rFonts w:ascii="Times New Roman"/>
                <w:sz w:val="18"/>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62,838,706.64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24.75%</w:t>
            </w:r>
            <w:r>
              <w:rPr>
                <w:rFonts w:ascii="Times New Roman"/>
                <w:sz w:val="18"/>
              </w:rPr>
            </w:r>
          </w:p>
        </w:tc>
        <w:tc>
          <w:tcPr>
            <w:tcW w:w="1451"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公司报告期内盈利且母公司可供普通股股东分配利润为正但未提出普通股现金红利分配预案</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36" w:right="47"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3" w:hRule="exact"/>
        </w:trPr>
        <w:tc>
          <w:tcPr>
            <w:tcW w:w="4784" w:type="dxa"/>
            <w:tcBorders>
              <w:top w:val="single" w:sz="4" w:space="0" w:color="000000"/>
              <w:left w:val="single" w:sz="4" w:space="0" w:color="000000"/>
              <w:bottom w:val="nil" w:sz="6" w:space="0" w:color="auto"/>
              <w:right w:val="single" w:sz="4" w:space="0" w:color="000000"/>
            </w:tcBorders>
          </w:tcPr>
          <w:p>
            <w:pPr/>
          </w:p>
        </w:tc>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年度拟不分配现金红利，不送红股，不以公积金转增股</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本，尚有累计未分配利润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344,709,428.38</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元结转下一年度。在</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年度不分红的情况下，近三年分红合计</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2"/>
              <w:jc w:val="center"/>
              <w:rPr>
                <w:rFonts w:ascii="宋体" w:hAnsi="宋体" w:cs="宋体" w:eastAsia="宋体" w:hint="default"/>
                <w:sz w:val="18"/>
                <w:szCs w:val="18"/>
              </w:rPr>
            </w:pPr>
            <w:r>
              <w:rPr>
                <w:rFonts w:ascii="宋体" w:hAnsi="宋体" w:cs="宋体" w:eastAsia="宋体" w:hint="default"/>
                <w:sz w:val="18"/>
                <w:szCs w:val="18"/>
              </w:rPr>
              <w:t>公司目前正处于战略升级阶段，</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年公司将加大产品的研</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24,888,000.00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元，满足公司最近三年以现金形式累计分配的</w:t>
            </w:r>
          </w:p>
        </w:tc>
      </w:tr>
      <w:tr>
        <w:trPr>
          <w:trHeight w:val="306"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发，实施产业为和业务战略布局，资金需求较大。着眼于长</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利润不少于最近三年实现的年均归属于上市公司股东净利润</w:t>
            </w:r>
          </w:p>
        </w:tc>
      </w:tr>
      <w:tr>
        <w:trPr>
          <w:trHeight w:val="317"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远和可持续发展，公司需保持必要的资金储备，以满足公司</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pacing w:val="-11"/>
                <w:sz w:val="18"/>
                <w:szCs w:val="18"/>
              </w:rPr>
              <w:t>，</w:t>
            </w:r>
            <w:r>
              <w:rPr>
                <w:rFonts w:ascii="宋体" w:hAnsi="宋体" w:cs="宋体" w:eastAsia="宋体" w:hint="default"/>
                <w:sz w:val="18"/>
                <w:szCs w:val="18"/>
              </w:rPr>
              <w:t>符合证监会</w:t>
            </w:r>
            <w:r>
              <w:rPr>
                <w:rFonts w:ascii="宋体" w:hAnsi="宋体" w:cs="宋体" w:eastAsia="宋体" w:hint="default"/>
                <w:spacing w:val="-11"/>
                <w:sz w:val="18"/>
                <w:szCs w:val="18"/>
              </w:rPr>
              <w:t>、</w:t>
            </w:r>
            <w:r>
              <w:rPr>
                <w:rFonts w:ascii="宋体" w:hAnsi="宋体" w:cs="宋体" w:eastAsia="宋体" w:hint="default"/>
                <w:sz w:val="18"/>
                <w:szCs w:val="18"/>
              </w:rPr>
              <w:t>交</w:t>
            </w:r>
            <w:r>
              <w:rPr>
                <w:rFonts w:ascii="宋体" w:hAnsi="宋体" w:cs="宋体" w:eastAsia="宋体" w:hint="default"/>
                <w:spacing w:val="-2"/>
                <w:sz w:val="18"/>
                <w:szCs w:val="18"/>
              </w:rPr>
              <w:t>易</w:t>
            </w:r>
            <w:r>
              <w:rPr>
                <w:rFonts w:ascii="宋体" w:hAnsi="宋体" w:cs="宋体" w:eastAsia="宋体" w:hint="default"/>
                <w:sz w:val="18"/>
                <w:szCs w:val="18"/>
              </w:rPr>
              <w:t>所</w:t>
            </w:r>
            <w:r>
              <w:rPr>
                <w:rFonts w:ascii="宋体" w:hAnsi="宋体" w:cs="宋体" w:eastAsia="宋体" w:hint="default"/>
                <w:spacing w:val="-101"/>
                <w:sz w:val="18"/>
                <w:szCs w:val="18"/>
              </w:rPr>
              <w:t>、</w:t>
            </w:r>
            <w:r>
              <w:rPr>
                <w:rFonts w:ascii="宋体" w:hAnsi="宋体" w:cs="宋体" w:eastAsia="宋体" w:hint="default"/>
                <w:sz w:val="18"/>
                <w:szCs w:val="18"/>
              </w:rPr>
              <w:t>《公司章</w:t>
            </w:r>
            <w:r>
              <w:rPr>
                <w:rFonts w:ascii="宋体" w:hAnsi="宋体" w:cs="宋体" w:eastAsia="宋体" w:hint="default"/>
                <w:spacing w:val="-2"/>
                <w:sz w:val="18"/>
                <w:szCs w:val="18"/>
              </w:rPr>
              <w:t>程</w:t>
            </w:r>
            <w:r>
              <w:rPr>
                <w:rFonts w:ascii="宋体" w:hAnsi="宋体" w:cs="宋体" w:eastAsia="宋体" w:hint="default"/>
                <w:spacing w:val="-11"/>
                <w:sz w:val="18"/>
                <w:szCs w:val="18"/>
              </w:rPr>
              <w:t>》</w:t>
            </w:r>
            <w:r>
              <w:rPr>
                <w:rFonts w:ascii="宋体" w:hAnsi="宋体" w:cs="宋体" w:eastAsia="宋体" w:hint="default"/>
                <w:sz w:val="18"/>
                <w:szCs w:val="18"/>
              </w:rPr>
              <w:t>及公</w:t>
            </w:r>
            <w:r>
              <w:rPr>
                <w:rFonts w:ascii="宋体" w:hAnsi="宋体" w:cs="宋体" w:eastAsia="宋体" w:hint="default"/>
                <w:spacing w:val="-11"/>
                <w:sz w:val="18"/>
                <w:szCs w:val="18"/>
              </w:rPr>
              <w:t>司</w:t>
            </w:r>
            <w:r>
              <w:rPr>
                <w:rFonts w:ascii="宋体" w:hAnsi="宋体" w:cs="宋体" w:eastAsia="宋体" w:hint="default"/>
                <w:sz w:val="18"/>
                <w:szCs w:val="18"/>
              </w:rPr>
              <w:t>《</w:t>
            </w:r>
            <w:r>
              <w:rPr>
                <w:rFonts w:ascii="宋体" w:hAnsi="宋体" w:cs="宋体" w:eastAsia="宋体" w:hint="default"/>
                <w:spacing w:val="-2"/>
                <w:sz w:val="18"/>
                <w:szCs w:val="18"/>
              </w:rPr>
              <w:t>未</w:t>
            </w:r>
            <w:r>
              <w:rPr>
                <w:rFonts w:ascii="宋体" w:hAnsi="宋体" w:cs="宋体" w:eastAsia="宋体" w:hint="default"/>
                <w:sz w:val="18"/>
                <w:szCs w:val="18"/>
              </w:rPr>
              <w:t>来三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47"/>
              <w:jc w:val="center"/>
              <w:rPr>
                <w:rFonts w:ascii="宋体" w:hAnsi="宋体" w:cs="宋体" w:eastAsia="宋体" w:hint="default"/>
                <w:sz w:val="18"/>
                <w:szCs w:val="18"/>
              </w:rPr>
            </w:pPr>
            <w:r>
              <w:rPr>
                <w:rFonts w:ascii="宋体" w:hAnsi="宋体" w:cs="宋体" w:eastAsia="宋体" w:hint="default"/>
                <w:sz w:val="18"/>
                <w:szCs w:val="18"/>
              </w:rPr>
              <w:t>运营及业务拓展的资金需求，创造更大的利润以回报股东。</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年）股东回报规划》的规定，不存在损害</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投资者利益的情况。为支持公司长远发展，拟将公司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r>
      <w:tr>
        <w:trPr>
          <w:trHeight w:val="308" w:hRule="exact"/>
        </w:trPr>
        <w:tc>
          <w:tcPr>
            <w:tcW w:w="4784"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度未分配利润用于将加大产品的研发，实施产业和业务战略</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tcPr>
          <w:p>
            <w:pPr/>
          </w:p>
        </w:tc>
        <w:tc>
          <w:tcPr>
            <w:tcW w:w="4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布局。</w:t>
            </w:r>
          </w:p>
        </w:tc>
      </w:tr>
    </w:tbl>
    <w:p>
      <w:pPr>
        <w:spacing w:line="240" w:lineRule="auto" w:before="2"/>
        <w:rPr>
          <w:rFonts w:ascii="宋体" w:hAnsi="宋体" w:cs="宋体" w:eastAsia="宋体" w:hint="default"/>
          <w:sz w:val="18"/>
          <w:szCs w:val="18"/>
        </w:rPr>
      </w:pPr>
    </w:p>
    <w:p>
      <w:pPr>
        <w:pStyle w:val="Heading2"/>
        <w:spacing w:line="240" w:lineRule="auto" w:before="26"/>
        <w:ind w:right="704"/>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704"/>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708" w:type="dxa"/>
            <w:tcBorders>
              <w:top w:val="single" w:sz="4" w:space="0" w:color="000000"/>
              <w:left w:val="single" w:sz="13" w:space="0" w:color="D3D3D3"/>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20"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pacing w:val="-18"/>
                <w:sz w:val="18"/>
                <w:szCs w:val="18"/>
              </w:rPr>
              <w:t>鲁峰、侯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伟</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在本公司任董事、高 级管理人员的股东鲁 峰、侯伟承诺：在其 任职期间每年转让的 股份不得超过其所持 有本公司股份总数的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在职期间以 及申报离职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2"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67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不转让其所持有的本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个月后的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通过证券交易所挂牌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交易出售的发行人股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票数量占其所持有发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行人股票总数的比例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为了避免将来发生同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业竞争，公司控股股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东鲁峰和股东侯伟出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具了《放弃竞争与利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益冲突承诺函</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不生产、开发任何与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股份公司及其下属子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公司生产的产品构成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竞争或可能构成竞争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的产品，不直接或间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接经营任何与股份公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8"/>
                <w:sz w:val="18"/>
                <w:szCs w:val="18"/>
              </w:rPr>
              <w:t>鲁峰、侯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伟</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6"/>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司及其下属子公司经 营的业务构成竞争或 可能构成竞争的业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务，也不参与投资任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何与股份公司及其下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属子公司生产的产品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或经营的业务构成竞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争或可能构成竞争的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其他企业；从第三方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获得的商业机会如果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属于股份公司主营业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务范围之内的，将尽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可能地协助股份公司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取得该等商业机会。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公司属于高新技术企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业，行业内技术人员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流动性较大，为了保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护公司的知识产权和 保持核心人员的稳 定，公司已与高级管 理人员和核心技术人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员签订劳动合同，上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述人员同时对公司出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具了《保密义务、技</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380005pt;margin-top:72.480003pt;width:62.05pt;height:17.650pt;mso-position-horizontal-relative:page;mso-position-vertical-relative:page;z-index:-1142920" type="#_x0000_t202" filled="false" stroked="false">
            <v:textbox inset="0,0,0,0">
              <w:txbxContent>
                <w:p>
                  <w:pPr>
                    <w:pStyle w:val="BodyText"/>
                    <w:spacing w:line="240" w:lineRule="auto" w:before="11"/>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术成果归属承诺书》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5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5.8pt;height:17.650pt;mso-position-horizontal-relative:char;mso-position-vertical-relative:line" coordorigin="0,0" coordsize="1116,353">
                  <v:group style="position:absolute;left:0;top:0;width:1116;height:353" coordorigin="0,0" coordsize="1116,353">
                    <v:shape style="position:absolute;left:0;top:0;width:1116;height:353" coordorigin="0,0" coordsize="1116,353" path="m0,353l1116,353,111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公司所有募集资金将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存放于专户管理，并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用于公司新一代电子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56"/>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政务应用平台、信息 安全风险综合管理系 统、质检三电工程企 业端软件运维服务平</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台、协同管理软件平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台、技术研发与创新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中心等主营业务。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公司章程第一百六十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五条规定</w:t>
            </w:r>
            <w:r>
              <w:rPr>
                <w:rFonts w:ascii="宋体" w:hAnsi="宋体" w:cs="宋体" w:eastAsia="宋体" w:hint="default"/>
                <w:spacing w:val="-135"/>
                <w:sz w:val="18"/>
                <w:szCs w:val="18"/>
              </w:rPr>
              <w:t>：</w:t>
            </w:r>
            <w:r>
              <w:rPr>
                <w:rFonts w:ascii="宋体" w:hAnsi="宋体" w:cs="宋体" w:eastAsia="宋体" w:hint="default"/>
                <w:sz w:val="18"/>
                <w:szCs w:val="18"/>
              </w:rPr>
              <w:t>（一</w:t>
            </w:r>
            <w:r>
              <w:rPr>
                <w:rFonts w:ascii="宋体" w:hAnsi="宋体" w:cs="宋体" w:eastAsia="宋体" w:hint="default"/>
                <w:spacing w:val="-45"/>
                <w:sz w:val="18"/>
                <w:szCs w:val="18"/>
              </w:rPr>
              <w:t>）</w:t>
            </w: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董事会负责制定公司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的股利分配预案，股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东大会负责审批。在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公司当年度盈利且提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取法定公积金及弥补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以前年度亏损后仍有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剩余时，董事会应当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作出现金分红预案。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公司董事会未做出现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金利润分配预案的，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应当在定期报告中披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露原因，公司独立董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事应当对此发表独立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both"/>
              <w:rPr>
                <w:rFonts w:ascii="宋体" w:hAnsi="宋体" w:cs="宋体" w:eastAsia="宋体" w:hint="default"/>
                <w:sz w:val="18"/>
                <w:szCs w:val="18"/>
              </w:rPr>
            </w:pPr>
            <w:r>
              <w:rPr>
                <w:rFonts w:ascii="宋体" w:hAnsi="宋体" w:cs="宋体" w:eastAsia="宋体" w:hint="default"/>
                <w:spacing w:val="-18"/>
                <w:sz w:val="18"/>
                <w:szCs w:val="18"/>
              </w:rPr>
              <w:t>意见。（二）公司每年</w:t>
            </w:r>
            <w:r>
              <w:rPr>
                <w:rFonts w:ascii="宋体" w:hAnsi="宋体" w:cs="宋体" w:eastAsia="宋体" w:hint="default"/>
                <w:sz w:val="18"/>
                <w:szCs w:val="18"/>
              </w:rPr>
              <w:t> 以现金方式分配的利 润应当不少于当年可</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；公</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司上市后连续三年以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现金方式累计分配的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利润应不少于该连续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三年实现的年均可分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；在进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行现金分配的同时，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公司可以进行股票股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利的分配</w:t>
            </w:r>
            <w:r>
              <w:rPr>
                <w:rFonts w:ascii="宋体" w:hAnsi="宋体" w:cs="宋体" w:eastAsia="宋体" w:hint="default"/>
                <w:spacing w:val="-135"/>
                <w:sz w:val="18"/>
                <w:szCs w:val="18"/>
              </w:rPr>
              <w:t>。</w:t>
            </w:r>
            <w:r>
              <w:rPr>
                <w:rFonts w:ascii="宋体" w:hAnsi="宋体" w:cs="宋体" w:eastAsia="宋体" w:hint="default"/>
                <w:sz w:val="18"/>
                <w:szCs w:val="18"/>
              </w:rPr>
              <w:t>（三</w:t>
            </w:r>
            <w:r>
              <w:rPr>
                <w:rFonts w:ascii="宋体" w:hAnsi="宋体" w:cs="宋体" w:eastAsia="宋体" w:hint="default"/>
                <w:spacing w:val="-45"/>
                <w:sz w:val="18"/>
                <w:szCs w:val="18"/>
              </w:rPr>
              <w:t>）</w:t>
            </w: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的利润分配应重视对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投资者的合理投资回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报；在有条件的情况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下，公司可以进行中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期分配</w:t>
            </w:r>
            <w:r>
              <w:rPr>
                <w:rFonts w:ascii="宋体" w:hAnsi="宋体" w:cs="宋体" w:eastAsia="宋体" w:hint="default"/>
                <w:spacing w:val="-135"/>
                <w:sz w:val="18"/>
                <w:szCs w:val="18"/>
              </w:rPr>
              <w:t>。</w:t>
            </w:r>
            <w:r>
              <w:rPr>
                <w:rFonts w:ascii="宋体" w:hAnsi="宋体" w:cs="宋体" w:eastAsia="宋体" w:hint="default"/>
                <w:sz w:val="18"/>
                <w:szCs w:val="18"/>
              </w:rPr>
              <w:t>（四</w:t>
            </w:r>
            <w:r>
              <w:rPr>
                <w:rFonts w:ascii="宋体" w:hAnsi="宋体" w:cs="宋体" w:eastAsia="宋体" w:hint="default"/>
                <w:spacing w:val="-45"/>
                <w:sz w:val="18"/>
                <w:szCs w:val="18"/>
              </w:rPr>
              <w:t>）</w:t>
            </w:r>
            <w:r>
              <w:rPr>
                <w:rFonts w:ascii="宋体" w:hAnsi="宋体" w:cs="宋体" w:eastAsia="宋体" w:hint="default"/>
                <w:sz w:val="18"/>
                <w:szCs w:val="18"/>
              </w:rPr>
              <w:t>存在股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东违规占用公司资金</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情况的，公司应当扣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减该股东所分配的现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金红利，以偿还其占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用的资金</w:t>
            </w:r>
            <w:r>
              <w:rPr>
                <w:rFonts w:ascii="宋体" w:hAnsi="宋体" w:cs="宋体" w:eastAsia="宋体" w:hint="default"/>
                <w:spacing w:val="-135"/>
                <w:sz w:val="18"/>
                <w:szCs w:val="18"/>
              </w:rPr>
              <w:t>。</w:t>
            </w:r>
            <w:r>
              <w:rPr>
                <w:rFonts w:ascii="宋体" w:hAnsi="宋体" w:cs="宋体" w:eastAsia="宋体" w:hint="default"/>
                <w:sz w:val="18"/>
                <w:szCs w:val="18"/>
              </w:rPr>
              <w:t>（五</w:t>
            </w:r>
            <w:r>
              <w:rPr>
                <w:rFonts w:ascii="宋体" w:hAnsi="宋体" w:cs="宋体" w:eastAsia="宋体" w:hint="default"/>
                <w:spacing w:val="-4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根据生产经营情况、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投资规划和长期发展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的需要，确需调整利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润分配政策的，调整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后的利润分配政策不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得违反中国证监会和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定。在对有关调整利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润分配政策的议案进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行表决时，由全体独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立董事同意及监事会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审议并经公司董事会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审议后方可提交公司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控股股东应回避表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决，公司可以采取提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供网络投票等方式以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方便股东参与股东大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会表决</w:t>
            </w:r>
            <w:r>
              <w:rPr>
                <w:rFonts w:ascii="宋体" w:hAnsi="宋体" w:cs="宋体" w:eastAsia="宋体" w:hint="default"/>
                <w:spacing w:val="-135"/>
                <w:sz w:val="18"/>
                <w:szCs w:val="18"/>
              </w:rPr>
              <w:t>。</w:t>
            </w:r>
            <w:r>
              <w:rPr>
                <w:rFonts w:ascii="宋体" w:hAnsi="宋体" w:cs="宋体" w:eastAsia="宋体" w:hint="default"/>
                <w:sz w:val="18"/>
                <w:szCs w:val="18"/>
              </w:rPr>
              <w:t>（六</w:t>
            </w:r>
            <w:r>
              <w:rPr>
                <w:rFonts w:ascii="宋体" w:hAnsi="宋体" w:cs="宋体" w:eastAsia="宋体" w:hint="default"/>
                <w:spacing w:val="-45"/>
                <w:sz w:val="18"/>
                <w:szCs w:val="18"/>
              </w:rPr>
              <w:t>）</w:t>
            </w:r>
            <w:r>
              <w:rPr>
                <w:rFonts w:ascii="宋体" w:hAnsi="宋体" w:cs="宋体" w:eastAsia="宋体" w:hint="default"/>
                <w:sz w:val="18"/>
                <w:szCs w:val="18"/>
              </w:rPr>
              <w:t>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以每三年为一个周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期，制订周期内股东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分红回报规划。</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议，审议通过了《关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信阳榕基软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件园项目投资合同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，并承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诺：在本次使用自有 资金投资后十二个月 内不使用闲置募集资 金暂时补充流动资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金、将募集资金投向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变更为永久性补充流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动资金、将超募资金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永久性用于补充流动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资金或者归还银行贷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34.119995pt;margin-top:440.279999pt;width:49.15pt;height:289.350pt;mso-position-horizontal-relative:page;mso-position-vertical-relative:page;z-index:-1142896" coordorigin="4682,8806" coordsize="983,5787">
            <v:group style="position:absolute;left:4682;top:8806;width:983;height:1953" coordorigin="4682,8806" coordsize="983,1953">
              <v:shape style="position:absolute;left:4682;top:8806;width:983;height:1953" coordorigin="4682,8806" coordsize="983,1953" path="m4682,10758l5665,10758,5665,8806,4682,8806,4682,10758xe" filled="true" fillcolor="#ffffff" stroked="false">
                <v:path arrowok="t"/>
                <v:fill type="solid"/>
              </v:shape>
            </v:group>
            <v:group style="position:absolute;left:4706;top:9586;width:936;height:393" coordorigin="4706,9586" coordsize="936,393">
              <v:shape style="position:absolute;left:4706;top:9586;width:936;height:393" coordorigin="4706,9586" coordsize="936,393" path="m4706,9978l5642,9978,5642,9586,4706,9586,4706,9978xe" filled="true" fillcolor="#ffffff" stroked="false">
                <v:path arrowok="t"/>
                <v:fill type="solid"/>
              </v:shape>
            </v:group>
            <v:group style="position:absolute;left:4682;top:10768;width:983;height:3825" coordorigin="4682,10768" coordsize="983,3825">
              <v:shape style="position:absolute;left:4682;top:10768;width:983;height:3825" coordorigin="4682,10768" coordsize="983,3825" path="m4682,14592l5665,14592,5665,10768,4682,10768,4682,14592xe" filled="true" fillcolor="#ffffff" stroked="false">
                <v:path arrowok="t"/>
                <v:fill type="solid"/>
              </v:shape>
            </v:group>
            <v:group style="position:absolute;left:4706;top:12328;width:936;height:353" coordorigin="4706,12328" coordsize="936,353">
              <v:shape style="position:absolute;left:4706;top:12328;width:936;height:353" coordorigin="4706,12328" coordsize="936,353" path="m4706,12680l5642,12680,5642,12328,4706,12328,4706,12680xe" filled="true" fillcolor="#ffffff" stroked="false">
                <v:path arrowok="t"/>
                <v:fill type="solid"/>
              </v:shape>
            </v:group>
            <v:group style="position:absolute;left:4706;top:12680;width:936;height:352" coordorigin="4706,12680" coordsize="936,352">
              <v:shape style="position:absolute;left:4706;top:12680;width:936;height:352" coordorigin="4706,12680" coordsize="936,352" path="m4706,13032l5642,13032,5642,12680,4706,12680,4706,1303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358"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公司全资子公司信阳</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榕基信息技术有限公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司出资在河南省信阳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市设立一家全资子公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司，注册资本人民币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全部以自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有资金出资，占注册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资本的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。公司 承诺：在此项投资后 的十二个月内，公司 不使用闲置募集资金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不将募集资金投向变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更为永久性补充流动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资金、也不将超募资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金永久性用于补充流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动资金或归还银行贷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公司实际控制人鲁峰</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先生承诺，连续六个 月内通过证券交易系 统出售的股份低于公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六个月内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6"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公司部</w:t>
            </w: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在法定期限内不减持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2"/>
              <w:jc w:val="both"/>
              <w:rPr>
                <w:rFonts w:ascii="宋体" w:hAnsi="宋体" w:cs="宋体" w:eastAsia="宋体" w:hint="default"/>
                <w:sz w:val="18"/>
                <w:szCs w:val="18"/>
              </w:rPr>
            </w:pPr>
            <w:r>
              <w:rPr>
                <w:rFonts w:ascii="宋体" w:hAnsi="宋体" w:cs="宋体" w:eastAsia="宋体" w:hint="default"/>
                <w:sz w:val="18"/>
                <w:szCs w:val="18"/>
              </w:rPr>
              <w:t>分董事 高级管 理人员 和核心</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其所持有的本公司股 份；严格遵守有关规 定，不进行内幕交易 及敏感期买卖股份、</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56"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骨干</w:t>
            </w: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短线交易。</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公司部分董事、高级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管理人员和核心骨干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基于对目前资本市场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公司部</w:t>
            </w: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形势的认识及对公司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分董事</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未来持续稳定发展的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2"/>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56"/>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信心，计划以自筹资 金在公司股票复牌后</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5"/>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和核心</w:t>
            </w: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r>
              <w:rPr>
                <w:rFonts w:ascii="宋体" w:hAnsi="宋体" w:cs="宋体" w:eastAsia="宋体" w:hint="default"/>
                <w:spacing w:val="1"/>
                <w:sz w:val="18"/>
                <w:szCs w:val="18"/>
              </w:rPr>
              <w:t>日</w:t>
            </w:r>
            <w:r>
              <w:rPr>
                <w:rFonts w:ascii="宋体" w:hAnsi="宋体" w:cs="宋体" w:eastAsia="宋体" w:hint="default"/>
                <w:sz w:val="18"/>
                <w:szCs w:val="18"/>
              </w:rPr>
              <w:t>内</w:t>
            </w:r>
            <w:r>
              <w:rPr>
                <w:rFonts w:ascii="宋体" w:hAnsi="宋体" w:cs="宋体" w:eastAsia="宋体" w:hint="default"/>
                <w:spacing w:val="-89"/>
                <w:sz w:val="18"/>
                <w:szCs w:val="18"/>
              </w:rPr>
              <w:t>，</w:t>
            </w:r>
            <w:r>
              <w:rPr>
                <w:rFonts w:ascii="宋体" w:hAnsi="宋体" w:cs="宋体" w:eastAsia="宋体" w:hint="default"/>
                <w:sz w:val="18"/>
                <w:szCs w:val="18"/>
              </w:rPr>
              <w:t>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骨干</w:t>
            </w: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据中国证监会和深圳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证券交易所的有关规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定，增持不低于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836"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万股的公司股份。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82"/>
              <w:jc w:val="left"/>
              <w:rPr>
                <w:rFonts w:ascii="Times New Roman" w:hAnsi="Times New Roman" w:cs="Times New Roman" w:eastAsia="Times New Roman" w:hint="default"/>
                <w:sz w:val="18"/>
                <w:szCs w:val="18"/>
              </w:rPr>
            </w:pPr>
            <w:r>
              <w:rPr>
                <w:rFonts w:ascii="宋体" w:hAnsi="宋体" w:cs="宋体" w:eastAsia="宋体" w:hint="default"/>
                <w:sz w:val="18"/>
                <w:szCs w:val="18"/>
              </w:rPr>
              <w:t>镇千金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李惠钦</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其他承诺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公司股票于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992"/>
        <w:gridCol w:w="1678"/>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魏建光</w:t>
            </w:r>
            <w:r>
              <w:rPr>
                <w:rFonts w:ascii="Times New Roman" w:hAnsi="Times New Roman" w:cs="Times New Roman" w:eastAsia="Times New Roman" w:hint="default"/>
                <w:sz w:val="18"/>
                <w:szCs w:val="18"/>
              </w:rPr>
              <w:t>;</w:t>
            </w:r>
          </w:p>
        </w:tc>
        <w:tc>
          <w:tcPr>
            <w:tcW w:w="992" w:type="dxa"/>
            <w:vMerge w:val="restart"/>
            <w:tcBorders>
              <w:top w:val="single" w:sz="4" w:space="0" w:color="000000"/>
              <w:left w:val="single" w:sz="4" w:space="0" w:color="000000"/>
              <w:right w:val="single" w:sz="4" w:space="0" w:color="000000"/>
            </w:tcBorders>
          </w:tcPr>
          <w:p>
            <w:pPr/>
          </w:p>
        </w:tc>
        <w:tc>
          <w:tcPr>
            <w:tcW w:w="16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日，公司高</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续履行中</w:t>
            </w:r>
          </w:p>
        </w:tc>
      </w:tr>
      <w:tr>
        <w:trPr>
          <w:trHeight w:val="306"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级管理人员李惠钦、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镇千金、公司监事魏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建光已通过深圳证券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交易所证券交易系统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从二级市场合计增持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股份，占公司总股本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0.24%</w:t>
            </w:r>
            <w:r>
              <w:rPr>
                <w:rFonts w:ascii="宋体" w:hAnsi="宋体" w:cs="宋体" w:eastAsia="宋体" w:hint="default"/>
                <w:sz w:val="18"/>
                <w:szCs w:val="18"/>
              </w:rPr>
              <w:t>，完成</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日披露</w:t>
            </w:r>
            <w:r>
              <w:rPr>
                <w:rFonts w:ascii="宋体" w:hAnsi="宋体" w:cs="宋体" w:eastAsia="宋体" w:hint="default"/>
                <w:spacing w:val="-90"/>
                <w:sz w:val="18"/>
                <w:szCs w:val="18"/>
              </w:rPr>
              <w:t>的</w:t>
            </w:r>
            <w:r>
              <w:rPr>
                <w:rFonts w:ascii="宋体" w:hAnsi="宋体" w:cs="宋体" w:eastAsia="宋体" w:hint="default"/>
                <w:sz w:val="18"/>
                <w:szCs w:val="18"/>
              </w:rPr>
              <w:t>《关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于公司部分董事、高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级管理人员和核心骨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干计划增持公司股份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的公告》中承诺增持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公司股份不低于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万股的增持计划。增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16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持人承诺：</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6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不减持本公司股票。</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704"/>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394"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84" w:right="7520" w:hanging="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通过设立方式取得的子公司</w:t>
      </w: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44"/>
        <w:gridCol w:w="992"/>
        <w:gridCol w:w="850"/>
        <w:gridCol w:w="2694"/>
        <w:gridCol w:w="850"/>
        <w:gridCol w:w="1526"/>
        <w:gridCol w:w="1026"/>
      </w:tblGrid>
      <w:tr>
        <w:trPr>
          <w:trHeight w:val="703" w:hRule="exact"/>
        </w:trPr>
        <w:tc>
          <w:tcPr>
            <w:tcW w:w="18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40"/>
              <w:ind w:left="306" w:right="21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5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注册资本</w:t>
            </w:r>
          </w:p>
        </w:tc>
      </w:tr>
      <w:tr>
        <w:trPr>
          <w:trHeight w:val="977" w:hRule="exact"/>
        </w:trPr>
        <w:tc>
          <w:tcPr>
            <w:tcW w:w="184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 w:right="-2"/>
              <w:jc w:val="left"/>
              <w:rPr>
                <w:rFonts w:ascii="宋体" w:hAnsi="宋体" w:cs="宋体" w:eastAsia="宋体" w:hint="default"/>
                <w:sz w:val="18"/>
                <w:szCs w:val="18"/>
              </w:rPr>
            </w:pPr>
            <w:r>
              <w:rPr>
                <w:rFonts w:ascii="宋体" w:hAnsi="宋体" w:cs="宋体" w:eastAsia="宋体" w:hint="default"/>
                <w:spacing w:val="2"/>
                <w:sz w:val="18"/>
                <w:szCs w:val="18"/>
              </w:rPr>
              <w:t>福建榕易付网络科技有 </w:t>
            </w:r>
            <w:r>
              <w:rPr>
                <w:rFonts w:ascii="宋体" w:hAnsi="宋体" w:cs="宋体" w:eastAsia="宋体" w:hint="default"/>
                <w:sz w:val="18"/>
                <w:szCs w:val="18"/>
              </w:rPr>
              <w:t>限公司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 w:right="-39"/>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1"/>
              <w:ind w:left="-1" w:right="-11"/>
              <w:jc w:val="both"/>
              <w:rPr>
                <w:rFonts w:ascii="宋体" w:hAnsi="宋体" w:cs="宋体" w:eastAsia="宋体" w:hint="default"/>
                <w:sz w:val="18"/>
                <w:szCs w:val="18"/>
              </w:rPr>
            </w:pPr>
            <w:r>
              <w:rPr>
                <w:rFonts w:ascii="宋体" w:hAnsi="宋体" w:cs="宋体" w:eastAsia="宋体" w:hint="default"/>
                <w:spacing w:val="11"/>
                <w:sz w:val="18"/>
                <w:szCs w:val="18"/>
              </w:rPr>
              <w:t>福州高新区海西高新技术产业园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创业大厦</w:t>
            </w:r>
            <w:r>
              <w:rPr>
                <w:rFonts w:ascii="Times New Roman" w:hAnsi="Times New Roman" w:cs="Times New Roman" w:eastAsia="Times New Roman" w:hint="default"/>
                <w:sz w:val="18"/>
                <w:szCs w:val="18"/>
              </w:rPr>
              <w:t>B</w:t>
            </w:r>
            <w:r>
              <w:rPr>
                <w:rFonts w:ascii="宋体" w:hAnsi="宋体" w:cs="宋体" w:eastAsia="宋体" w:hint="default"/>
                <w:sz w:val="18"/>
                <w:szCs w:val="18"/>
              </w:rPr>
              <w:t>区</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308</w:t>
            </w:r>
            <w:r>
              <w:rPr>
                <w:rFonts w:ascii="宋体" w:hAnsi="宋体" w:cs="宋体" w:eastAsia="宋体" w:hint="default"/>
                <w:sz w:val="18"/>
                <w:szCs w:val="18"/>
              </w:rPr>
              <w:t>室（位于：闽</w:t>
            </w:r>
            <w:r>
              <w:rPr>
                <w:rFonts w:ascii="宋体" w:hAnsi="宋体" w:cs="宋体" w:eastAsia="宋体" w:hint="default"/>
                <w:spacing w:val="-61"/>
                <w:sz w:val="18"/>
                <w:szCs w:val="18"/>
              </w:rPr>
              <w:t> </w:t>
            </w:r>
            <w:r>
              <w:rPr>
                <w:rFonts w:ascii="宋体" w:hAnsi="宋体" w:cs="宋体" w:eastAsia="宋体" w:hint="default"/>
                <w:sz w:val="18"/>
                <w:szCs w:val="18"/>
              </w:rPr>
              <w:t>侯县科技东路</w:t>
            </w:r>
            <w:r>
              <w:rPr>
                <w:rFonts w:ascii="Times New Roman" w:hAnsi="Times New Roman" w:cs="Times New Roman" w:eastAsia="Times New Roman" w:hint="default"/>
                <w:sz w:val="18"/>
                <w:szCs w:val="18"/>
              </w:rPr>
              <w:t>8</w:t>
            </w:r>
            <w:r>
              <w:rPr>
                <w:rFonts w:ascii="宋体" w:hAnsi="宋体" w:cs="宋体" w:eastAsia="宋体" w:hint="default"/>
                <w:sz w:val="18"/>
                <w:szCs w:val="18"/>
              </w:rPr>
              <w:t>号）</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 w:right="-10"/>
              <w:jc w:val="left"/>
              <w:rPr>
                <w:rFonts w:ascii="宋体" w:hAnsi="宋体" w:cs="宋体" w:eastAsia="宋体" w:hint="default"/>
                <w:sz w:val="18"/>
                <w:szCs w:val="18"/>
              </w:rPr>
            </w:pPr>
            <w:r>
              <w:rPr>
                <w:rFonts w:ascii="宋体" w:hAnsi="宋体" w:cs="宋体" w:eastAsia="宋体" w:hint="default"/>
                <w:spacing w:val="8"/>
                <w:sz w:val="18"/>
                <w:szCs w:val="18"/>
              </w:rPr>
              <w:t>技术服务，软件开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发，硬件销售</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10,500</w:t>
            </w:r>
            <w:r>
              <w:rPr>
                <w:rFonts w:ascii="宋体" w:hAnsi="宋体" w:cs="宋体" w:eastAsia="宋体" w:hint="default"/>
                <w:sz w:val="18"/>
                <w:szCs w:val="18"/>
              </w:rPr>
              <w:t>万元</w:t>
            </w:r>
          </w:p>
        </w:tc>
      </w:tr>
      <w:tr>
        <w:trPr>
          <w:trHeight w:val="664" w:hRule="exact"/>
        </w:trPr>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2"/>
              <w:jc w:val="left"/>
              <w:rPr>
                <w:rFonts w:ascii="宋体" w:hAnsi="宋体" w:cs="宋体" w:eastAsia="宋体" w:hint="default"/>
                <w:sz w:val="18"/>
                <w:szCs w:val="18"/>
              </w:rPr>
            </w:pPr>
            <w:r>
              <w:rPr>
                <w:rFonts w:ascii="宋体" w:hAnsi="宋体" w:cs="宋体" w:eastAsia="宋体" w:hint="default"/>
                <w:spacing w:val="2"/>
                <w:sz w:val="18"/>
                <w:szCs w:val="18"/>
              </w:rPr>
              <w:t>浙江检榕网络科技有限 </w:t>
            </w:r>
            <w:r>
              <w:rPr>
                <w:rFonts w:ascii="宋体" w:hAnsi="宋体" w:cs="宋体" w:eastAsia="宋体" w:hint="default"/>
                <w:sz w:val="18"/>
                <w:szCs w:val="18"/>
              </w:rPr>
              <w:t>公司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39"/>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1"/>
              <w:jc w:val="left"/>
              <w:rPr>
                <w:rFonts w:ascii="宋体" w:hAnsi="宋体" w:cs="宋体" w:eastAsia="宋体" w:hint="default"/>
                <w:sz w:val="18"/>
                <w:szCs w:val="18"/>
              </w:rPr>
            </w:pPr>
            <w:r>
              <w:rPr>
                <w:rFonts w:ascii="宋体" w:hAnsi="宋体" w:cs="宋体" w:eastAsia="宋体" w:hint="default"/>
                <w:spacing w:val="3"/>
                <w:sz w:val="18"/>
                <w:szCs w:val="18"/>
              </w:rPr>
              <w:t>杭州市西湖区文三路</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幢三层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北</w:t>
            </w:r>
            <w:r>
              <w:rPr>
                <w:rFonts w:ascii="Times New Roman" w:hAnsi="Times New Roman" w:cs="Times New Roman" w:eastAsia="Times New Roman" w:hint="default"/>
                <w:sz w:val="18"/>
                <w:szCs w:val="18"/>
              </w:rPr>
              <w:t>307</w:t>
            </w:r>
            <w:r>
              <w:rPr>
                <w:rFonts w:ascii="宋体" w:hAnsi="宋体" w:cs="宋体" w:eastAsia="宋体" w:hint="default"/>
                <w:sz w:val="18"/>
                <w:szCs w:val="18"/>
              </w:rPr>
              <w:t>、</w:t>
            </w:r>
            <w:r>
              <w:rPr>
                <w:rFonts w:ascii="Times New Roman" w:hAnsi="Times New Roman" w:cs="Times New Roman" w:eastAsia="Times New Roman" w:hint="default"/>
                <w:sz w:val="18"/>
                <w:szCs w:val="18"/>
              </w:rPr>
              <w:t>309</w:t>
            </w:r>
            <w:r>
              <w:rPr>
                <w:rFonts w:ascii="宋体" w:hAnsi="宋体" w:cs="宋体" w:eastAsia="宋体" w:hint="default"/>
                <w:sz w:val="18"/>
                <w:szCs w:val="18"/>
              </w:rPr>
              <w:t>房间</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0"/>
              <w:jc w:val="left"/>
              <w:rPr>
                <w:rFonts w:ascii="宋体" w:hAnsi="宋体" w:cs="宋体" w:eastAsia="宋体" w:hint="default"/>
                <w:sz w:val="18"/>
                <w:szCs w:val="18"/>
              </w:rPr>
            </w:pPr>
            <w:r>
              <w:rPr>
                <w:rFonts w:ascii="宋体" w:hAnsi="宋体" w:cs="宋体" w:eastAsia="宋体" w:hint="default"/>
                <w:spacing w:val="8"/>
                <w:sz w:val="18"/>
                <w:szCs w:val="18"/>
              </w:rPr>
              <w:t>技术服务，软件开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发，硬件销售</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r>
      <w:tr>
        <w:trPr>
          <w:trHeight w:val="664" w:hRule="exact"/>
        </w:trPr>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2"/>
              <w:jc w:val="left"/>
              <w:rPr>
                <w:rFonts w:ascii="宋体" w:hAnsi="宋体" w:cs="宋体" w:eastAsia="宋体" w:hint="default"/>
                <w:sz w:val="18"/>
                <w:szCs w:val="18"/>
              </w:rPr>
            </w:pPr>
            <w:r>
              <w:rPr>
                <w:rFonts w:ascii="宋体" w:hAnsi="宋体" w:cs="宋体" w:eastAsia="宋体" w:hint="default"/>
                <w:spacing w:val="2"/>
                <w:sz w:val="18"/>
                <w:szCs w:val="18"/>
              </w:rPr>
              <w:t>榕基国计（北京）信息 </w:t>
            </w:r>
            <w:r>
              <w:rPr>
                <w:rFonts w:ascii="宋体" w:hAnsi="宋体" w:cs="宋体" w:eastAsia="宋体" w:hint="default"/>
                <w:sz w:val="18"/>
                <w:szCs w:val="18"/>
              </w:rPr>
              <w:t>技术有限公司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39"/>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5"/>
              <w:jc w:val="left"/>
              <w:rPr>
                <w:rFonts w:ascii="宋体" w:hAnsi="宋体" w:cs="宋体" w:eastAsia="宋体" w:hint="default"/>
                <w:sz w:val="18"/>
                <w:szCs w:val="18"/>
              </w:rPr>
            </w:pPr>
            <w:r>
              <w:rPr>
                <w:rFonts w:ascii="宋体" w:hAnsi="宋体" w:cs="宋体" w:eastAsia="宋体" w:hint="default"/>
                <w:spacing w:val="3"/>
                <w:sz w:val="18"/>
                <w:szCs w:val="18"/>
              </w:rPr>
              <w:t>北京市海淀区知春路甲</w:t>
            </w:r>
            <w:r>
              <w:rPr>
                <w:rFonts w:ascii="Times New Roman" w:hAnsi="Times New Roman" w:cs="Times New Roman" w:eastAsia="Times New Roman" w:hint="default"/>
                <w:spacing w:val="3"/>
                <w:sz w:val="18"/>
                <w:szCs w:val="18"/>
              </w:rPr>
              <w:t>48</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号楼</w:t>
            </w:r>
            <w:r>
              <w:rPr>
                <w:rFonts w:ascii="宋体" w:hAnsi="宋体" w:cs="宋体" w:eastAsia="宋体" w:hint="default"/>
                <w:sz w:val="18"/>
                <w:szCs w:val="18"/>
              </w:rPr>
            </w:r>
          </w:p>
          <w:p>
            <w:pPr>
              <w:pStyle w:val="TableParagraph"/>
              <w:spacing w:line="240" w:lineRule="auto" w:before="63"/>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层</w:t>
            </w:r>
            <w:r>
              <w:rPr>
                <w:rFonts w:ascii="Times New Roman" w:hAnsi="Times New Roman" w:cs="Times New Roman" w:eastAsia="Times New Roman" w:hint="default"/>
                <w:sz w:val="18"/>
                <w:szCs w:val="18"/>
              </w:rPr>
              <w:t>19A</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王铭</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0"/>
              <w:jc w:val="left"/>
              <w:rPr>
                <w:rFonts w:ascii="宋体" w:hAnsi="宋体" w:cs="宋体" w:eastAsia="宋体" w:hint="default"/>
                <w:sz w:val="18"/>
                <w:szCs w:val="18"/>
              </w:rPr>
            </w:pPr>
            <w:r>
              <w:rPr>
                <w:rFonts w:ascii="宋体" w:hAnsi="宋体" w:cs="宋体" w:eastAsia="宋体" w:hint="default"/>
                <w:spacing w:val="8"/>
                <w:sz w:val="18"/>
                <w:szCs w:val="18"/>
              </w:rPr>
              <w:t>技术服务，软件开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发，硬件销售</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392</w:t>
            </w:r>
            <w:r>
              <w:rPr>
                <w:rFonts w:ascii="宋体" w:hAnsi="宋体" w:cs="宋体" w:eastAsia="宋体" w:hint="default"/>
                <w:sz w:val="18"/>
                <w:szCs w:val="18"/>
              </w:rPr>
              <w:t>万元</w:t>
            </w:r>
          </w:p>
        </w:tc>
      </w:tr>
      <w:tr>
        <w:trPr>
          <w:trHeight w:val="665" w:hRule="exact"/>
        </w:trPr>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2"/>
              <w:jc w:val="left"/>
              <w:rPr>
                <w:rFonts w:ascii="宋体" w:hAnsi="宋体" w:cs="宋体" w:eastAsia="宋体" w:hint="default"/>
                <w:sz w:val="18"/>
                <w:szCs w:val="18"/>
              </w:rPr>
            </w:pPr>
            <w:r>
              <w:rPr>
                <w:rFonts w:ascii="宋体" w:hAnsi="宋体" w:cs="宋体" w:eastAsia="宋体" w:hint="default"/>
                <w:spacing w:val="2"/>
                <w:sz w:val="18"/>
                <w:szCs w:val="18"/>
              </w:rPr>
              <w:t>福建星榕基信息科技有 </w:t>
            </w:r>
            <w:r>
              <w:rPr>
                <w:rFonts w:ascii="宋体" w:hAnsi="宋体" w:cs="宋体" w:eastAsia="宋体" w:hint="default"/>
                <w:sz w:val="18"/>
                <w:szCs w:val="18"/>
              </w:rPr>
              <w:t>限责任公司</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39"/>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1"/>
              <w:jc w:val="left"/>
              <w:rPr>
                <w:rFonts w:ascii="宋体" w:hAnsi="宋体" w:cs="宋体" w:eastAsia="宋体" w:hint="default"/>
                <w:sz w:val="18"/>
                <w:szCs w:val="18"/>
              </w:rPr>
            </w:pPr>
            <w:r>
              <w:rPr>
                <w:rFonts w:ascii="宋体" w:hAnsi="宋体" w:cs="宋体" w:eastAsia="宋体" w:hint="default"/>
                <w:spacing w:val="11"/>
                <w:sz w:val="18"/>
                <w:szCs w:val="18"/>
              </w:rPr>
              <w:t>福建省福州市鼓楼区铜盘路软件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大道</w:t>
            </w:r>
            <w:r>
              <w:rPr>
                <w:rFonts w:ascii="Times New Roman" w:hAnsi="Times New Roman" w:cs="Times New Roman" w:eastAsia="Times New Roman" w:hint="default"/>
                <w:sz w:val="18"/>
                <w:szCs w:val="18"/>
              </w:rPr>
              <w:t>89</w:t>
            </w:r>
            <w:r>
              <w:rPr>
                <w:rFonts w:ascii="宋体" w:hAnsi="宋体" w:cs="宋体" w:eastAsia="宋体" w:hint="default"/>
                <w:sz w:val="18"/>
                <w:szCs w:val="18"/>
              </w:rPr>
              <w:t>号软件园</w:t>
            </w:r>
            <w:r>
              <w:rPr>
                <w:rFonts w:ascii="Times New Roman" w:hAnsi="Times New Roman" w:cs="Times New Roman" w:eastAsia="Times New Roman" w:hint="default"/>
                <w:sz w:val="18"/>
                <w:szCs w:val="18"/>
              </w:rPr>
              <w:t>A</w:t>
            </w:r>
            <w:r>
              <w:rPr>
                <w:rFonts w:ascii="宋体" w:hAnsi="宋体" w:cs="宋体" w:eastAsia="宋体" w:hint="default"/>
                <w:sz w:val="18"/>
                <w:szCs w:val="18"/>
              </w:rPr>
              <w:t>区</w:t>
            </w:r>
            <w:r>
              <w:rPr>
                <w:rFonts w:ascii="Times New Roman" w:hAnsi="Times New Roman" w:cs="Times New Roman" w:eastAsia="Times New Roman" w:hint="default"/>
                <w:sz w:val="18"/>
                <w:szCs w:val="18"/>
              </w:rPr>
              <w:t>15</w:t>
            </w:r>
            <w:r>
              <w:rPr>
                <w:rFonts w:ascii="宋体" w:hAnsi="宋体" w:cs="宋体" w:eastAsia="宋体" w:hint="default"/>
                <w:sz w:val="18"/>
                <w:szCs w:val="18"/>
              </w:rPr>
              <w:t>号楼三楼</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0"/>
              <w:jc w:val="left"/>
              <w:rPr>
                <w:rFonts w:ascii="宋体" w:hAnsi="宋体" w:cs="宋体" w:eastAsia="宋体" w:hint="default"/>
                <w:sz w:val="18"/>
                <w:szCs w:val="18"/>
              </w:rPr>
            </w:pPr>
            <w:r>
              <w:rPr>
                <w:rFonts w:ascii="宋体" w:hAnsi="宋体" w:cs="宋体" w:eastAsia="宋体" w:hint="default"/>
                <w:spacing w:val="8"/>
                <w:sz w:val="18"/>
                <w:szCs w:val="18"/>
              </w:rPr>
              <w:t>技术服务，软件开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发，硬件销售</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r>
    </w:tbl>
    <w:p>
      <w:pPr>
        <w:pStyle w:val="BodyText"/>
        <w:spacing w:line="240" w:lineRule="auto" w:before="51"/>
        <w:ind w:left="394" w:right="0"/>
        <w:jc w:val="left"/>
      </w:pPr>
      <w:r>
        <w:rPr/>
        <w:t>续</w:t>
      </w:r>
      <w:r>
        <w:rPr>
          <w:spacing w:val="-46"/>
        </w:rPr>
        <w:t> </w:t>
      </w:r>
      <w:r>
        <w:rPr>
          <w:rFonts w:ascii="Times New Roman" w:hAnsi="Times New Roman" w:cs="Times New Roman" w:eastAsia="Times New Roman" w:hint="default"/>
        </w:rPr>
        <w:t>1</w:t>
      </w:r>
      <w:r>
        <w:rPr/>
        <w:t>：</w:t>
      </w:r>
    </w:p>
    <w:p>
      <w:pPr>
        <w:spacing w:line="240" w:lineRule="auto" w:before="1"/>
        <w:rPr>
          <w:rFonts w:ascii="宋体" w:hAnsi="宋体" w:cs="宋体" w:eastAsia="宋体" w:hint="default"/>
          <w:sz w:val="7"/>
          <w:szCs w:val="7"/>
        </w:rPr>
      </w:pPr>
    </w:p>
    <w:tbl>
      <w:tblPr>
        <w:tblW w:w="0" w:type="auto"/>
        <w:jc w:val="left"/>
        <w:tblInd w:w="383" w:type="dxa"/>
        <w:tblLayout w:type="fixed"/>
        <w:tblCellMar>
          <w:top w:w="0" w:type="dxa"/>
          <w:left w:w="0" w:type="dxa"/>
          <w:bottom w:w="0" w:type="dxa"/>
          <w:right w:w="0" w:type="dxa"/>
        </w:tblCellMar>
        <w:tblLook w:val="01E0"/>
      </w:tblPr>
      <w:tblGrid>
        <w:gridCol w:w="1954"/>
        <w:gridCol w:w="1132"/>
        <w:gridCol w:w="4111"/>
        <w:gridCol w:w="709"/>
        <w:gridCol w:w="708"/>
        <w:gridCol w:w="1026"/>
      </w:tblGrid>
      <w:tr>
        <w:trPr>
          <w:trHeight w:val="663" w:hRule="exact"/>
        </w:trPr>
        <w:tc>
          <w:tcPr>
            <w:tcW w:w="19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375" w:right="14" w:hanging="360"/>
              <w:jc w:val="left"/>
              <w:rPr>
                <w:rFonts w:ascii="宋体" w:hAnsi="宋体" w:cs="宋体" w:eastAsia="宋体" w:hint="default"/>
                <w:sz w:val="18"/>
                <w:szCs w:val="18"/>
              </w:rPr>
            </w:pPr>
            <w:r>
              <w:rPr>
                <w:rFonts w:ascii="宋体" w:hAnsi="宋体" w:cs="宋体" w:eastAsia="宋体" w:hint="default"/>
                <w:sz w:val="18"/>
                <w:szCs w:val="18"/>
              </w:rPr>
              <w:t>统一社会信用 代码</w:t>
            </w:r>
          </w:p>
        </w:tc>
        <w:tc>
          <w:tcPr>
            <w:tcW w:w="411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7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64"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63" w:right="73"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12" w:right="5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65"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3"/>
              <w:jc w:val="left"/>
              <w:rPr>
                <w:rFonts w:ascii="宋体" w:hAnsi="宋体" w:cs="宋体" w:eastAsia="宋体" w:hint="default"/>
                <w:sz w:val="18"/>
                <w:szCs w:val="18"/>
              </w:rPr>
            </w:pPr>
            <w:r>
              <w:rPr>
                <w:rFonts w:ascii="宋体" w:hAnsi="宋体" w:cs="宋体" w:eastAsia="宋体" w:hint="default"/>
                <w:spacing w:val="14"/>
                <w:sz w:val="18"/>
                <w:szCs w:val="18"/>
              </w:rPr>
              <w:t>福建榕易付网络科技有 </w:t>
            </w:r>
            <w:r>
              <w:rPr>
                <w:rFonts w:ascii="宋体" w:hAnsi="宋体" w:cs="宋体" w:eastAsia="宋体" w:hint="default"/>
                <w:sz w:val="18"/>
                <w:szCs w:val="18"/>
              </w:rPr>
              <w:t>限公司</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91350100M00</w:t>
            </w:r>
          </w:p>
          <w:p>
            <w:pPr>
              <w:pStyle w:val="TableParagraph"/>
              <w:spacing w:line="240" w:lineRule="auto" w:before="105"/>
              <w:ind w:left="-1" w:right="0"/>
              <w:jc w:val="left"/>
              <w:rPr>
                <w:rFonts w:ascii="Times New Roman" w:hAnsi="Times New Roman" w:cs="Times New Roman" w:eastAsia="Times New Roman" w:hint="default"/>
                <w:sz w:val="18"/>
                <w:szCs w:val="18"/>
              </w:rPr>
            </w:pPr>
            <w:r>
              <w:rPr>
                <w:rFonts w:ascii="Times New Roman"/>
                <w:sz w:val="18"/>
              </w:rPr>
              <w:t>0052FX8</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
              <w:jc w:val="left"/>
              <w:rPr>
                <w:rFonts w:ascii="宋体" w:hAnsi="宋体" w:cs="宋体" w:eastAsia="宋体" w:hint="default"/>
                <w:sz w:val="18"/>
                <w:szCs w:val="18"/>
              </w:rPr>
            </w:pPr>
            <w:r>
              <w:rPr>
                <w:rFonts w:ascii="宋体" w:hAnsi="宋体" w:cs="宋体" w:eastAsia="宋体" w:hint="default"/>
                <w:spacing w:val="-3"/>
                <w:sz w:val="18"/>
                <w:szCs w:val="18"/>
              </w:rPr>
              <w:t>互联网信息服务；计算机软硬件研发和技术服务；信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息系统集成服务；信息技术咨询服务</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6"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right="-13"/>
              <w:jc w:val="left"/>
              <w:rPr>
                <w:rFonts w:ascii="宋体" w:hAnsi="宋体" w:cs="宋体" w:eastAsia="宋体" w:hint="default"/>
                <w:sz w:val="18"/>
                <w:szCs w:val="18"/>
              </w:rPr>
            </w:pPr>
            <w:r>
              <w:rPr>
                <w:rFonts w:ascii="宋体" w:hAnsi="宋体" w:cs="宋体" w:eastAsia="宋体" w:hint="default"/>
                <w:spacing w:val="14"/>
                <w:sz w:val="18"/>
                <w:szCs w:val="18"/>
              </w:rPr>
              <w:t>浙江检榕网络科技有限 </w:t>
            </w:r>
            <w:r>
              <w:rPr>
                <w:rFonts w:ascii="宋体" w:hAnsi="宋体" w:cs="宋体" w:eastAsia="宋体" w:hint="default"/>
                <w:sz w:val="18"/>
                <w:szCs w:val="18"/>
              </w:rPr>
              <w:t>公司</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330108000224</w:t>
            </w:r>
          </w:p>
          <w:p>
            <w:pPr>
              <w:pStyle w:val="TableParagraph"/>
              <w:spacing w:line="240" w:lineRule="auto" w:before="105"/>
              <w:ind w:left="-1" w:right="0"/>
              <w:jc w:val="left"/>
              <w:rPr>
                <w:rFonts w:ascii="Times New Roman" w:hAnsi="Times New Roman" w:cs="Times New Roman" w:eastAsia="Times New Roman" w:hint="default"/>
                <w:sz w:val="18"/>
                <w:szCs w:val="18"/>
              </w:rPr>
            </w:pPr>
            <w:r>
              <w:rPr>
                <w:rFonts w:ascii="Times New Roman"/>
                <w:sz w:val="18"/>
              </w:rPr>
              <w:t>539</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0"/>
              <w:jc w:val="both"/>
              <w:rPr>
                <w:rFonts w:ascii="宋体" w:hAnsi="宋体" w:cs="宋体" w:eastAsia="宋体" w:hint="default"/>
                <w:sz w:val="18"/>
                <w:szCs w:val="18"/>
              </w:rPr>
            </w:pPr>
            <w:r>
              <w:rPr>
                <w:rFonts w:ascii="宋体" w:hAnsi="宋体" w:cs="宋体" w:eastAsia="宋体" w:hint="default"/>
                <w:spacing w:val="-3"/>
                <w:sz w:val="18"/>
                <w:szCs w:val="18"/>
              </w:rPr>
              <w:t>技术开发、技术服务、技术咨询、成果转让；计算机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网络技术、计算机信息技术、计算机软硬件、电子商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务技术、互联网技术</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51%</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2" w:hRule="exact"/>
        </w:trPr>
        <w:tc>
          <w:tcPr>
            <w:tcW w:w="1954" w:type="dxa"/>
            <w:tcBorders>
              <w:top w:val="single" w:sz="8" w:space="0" w:color="000000"/>
              <w:left w:val="single" w:sz="8" w:space="0" w:color="000000"/>
              <w:bottom w:val="nil" w:sz="6" w:space="0" w:color="auto"/>
              <w:right w:val="single" w:sz="8" w:space="0" w:color="000000"/>
            </w:tcBorders>
          </w:tcPr>
          <w:p>
            <w:pPr/>
          </w:p>
        </w:tc>
        <w:tc>
          <w:tcPr>
            <w:tcW w:w="1132" w:type="dxa"/>
            <w:tcBorders>
              <w:top w:val="single" w:sz="8" w:space="0" w:color="000000"/>
              <w:left w:val="single" w:sz="8" w:space="0" w:color="000000"/>
              <w:bottom w:val="nil" w:sz="6" w:space="0" w:color="auto"/>
              <w:right w:val="single" w:sz="8" w:space="0" w:color="000000"/>
            </w:tcBorders>
          </w:tcPr>
          <w:p>
            <w:pPr/>
          </w:p>
        </w:tc>
        <w:tc>
          <w:tcPr>
            <w:tcW w:w="411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pacing w:val="-3"/>
                <w:sz w:val="18"/>
                <w:szCs w:val="18"/>
              </w:rPr>
              <w:t>技术开发、技术咨询、技术服务、技术推广；计算机</w:t>
            </w:r>
          </w:p>
        </w:tc>
        <w:tc>
          <w:tcPr>
            <w:tcW w:w="709" w:type="dxa"/>
            <w:tcBorders>
              <w:top w:val="single" w:sz="8" w:space="0" w:color="000000"/>
              <w:left w:val="single" w:sz="8" w:space="0" w:color="000000"/>
              <w:bottom w:val="nil" w:sz="6" w:space="0" w:color="auto"/>
              <w:right w:val="single" w:sz="8" w:space="0" w:color="000000"/>
            </w:tcBorders>
          </w:tcPr>
          <w:p>
            <w:pPr/>
          </w:p>
        </w:tc>
        <w:tc>
          <w:tcPr>
            <w:tcW w:w="708"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r>
      <w:tr>
        <w:trPr>
          <w:trHeight w:val="936" w:hRule="exact"/>
        </w:trPr>
        <w:tc>
          <w:tcPr>
            <w:tcW w:w="1954"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pacing w:val="-5"/>
                <w:sz w:val="18"/>
                <w:szCs w:val="18"/>
              </w:rPr>
              <w:t>榕基国计（北京）信息技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术有限公司</w:t>
            </w:r>
          </w:p>
        </w:tc>
        <w:tc>
          <w:tcPr>
            <w:tcW w:w="1132"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110108019608</w:t>
            </w:r>
          </w:p>
          <w:p>
            <w:pPr>
              <w:pStyle w:val="TableParagraph"/>
              <w:spacing w:line="240" w:lineRule="auto" w:before="105"/>
              <w:ind w:left="-1" w:right="0"/>
              <w:jc w:val="left"/>
              <w:rPr>
                <w:rFonts w:ascii="Times New Roman" w:hAnsi="Times New Roman" w:cs="Times New Roman" w:eastAsia="Times New Roman" w:hint="default"/>
                <w:sz w:val="18"/>
                <w:szCs w:val="18"/>
              </w:rPr>
            </w:pPr>
            <w:r>
              <w:rPr>
                <w:rFonts w:ascii="Times New Roman"/>
                <w:sz w:val="18"/>
              </w:rPr>
              <w:t>678</w:t>
            </w:r>
          </w:p>
        </w:tc>
        <w:tc>
          <w:tcPr>
            <w:tcW w:w="4111" w:type="dxa"/>
            <w:tcBorders>
              <w:top w:val="nil" w:sz="6" w:space="0" w:color="auto"/>
              <w:left w:val="single" w:sz="8" w:space="0" w:color="000000"/>
              <w:bottom w:val="nil" w:sz="6" w:space="0" w:color="auto"/>
              <w:right w:val="single" w:sz="8" w:space="0" w:color="000000"/>
            </w:tcBorders>
          </w:tcPr>
          <w:p>
            <w:pPr>
              <w:pStyle w:val="TableParagraph"/>
              <w:spacing w:line="300" w:lineRule="auto" w:before="10"/>
              <w:ind w:left="-1" w:right="-1"/>
              <w:jc w:val="both"/>
              <w:rPr>
                <w:rFonts w:ascii="宋体" w:hAnsi="宋体" w:cs="宋体" w:eastAsia="宋体" w:hint="default"/>
                <w:sz w:val="18"/>
                <w:szCs w:val="18"/>
              </w:rPr>
            </w:pPr>
            <w:r>
              <w:rPr>
                <w:rFonts w:ascii="宋体" w:hAnsi="宋体" w:cs="宋体" w:eastAsia="宋体" w:hint="default"/>
                <w:spacing w:val="-9"/>
                <w:sz w:val="18"/>
                <w:szCs w:val="18"/>
              </w:rPr>
              <w:t>系统服务；数据处理（数据处理中的银行卡中心、</w:t>
            </w:r>
            <w:r>
              <w:rPr>
                <w:rFonts w:ascii="Times New Roman" w:hAnsi="Times New Roman" w:cs="Times New Roman" w:eastAsia="Times New Roman" w:hint="default"/>
                <w:spacing w:val="-9"/>
                <w:sz w:val="18"/>
                <w:szCs w:val="18"/>
              </w:rPr>
              <w:t>PUE</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值在</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以上的云计算数据中心除外）；基础软件服 </w:t>
            </w:r>
            <w:r>
              <w:rPr>
                <w:rFonts w:ascii="宋体" w:hAnsi="宋体" w:cs="宋体" w:eastAsia="宋体" w:hint="default"/>
                <w:spacing w:val="-3"/>
                <w:sz w:val="18"/>
                <w:szCs w:val="18"/>
              </w:rPr>
              <w:t>务；应用软件服务；软件开发；软件咨询；计算机维</w:t>
            </w:r>
          </w:p>
        </w:tc>
        <w:tc>
          <w:tcPr>
            <w:tcW w:w="709"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z w:val="18"/>
              </w:rPr>
              <w:t>99%</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1" w:hRule="exact"/>
        </w:trPr>
        <w:tc>
          <w:tcPr>
            <w:tcW w:w="1954" w:type="dxa"/>
            <w:tcBorders>
              <w:top w:val="nil" w:sz="6" w:space="0" w:color="auto"/>
              <w:left w:val="single" w:sz="8" w:space="0" w:color="000000"/>
              <w:bottom w:val="single" w:sz="8" w:space="0" w:color="000000"/>
              <w:right w:val="single" w:sz="8" w:space="0" w:color="000000"/>
            </w:tcBorders>
          </w:tcPr>
          <w:p>
            <w:pPr/>
          </w:p>
        </w:tc>
        <w:tc>
          <w:tcPr>
            <w:tcW w:w="1132" w:type="dxa"/>
            <w:tcBorders>
              <w:top w:val="nil" w:sz="6" w:space="0" w:color="auto"/>
              <w:left w:val="single" w:sz="8" w:space="0" w:color="000000"/>
              <w:bottom w:val="single" w:sz="8" w:space="0" w:color="000000"/>
              <w:right w:val="single" w:sz="8" w:space="0" w:color="000000"/>
            </w:tcBorders>
          </w:tcPr>
          <w:p>
            <w:pPr/>
          </w:p>
        </w:tc>
        <w:tc>
          <w:tcPr>
            <w:tcW w:w="41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修；销售计算机、软件及辅助设备、通讯设备</w:t>
            </w:r>
          </w:p>
        </w:tc>
        <w:tc>
          <w:tcPr>
            <w:tcW w:w="709" w:type="dxa"/>
            <w:tcBorders>
              <w:top w:val="nil" w:sz="6" w:space="0" w:color="auto"/>
              <w:left w:val="single" w:sz="8" w:space="0" w:color="000000"/>
              <w:bottom w:val="single" w:sz="8" w:space="0" w:color="000000"/>
              <w:right w:val="single" w:sz="8" w:space="0" w:color="000000"/>
            </w:tcBorders>
          </w:tcPr>
          <w:p>
            <w:pPr/>
          </w:p>
        </w:tc>
        <w:tc>
          <w:tcPr>
            <w:tcW w:w="708"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r>
      <w:tr>
        <w:trPr>
          <w:trHeight w:val="332" w:hRule="exact"/>
        </w:trPr>
        <w:tc>
          <w:tcPr>
            <w:tcW w:w="1954" w:type="dxa"/>
            <w:tcBorders>
              <w:top w:val="single" w:sz="8" w:space="0" w:color="000000"/>
              <w:left w:val="single" w:sz="8" w:space="0" w:color="000000"/>
              <w:bottom w:val="nil" w:sz="6" w:space="0" w:color="auto"/>
              <w:right w:val="single" w:sz="8" w:space="0" w:color="000000"/>
            </w:tcBorders>
          </w:tcPr>
          <w:p>
            <w:pPr/>
          </w:p>
        </w:tc>
        <w:tc>
          <w:tcPr>
            <w:tcW w:w="1132" w:type="dxa"/>
            <w:tcBorders>
              <w:top w:val="single" w:sz="8" w:space="0" w:color="000000"/>
              <w:left w:val="single" w:sz="8" w:space="0" w:color="000000"/>
              <w:bottom w:val="nil" w:sz="6" w:space="0" w:color="auto"/>
              <w:right w:val="single" w:sz="8" w:space="0" w:color="000000"/>
            </w:tcBorders>
          </w:tcPr>
          <w:p>
            <w:pPr/>
          </w:p>
        </w:tc>
        <w:tc>
          <w:tcPr>
            <w:tcW w:w="411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pacing w:val="8"/>
                <w:sz w:val="18"/>
                <w:szCs w:val="18"/>
              </w:rPr>
              <w:t>；</w:t>
            </w:r>
            <w:r>
              <w:rPr>
                <w:rFonts w:ascii="宋体" w:hAnsi="宋体" w:cs="宋体" w:eastAsia="宋体" w:hint="default"/>
                <w:spacing w:val="-2"/>
                <w:sz w:val="18"/>
                <w:szCs w:val="18"/>
              </w:rPr>
              <w:t>互</w:t>
            </w:r>
            <w:r>
              <w:rPr>
                <w:rFonts w:ascii="宋体" w:hAnsi="宋体" w:cs="宋体" w:eastAsia="宋体" w:hint="default"/>
                <w:sz w:val="18"/>
                <w:szCs w:val="18"/>
              </w:rPr>
              <w:t>联网信息服务</w:t>
            </w:r>
            <w:r>
              <w:rPr>
                <w:rFonts w:ascii="宋体" w:hAnsi="宋体" w:cs="宋体" w:eastAsia="宋体" w:hint="default"/>
                <w:spacing w:val="-65"/>
                <w:sz w:val="18"/>
                <w:szCs w:val="18"/>
              </w:rPr>
              <w:t>；</w:t>
            </w:r>
            <w:r>
              <w:rPr>
                <w:rFonts w:ascii="宋体" w:hAnsi="宋体" w:cs="宋体" w:eastAsia="宋体" w:hint="default"/>
                <w:sz w:val="18"/>
                <w:szCs w:val="18"/>
              </w:rPr>
              <w:t>信息系统集成服务</w:t>
            </w:r>
            <w:r>
              <w:rPr>
                <w:rFonts w:ascii="宋体" w:hAnsi="宋体" w:cs="宋体" w:eastAsia="宋体" w:hint="default"/>
                <w:spacing w:val="8"/>
                <w:sz w:val="18"/>
                <w:szCs w:val="18"/>
              </w:rPr>
              <w:t>；</w:t>
            </w:r>
            <w:r>
              <w:rPr>
                <w:rFonts w:ascii="宋体" w:hAnsi="宋体" w:cs="宋体" w:eastAsia="宋体" w:hint="default"/>
                <w:sz w:val="18"/>
                <w:szCs w:val="18"/>
              </w:rPr>
              <w:t>建</w:t>
            </w:r>
          </w:p>
        </w:tc>
        <w:tc>
          <w:tcPr>
            <w:tcW w:w="709" w:type="dxa"/>
            <w:tcBorders>
              <w:top w:val="single" w:sz="8" w:space="0" w:color="000000"/>
              <w:left w:val="single" w:sz="8" w:space="0" w:color="000000"/>
              <w:bottom w:val="nil" w:sz="6" w:space="0" w:color="auto"/>
              <w:right w:val="single" w:sz="8" w:space="0" w:color="000000"/>
            </w:tcBorders>
          </w:tcPr>
          <w:p>
            <w:pPr/>
          </w:p>
        </w:tc>
        <w:tc>
          <w:tcPr>
            <w:tcW w:w="708"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r>
      <w:tr>
        <w:trPr>
          <w:trHeight w:val="628" w:hRule="exact"/>
        </w:trPr>
        <w:tc>
          <w:tcPr>
            <w:tcW w:w="1954" w:type="dxa"/>
            <w:tcBorders>
              <w:top w:val="nil" w:sz="6" w:space="0" w:color="auto"/>
              <w:left w:val="single" w:sz="8" w:space="0" w:color="000000"/>
              <w:bottom w:val="nil" w:sz="6" w:space="0" w:color="auto"/>
              <w:right w:val="single" w:sz="8" w:space="0" w:color="000000"/>
            </w:tcBorders>
          </w:tcPr>
          <w:p>
            <w:pPr>
              <w:pStyle w:val="TableParagraph"/>
              <w:spacing w:line="316" w:lineRule="auto" w:before="10"/>
              <w:ind w:right="-13"/>
              <w:jc w:val="left"/>
              <w:rPr>
                <w:rFonts w:ascii="宋体" w:hAnsi="宋体" w:cs="宋体" w:eastAsia="宋体" w:hint="default"/>
                <w:sz w:val="18"/>
                <w:szCs w:val="18"/>
              </w:rPr>
            </w:pPr>
            <w:r>
              <w:rPr>
                <w:rFonts w:ascii="宋体" w:hAnsi="宋体" w:cs="宋体" w:eastAsia="宋体" w:hint="default"/>
                <w:spacing w:val="14"/>
                <w:sz w:val="18"/>
                <w:szCs w:val="18"/>
              </w:rPr>
              <w:t>福建星榕基信息科技有 </w:t>
            </w:r>
            <w:r>
              <w:rPr>
                <w:rFonts w:ascii="宋体" w:hAnsi="宋体" w:cs="宋体" w:eastAsia="宋体" w:hint="default"/>
                <w:sz w:val="18"/>
                <w:szCs w:val="18"/>
              </w:rPr>
              <w:t>限责任公司</w:t>
            </w:r>
          </w:p>
        </w:tc>
        <w:tc>
          <w:tcPr>
            <w:tcW w:w="1132" w:type="dxa"/>
            <w:tcBorders>
              <w:top w:val="nil" w:sz="6" w:space="0" w:color="auto"/>
              <w:left w:val="single" w:sz="8" w:space="0" w:color="000000"/>
              <w:bottom w:val="nil" w:sz="6" w:space="0" w:color="auto"/>
              <w:right w:val="single" w:sz="8" w:space="0" w:color="000000"/>
            </w:tcBorders>
          </w:tcPr>
          <w:p>
            <w:pPr>
              <w:pStyle w:val="TableParagraph"/>
              <w:spacing w:line="240" w:lineRule="auto" w:before="50"/>
              <w:ind w:left="-1" w:right="0"/>
              <w:jc w:val="left"/>
              <w:rPr>
                <w:rFonts w:ascii="Times New Roman" w:hAnsi="Times New Roman" w:cs="Times New Roman" w:eastAsia="Times New Roman" w:hint="default"/>
                <w:sz w:val="18"/>
                <w:szCs w:val="18"/>
              </w:rPr>
            </w:pPr>
            <w:r>
              <w:rPr>
                <w:rFonts w:ascii="Times New Roman"/>
                <w:sz w:val="18"/>
              </w:rPr>
              <w:t>91350000MA3</w:t>
            </w:r>
          </w:p>
          <w:p>
            <w:pPr>
              <w:pStyle w:val="TableParagraph"/>
              <w:spacing w:line="240" w:lineRule="auto" w:before="105"/>
              <w:ind w:left="-1" w:right="0"/>
              <w:jc w:val="left"/>
              <w:rPr>
                <w:rFonts w:ascii="Times New Roman" w:hAnsi="Times New Roman" w:cs="Times New Roman" w:eastAsia="Times New Roman" w:hint="default"/>
                <w:sz w:val="18"/>
                <w:szCs w:val="18"/>
              </w:rPr>
            </w:pPr>
            <w:r>
              <w:rPr>
                <w:rFonts w:ascii="Times New Roman"/>
                <w:sz w:val="18"/>
              </w:rPr>
              <w:t>44K440F</w:t>
            </w:r>
          </w:p>
        </w:tc>
        <w:tc>
          <w:tcPr>
            <w:tcW w:w="4111" w:type="dxa"/>
            <w:tcBorders>
              <w:top w:val="nil" w:sz="6" w:space="0" w:color="auto"/>
              <w:left w:val="single" w:sz="8" w:space="0" w:color="000000"/>
              <w:bottom w:val="nil" w:sz="6" w:space="0" w:color="auto"/>
              <w:right w:val="single" w:sz="8" w:space="0" w:color="000000"/>
            </w:tcBorders>
          </w:tcPr>
          <w:p>
            <w:pPr>
              <w:pStyle w:val="TableParagraph"/>
              <w:spacing w:line="316"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筑智能化工程的设计、施工；电子产品的研发、制造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销售；计算机、软件及辅助设备的批发、零售；国内</w:t>
            </w:r>
          </w:p>
        </w:tc>
        <w:tc>
          <w:tcPr>
            <w:tcW w:w="709" w:type="dxa"/>
            <w:tcBorders>
              <w:top w:val="nil" w:sz="6" w:space="0" w:color="auto"/>
              <w:left w:val="single" w:sz="8" w:space="0" w:color="000000"/>
              <w:bottom w:val="nil" w:sz="6" w:space="0" w:color="auto"/>
              <w:right w:val="single" w:sz="8" w:space="0" w:color="000000"/>
            </w:tcBorders>
          </w:tcPr>
          <w:p>
            <w:pPr>
              <w:pStyle w:val="TableParagraph"/>
              <w:spacing w:line="216" w:lineRule="exact" w:before="10"/>
              <w:ind w:left="-11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358" w:right="0"/>
              <w:jc w:val="left"/>
              <w:rPr>
                <w:rFonts w:ascii="Times New Roman" w:hAnsi="Times New Roman" w:cs="Times New Roman" w:eastAsia="Times New Roman" w:hint="default"/>
                <w:sz w:val="18"/>
                <w:szCs w:val="18"/>
              </w:rPr>
            </w:pPr>
            <w:r>
              <w:rPr>
                <w:rFonts w:ascii="Times New Roman"/>
                <w:sz w:val="18"/>
              </w:rPr>
              <w:t>71%</w:t>
            </w:r>
          </w:p>
        </w:tc>
        <w:tc>
          <w:tcPr>
            <w:tcW w:w="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71%</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1954" w:type="dxa"/>
            <w:tcBorders>
              <w:top w:val="nil" w:sz="6" w:space="0" w:color="auto"/>
              <w:left w:val="single" w:sz="8" w:space="0" w:color="000000"/>
              <w:bottom w:val="single" w:sz="8" w:space="0" w:color="000000"/>
              <w:right w:val="single" w:sz="8" w:space="0" w:color="000000"/>
            </w:tcBorders>
          </w:tcPr>
          <w:p>
            <w:pPr/>
          </w:p>
        </w:tc>
        <w:tc>
          <w:tcPr>
            <w:tcW w:w="1132" w:type="dxa"/>
            <w:tcBorders>
              <w:top w:val="nil" w:sz="6" w:space="0" w:color="auto"/>
              <w:left w:val="single" w:sz="8" w:space="0" w:color="000000"/>
              <w:bottom w:val="single" w:sz="8" w:space="0" w:color="000000"/>
              <w:right w:val="single" w:sz="8" w:space="0" w:color="000000"/>
            </w:tcBorders>
          </w:tcPr>
          <w:p>
            <w:pPr/>
          </w:p>
        </w:tc>
        <w:tc>
          <w:tcPr>
            <w:tcW w:w="41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贸易代理；信息技术咨询服务；对外贸易</w:t>
            </w:r>
          </w:p>
        </w:tc>
        <w:tc>
          <w:tcPr>
            <w:tcW w:w="709" w:type="dxa"/>
            <w:tcBorders>
              <w:top w:val="nil" w:sz="6" w:space="0" w:color="auto"/>
              <w:left w:val="single" w:sz="8" w:space="0" w:color="000000"/>
              <w:bottom w:val="single" w:sz="8" w:space="0" w:color="000000"/>
              <w:right w:val="single" w:sz="8" w:space="0" w:color="000000"/>
            </w:tcBorders>
          </w:tcPr>
          <w:p>
            <w:pPr/>
          </w:p>
        </w:tc>
        <w:tc>
          <w:tcPr>
            <w:tcW w:w="708"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r>
    </w:tbl>
    <w:p>
      <w:pPr>
        <w:pStyle w:val="BodyText"/>
        <w:spacing w:line="240" w:lineRule="auto" w:before="51"/>
        <w:ind w:left="394" w:right="0"/>
        <w:jc w:val="left"/>
      </w:pPr>
      <w:r>
        <w:rPr/>
        <w:t>续</w:t>
      </w:r>
      <w:r>
        <w:rPr>
          <w:spacing w:val="-46"/>
        </w:rPr>
        <w:t> </w:t>
      </w:r>
      <w:r>
        <w:rPr>
          <w:rFonts w:ascii="Times New Roman" w:hAnsi="Times New Roman" w:cs="Times New Roman" w:eastAsia="Times New Roman" w:hint="default"/>
        </w:rPr>
        <w:t>2</w:t>
      </w:r>
      <w:r>
        <w:rPr/>
        <w:t>：</w:t>
      </w:r>
    </w:p>
    <w:p>
      <w:pPr>
        <w:spacing w:line="240" w:lineRule="auto" w:before="1"/>
        <w:rPr>
          <w:rFonts w:ascii="宋体" w:hAnsi="宋体" w:cs="宋体" w:eastAsia="宋体" w:hint="default"/>
          <w:sz w:val="7"/>
          <w:szCs w:val="7"/>
        </w:rPr>
      </w:pPr>
    </w:p>
    <w:tbl>
      <w:tblPr>
        <w:tblW w:w="0" w:type="auto"/>
        <w:jc w:val="left"/>
        <w:tblInd w:w="384" w:type="dxa"/>
        <w:tblLayout w:type="fixed"/>
        <w:tblCellMar>
          <w:top w:w="0" w:type="dxa"/>
          <w:left w:w="0" w:type="dxa"/>
          <w:bottom w:w="0" w:type="dxa"/>
          <w:right w:w="0" w:type="dxa"/>
        </w:tblCellMar>
        <w:tblLook w:val="01E0"/>
      </w:tblPr>
      <w:tblGrid>
        <w:gridCol w:w="3119"/>
        <w:gridCol w:w="1357"/>
        <w:gridCol w:w="1903"/>
        <w:gridCol w:w="1193"/>
        <w:gridCol w:w="2068"/>
      </w:tblGrid>
      <w:tr>
        <w:trPr>
          <w:trHeight w:val="663" w:hRule="exact"/>
        </w:trPr>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5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88" w:right="217" w:hanging="270"/>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190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30" w:right="41" w:hanging="90"/>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0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213" w:right="32" w:hanging="180"/>
              <w:jc w:val="left"/>
              <w:rPr>
                <w:rFonts w:ascii="宋体" w:hAnsi="宋体" w:cs="宋体" w:eastAsia="宋体" w:hint="default"/>
                <w:sz w:val="18"/>
                <w:szCs w:val="18"/>
              </w:rPr>
            </w:pPr>
            <w:r>
              <w:rPr>
                <w:rFonts w:ascii="宋体" w:hAnsi="宋体" w:cs="宋体" w:eastAsia="宋体" w:hint="default"/>
                <w:sz w:val="18"/>
                <w:szCs w:val="18"/>
              </w:rPr>
              <w:t>少数股东权益中用于冲减 少数股东损益的金额</w:t>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福建榕易付网络科技有限公司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
        </w:tc>
        <w:tc>
          <w:tcPr>
            <w:tcW w:w="206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41.74</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c>
          <w:tcPr>
            <w:tcW w:w="206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17.80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-3,578.95</w:t>
            </w:r>
            <w:r>
              <w:rPr>
                <w:rFonts w:ascii="Times New Roman"/>
                <w:sz w:val="18"/>
              </w:rPr>
            </w:r>
          </w:p>
        </w:tc>
        <w:tc>
          <w:tcPr>
            <w:tcW w:w="2068"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14,500,116.29</w:t>
            </w:r>
          </w:p>
        </w:tc>
        <w:tc>
          <w:tcPr>
            <w:tcW w:w="2068"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00" w:lineRule="auto" w:before="10"/>
        <w:ind w:left="394" w:right="0"/>
        <w:jc w:val="left"/>
      </w:pPr>
      <w:r>
        <w:rPr>
          <w:spacing w:val="-2"/>
        </w:rPr>
        <w:t>说明：福建榕易付网络科技有限公司成立于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月，浙江检榕网络科技有限公司成立于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月，榕基国计（北京）信</w:t>
      </w:r>
      <w:r>
        <w:rPr>
          <w:spacing w:val="-56"/>
        </w:rPr>
        <w:t> </w:t>
      </w:r>
      <w:r>
        <w:rPr>
          <w:spacing w:val="-56"/>
        </w:rPr>
      </w:r>
      <w:r>
        <w:rPr/>
        <w:t>息技术有限公司成立于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月，福建星榕基信息科技有限责任公司成立于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spacing w:after="0" w:line="300" w:lineRule="auto"/>
        <w:jc w:val="left"/>
        <w:sectPr>
          <w:pgSz w:w="11910" w:h="16840"/>
          <w:pgMar w:header="747" w:footer="982" w:top="1060" w:bottom="1180" w:left="740" w:right="980"/>
        </w:sectPr>
      </w:pPr>
    </w:p>
    <w:p>
      <w:pPr>
        <w:spacing w:line="240" w:lineRule="auto" w:before="9"/>
        <w:rPr>
          <w:rFonts w:ascii="宋体" w:hAnsi="宋体" w:cs="宋体" w:eastAsia="宋体" w:hint="default"/>
          <w:sz w:val="23"/>
          <w:szCs w:val="23"/>
        </w:rPr>
      </w:pPr>
    </w:p>
    <w:p>
      <w:pPr>
        <w:pStyle w:val="Heading2"/>
        <w:spacing w:line="240" w:lineRule="auto" w:before="26"/>
        <w:ind w:right="704"/>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林庆瑜  陈连锋</w:t>
            </w:r>
          </w:p>
        </w:tc>
      </w:tr>
    </w:tbl>
    <w:p>
      <w:pPr>
        <w:pStyle w:val="BodyText"/>
        <w:spacing w:line="240" w:lineRule="auto" w:before="51"/>
        <w:ind w:right="704"/>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704"/>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704"/>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704"/>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04"/>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704"/>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704"/>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8.71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8.71</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8.71</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9.29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9.29</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9.29</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9.29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9.29</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9.29</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9.1</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9.10</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8.13</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8.13</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70.04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70.04</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70.04</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7</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7.00</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1,300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5.92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5.92</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5.92</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7"/>
              <w:jc w:val="righ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14,900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14,900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67.88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67.88</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67.88</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25.43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25.43</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25.43</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2.16</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2.16</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0.58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0.58</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0.58</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5.45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5.45</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5.45</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1,600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47.2</w:t>
            </w:r>
          </w:p>
        </w:tc>
        <w:tc>
          <w:tcPr>
            <w:tcW w:w="804" w:type="dxa"/>
            <w:vMerge/>
            <w:tcBorders>
              <w:left w:val="single" w:sz="4" w:space="0" w:color="000000"/>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福州三山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3,500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126.43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126.43</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126.43</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福州三山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5.23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5.23</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5.23</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福州三山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144</w:t>
            </w:r>
          </w:p>
        </w:tc>
        <w:tc>
          <w:tcPr>
            <w:tcW w:w="804" w:type="dxa"/>
            <w:vMerge/>
            <w:tcBorders>
              <w:left w:val="single" w:sz="4" w:space="0" w:color="000000"/>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7.56</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7.52</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9.19</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福州分行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6.45</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6.24</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4.89</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福州分行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0.2</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0.2</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0.49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0.49</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0.49</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福州冶山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浮动收益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4.61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4.61</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4.61</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福州屏山</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8.5</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8.5</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厦门国际</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vMerge w:val="restart"/>
            <w:tcBorders>
              <w:top w:val="single" w:sz="4" w:space="0" w:color="000000"/>
              <w:left w:val="single" w:sz="4" w:space="0" w:color="000000"/>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银行福州</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10,500</w:t>
            </w:r>
          </w:p>
        </w:tc>
        <w:tc>
          <w:tcPr>
            <w:tcW w:w="804" w:type="dxa"/>
            <w:vMerge/>
            <w:tcBorders>
              <w:left w:val="single" w:sz="4" w:space="0" w:color="000000"/>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47.83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47.83</w:t>
            </w:r>
          </w:p>
        </w:tc>
        <w:tc>
          <w:tcPr>
            <w:tcW w:w="5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47.83</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31.29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31.29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31.29</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56.67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56.67</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44.17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44.17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44.17</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125.55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125.55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45"/>
              <w:jc w:val="center"/>
              <w:rPr>
                <w:rFonts w:ascii="Times New Roman" w:hAnsi="Times New Roman" w:cs="Times New Roman" w:eastAsia="Times New Roman" w:hint="default"/>
                <w:sz w:val="18"/>
                <w:szCs w:val="18"/>
              </w:rPr>
            </w:pPr>
            <w:r>
              <w:rPr>
                <w:rFonts w:ascii="Times New Roman"/>
                <w:sz w:val="18"/>
              </w:rPr>
              <w:t>125.55</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46.47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46.47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46.47</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63.75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63.75</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5"/>
              <w:jc w:val="center"/>
              <w:rPr>
                <w:rFonts w:ascii="Times New Roman" w:hAnsi="Times New Roman" w:cs="Times New Roman" w:eastAsia="Times New Roman" w:hint="default"/>
                <w:sz w:val="18"/>
                <w:szCs w:val="18"/>
              </w:rPr>
            </w:pPr>
            <w:r>
              <w:rPr>
                <w:rFonts w:ascii="Times New Roman"/>
                <w:sz w:val="18"/>
              </w:rPr>
              <w:t>42.5</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2"/>
                <w:sz w:val="18"/>
              </w:rPr>
              <w:t>113.33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113.33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3"/>
              <w:jc w:val="center"/>
              <w:rPr>
                <w:rFonts w:ascii="Times New Roman" w:hAnsi="Times New Roman" w:cs="Times New Roman" w:eastAsia="Times New Roman" w:hint="default"/>
                <w:sz w:val="18"/>
                <w:szCs w:val="18"/>
              </w:rPr>
            </w:pPr>
            <w:r>
              <w:rPr>
                <w:rFonts w:ascii="Times New Roman"/>
                <w:sz w:val="18"/>
              </w:rPr>
              <w:t>113.33</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63.75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63.75</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74.86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74.86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74.86</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74.86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74.86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74.86</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24.94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24.94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35"/>
              <w:jc w:val="center"/>
              <w:rPr>
                <w:rFonts w:ascii="Times New Roman" w:hAnsi="Times New Roman" w:cs="Times New Roman" w:eastAsia="Times New Roman" w:hint="default"/>
                <w:sz w:val="18"/>
                <w:szCs w:val="18"/>
              </w:rPr>
            </w:pPr>
            <w:r>
              <w:rPr>
                <w:rFonts w:ascii="Times New Roman"/>
                <w:sz w:val="18"/>
              </w:rPr>
              <w:t>24.94</w:t>
            </w:r>
          </w:p>
        </w:tc>
      </w:tr>
      <w:tr>
        <w:trPr>
          <w:trHeight w:val="40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center"/>
              <w:rPr>
                <w:rFonts w:ascii="Times New Roman" w:hAnsi="Times New Roman" w:cs="Times New Roman" w:eastAsia="Times New Roman" w:hint="default"/>
                <w:sz w:val="18"/>
                <w:szCs w:val="18"/>
              </w:rPr>
            </w:pPr>
            <w:r>
              <w:rPr>
                <w:rFonts w:ascii="Times New Roman"/>
                <w:sz w:val="18"/>
              </w:rPr>
              <w:t>22.13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郑州陇海 路支行</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浦东发展 银行陇海 路支行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21.7</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浦发银行 郑州陇海 路支行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25.07</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25.57</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17.62</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20.56</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17.55</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浦发银行 郑州陇海</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固定收益</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21.81</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269,400</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1,420.87</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公司或控股子公司闲置自有资金及募集资金。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58" w:hRule="exact"/>
        </w:trPr>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2"/>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3"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2"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6" w:hRule="exact"/>
        </w:trPr>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2184"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2" w:right="65"/>
              <w:jc w:val="both"/>
              <w:rPr>
                <w:rFonts w:ascii="宋体" w:hAnsi="宋体" w:cs="宋体" w:eastAsia="宋体" w:hint="default"/>
                <w:sz w:val="18"/>
                <w:szCs w:val="18"/>
              </w:rPr>
            </w:pPr>
            <w:r>
              <w:rPr>
                <w:rFonts w:ascii="宋体" w:hAnsi="宋体" w:cs="宋体" w:eastAsia="宋体" w:hint="default"/>
                <w:sz w:val="18"/>
                <w:szCs w:val="18"/>
              </w:rPr>
              <w:t>中国电 子检验 检疫主 干系统 开发项 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1,669.8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完成初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0"/>
              <w:jc w:val="left"/>
              <w:rPr>
                <w:rFonts w:ascii="Times New Roman" w:hAnsi="Times New Roman" w:cs="Times New Roman" w:eastAsia="Times New Roman" w:hint="default"/>
                <w:sz w:val="18"/>
                <w:szCs w:val="18"/>
              </w:rPr>
            </w:pP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l/true/6</w:t>
            </w:r>
            <w:r>
              <w:rPr>
                <w:rFonts w:ascii="Times New Roman"/>
                <w:w w:val="100"/>
                <w:sz w:val="18"/>
              </w:rPr>
              <w:t> </w:t>
            </w:r>
            <w:r>
              <w:rPr>
                <w:rFonts w:ascii="Times New Roman"/>
                <w:sz w:val="18"/>
              </w:rPr>
              <w:t>131716</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unceTi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me=20</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12-07-2</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5 06:30</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29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1249"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数字</w:t>
            </w:r>
          </w:p>
          <w:p>
            <w:pPr>
              <w:pStyle w:val="TableParagraph"/>
              <w:spacing w:line="30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福州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建设领 导小组</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福州市 政务云 计算平 台项目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56"/>
              <w:ind w:left="22" w:right="20"/>
              <w:jc w:val="both"/>
              <w:rPr>
                <w:rFonts w:ascii="Times New Roman" w:hAnsi="Times New Roman" w:cs="Times New Roman" w:eastAsia="Times New Roman" w:hint="default"/>
                <w:sz w:val="18"/>
                <w:szCs w:val="18"/>
              </w:rPr>
            </w:pP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p>
        </w:tc>
      </w:tr>
      <w:tr>
        <w:trPr>
          <w:trHeight w:val="32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l/true/6</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340645</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4?anno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unceTi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me=20</w:t>
            </w:r>
          </w:p>
        </w:tc>
      </w:tr>
      <w:tr>
        <w:trPr>
          <w:trHeight w:val="30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13-12-2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0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中国电</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2185"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5"/>
              <w:jc w:val="both"/>
              <w:rPr>
                <w:rFonts w:ascii="宋体" w:hAnsi="宋体" w:cs="宋体" w:eastAsia="宋体" w:hint="default"/>
                <w:sz w:val="18"/>
                <w:szCs w:val="18"/>
              </w:rPr>
            </w:pPr>
            <w:r>
              <w:rPr>
                <w:rFonts w:ascii="宋体" w:hAnsi="宋体" w:cs="宋体" w:eastAsia="宋体" w:hint="default"/>
                <w:sz w:val="18"/>
                <w:szCs w:val="18"/>
              </w:rPr>
              <w:t>子检验 检疫主 干系统 服务总 线开发 集成技 术开发</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198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完成初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20"/>
              <w:jc w:val="left"/>
              <w:rPr>
                <w:rFonts w:ascii="Times New Roman" w:hAnsi="Times New Roman" w:cs="Times New Roman" w:eastAsia="Times New Roman" w:hint="default"/>
                <w:sz w:val="18"/>
                <w:szCs w:val="18"/>
              </w:rPr>
            </w:pP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l/true/6</w:t>
            </w:r>
            <w:r>
              <w:rPr>
                <w:rFonts w:ascii="Times New Roman"/>
                <w:w w:val="100"/>
                <w:sz w:val="18"/>
              </w:rPr>
              <w:t> </w:t>
            </w:r>
            <w:r>
              <w:rPr>
                <w:rFonts w:ascii="Times New Roman"/>
                <w:sz w:val="18"/>
              </w:rPr>
              <w:t>399706</w:t>
            </w:r>
          </w:p>
        </w:tc>
      </w:tr>
      <w:tr>
        <w:trPr>
          <w:trHeight w:val="31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unceTi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me=20</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14-05-0</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0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1561"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2" w:right="65"/>
              <w:jc w:val="both"/>
              <w:rPr>
                <w:rFonts w:ascii="宋体" w:hAnsi="宋体" w:cs="宋体" w:eastAsia="宋体" w:hint="default"/>
                <w:sz w:val="18"/>
                <w:szCs w:val="18"/>
              </w:rPr>
            </w:pPr>
            <w:r>
              <w:rPr>
                <w:rFonts w:ascii="宋体" w:hAnsi="宋体" w:cs="宋体" w:eastAsia="宋体" w:hint="default"/>
                <w:sz w:val="18"/>
                <w:szCs w:val="18"/>
              </w:rPr>
              <w:t>河南省 中小企 业发展 服务中 心</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5"/>
              <w:jc w:val="both"/>
              <w:rPr>
                <w:rFonts w:ascii="宋体" w:hAnsi="宋体" w:cs="宋体" w:eastAsia="宋体" w:hint="default"/>
                <w:sz w:val="18"/>
                <w:szCs w:val="18"/>
              </w:rPr>
            </w:pPr>
            <w:r>
              <w:rPr>
                <w:rFonts w:ascii="宋体" w:hAnsi="宋体" w:cs="宋体" w:eastAsia="宋体" w:hint="default"/>
                <w:sz w:val="18"/>
                <w:szCs w:val="18"/>
              </w:rPr>
              <w:t>中小企 业公共 服务平 台网络 软件开</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20"/>
              <w:jc w:val="both"/>
              <w:rPr>
                <w:rFonts w:ascii="Times New Roman" w:hAnsi="Times New Roman" w:cs="Times New Roman" w:eastAsia="Times New Roman" w:hint="default"/>
                <w:sz w:val="18"/>
                <w:szCs w:val="18"/>
              </w:rPr>
            </w:pP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p>
        </w:tc>
      </w:tr>
      <w:tr>
        <w:trPr>
          <w:trHeight w:val="31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发项目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200331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564?an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014-10-</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51"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国家质</w:t>
            </w: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国家质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检总局</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1249"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量监督 检验检 疫总局 通关业</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2" w:right="65"/>
              <w:jc w:val="both"/>
              <w:rPr>
                <w:rFonts w:ascii="宋体" w:hAnsi="宋体" w:cs="宋体" w:eastAsia="宋体" w:hint="default"/>
                <w:sz w:val="18"/>
                <w:szCs w:val="18"/>
              </w:rPr>
            </w:pPr>
            <w:r>
              <w:rPr>
                <w:rFonts w:ascii="宋体" w:hAnsi="宋体" w:cs="宋体" w:eastAsia="宋体" w:hint="default"/>
                <w:sz w:val="18"/>
                <w:szCs w:val="18"/>
              </w:rPr>
              <w:t>电子检 验检疫 主干系 统信息</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1,083.2</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56"/>
              <w:ind w:left="22" w:right="25"/>
              <w:jc w:val="left"/>
              <w:rPr>
                <w:rFonts w:ascii="Times New Roman" w:hAnsi="Times New Roman" w:cs="Times New Roman" w:eastAsia="Times New Roman" w:hint="default"/>
                <w:sz w:val="18"/>
                <w:szCs w:val="18"/>
              </w:rPr>
            </w:pPr>
            <w:r>
              <w:rPr>
                <w:rFonts w:ascii="Times New Roman"/>
                <w:sz w:val="18"/>
              </w:rPr>
              <w:t>nfo.co</w:t>
            </w:r>
            <w:r>
              <w:rPr>
                <w:rFonts w:ascii="Times New Roman"/>
                <w:w w:val="100"/>
                <w:sz w:val="18"/>
              </w:rPr>
              <w:t> </w:t>
            </w:r>
            <w:r>
              <w:rPr>
                <w:rFonts w:ascii="Times New Roman"/>
                <w:sz w:val="18"/>
              </w:rPr>
              <w:t>m.cn/cn</w:t>
            </w:r>
            <w:r>
              <w:rPr>
                <w:rFonts w:ascii="Times New Roman"/>
                <w:sz w:val="18"/>
              </w:rPr>
              <w:t> info-ne</w:t>
            </w:r>
            <w:r>
              <w:rPr>
                <w:rFonts w:ascii="Times New Roman"/>
                <w:w w:val="100"/>
                <w:sz w:val="18"/>
              </w:rPr>
              <w:t> </w:t>
            </w:r>
            <w:r>
              <w:rPr>
                <w:rFonts w:ascii="Times New Roman"/>
                <w:sz w:val="18"/>
              </w:rPr>
              <w:t>w/discl</w:t>
            </w:r>
          </w:p>
        </w:tc>
      </w:tr>
      <w:tr>
        <w:trPr>
          <w:trHeight w:val="32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交换平</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Times New Roman"/>
                <w:sz w:val="18"/>
              </w:rPr>
              <w:t>osure/s</w:t>
            </w:r>
          </w:p>
        </w:tc>
      </w:tr>
      <w:tr>
        <w:trPr>
          <w:trHeight w:val="314"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台开发</w:t>
            </w: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zse_sm</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2858"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0"/>
              <w:jc w:val="left"/>
              <w:rPr>
                <w:rFonts w:ascii="Times New Roman" w:hAnsi="Times New Roman" w:cs="Times New Roman" w:eastAsia="Times New Roman" w:hint="default"/>
                <w:sz w:val="18"/>
                <w:szCs w:val="18"/>
              </w:rPr>
            </w:pP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r>
              <w:rPr>
                <w:rFonts w:ascii="Times New Roman"/>
                <w:w w:val="100"/>
                <w:sz w:val="18"/>
              </w:rPr>
              <w:t> </w:t>
            </w:r>
            <w:r>
              <w:rPr>
                <w:rFonts w:ascii="Times New Roman"/>
                <w:sz w:val="18"/>
              </w:rPr>
              <w:t>201009</w:t>
            </w:r>
          </w:p>
          <w:p>
            <w:pPr>
              <w:pStyle w:val="TableParagraph"/>
              <w:spacing w:line="362" w:lineRule="auto" w:before="3"/>
              <w:ind w:left="22" w:right="31"/>
              <w:jc w:val="both"/>
              <w:rPr>
                <w:rFonts w:ascii="Times New Roman" w:hAnsi="Times New Roman" w:cs="Times New Roman" w:eastAsia="Times New Roman" w:hint="default"/>
                <w:sz w:val="18"/>
                <w:szCs w:val="18"/>
              </w:rPr>
            </w:pPr>
            <w:r>
              <w:rPr>
                <w:rFonts w:ascii="Times New Roman"/>
                <w:sz w:val="18"/>
              </w:rPr>
              <w:t>866?an nounce</w:t>
            </w:r>
            <w:r>
              <w:rPr>
                <w:rFonts w:ascii="Times New Roman"/>
                <w:w w:val="100"/>
                <w:sz w:val="18"/>
              </w:rPr>
              <w:t> </w:t>
            </w:r>
            <w:r>
              <w:rPr>
                <w:rFonts w:ascii="Times New Roman"/>
                <w:sz w:val="18"/>
              </w:rPr>
              <w:t>Time=2</w:t>
            </w:r>
            <w:r>
              <w:rPr>
                <w:rFonts w:ascii="Times New Roman"/>
                <w:w w:val="100"/>
                <w:sz w:val="18"/>
              </w:rPr>
              <w:t> </w:t>
            </w:r>
            <w:r>
              <w:rPr>
                <w:rFonts w:ascii="Times New Roman"/>
                <w:sz w:val="18"/>
              </w:rPr>
              <w:t>015-05-</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14</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2808"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2" w:right="65"/>
              <w:jc w:val="both"/>
              <w:rPr>
                <w:rFonts w:ascii="宋体" w:hAnsi="宋体" w:cs="宋体" w:eastAsia="宋体" w:hint="default"/>
                <w:sz w:val="18"/>
                <w:szCs w:val="18"/>
              </w:rPr>
            </w:pPr>
            <w:r>
              <w:rPr>
                <w:rFonts w:ascii="宋体" w:hAnsi="宋体" w:cs="宋体" w:eastAsia="宋体" w:hint="default"/>
                <w:sz w:val="18"/>
                <w:szCs w:val="18"/>
              </w:rPr>
              <w:t>国家质 检总局 电子检 验检疫 大通关 系统应 用运维 项目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1,485.3</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0"/>
              <w:jc w:val="left"/>
              <w:rPr>
                <w:rFonts w:ascii="Times New Roman" w:hAnsi="Times New Roman" w:cs="Times New Roman" w:eastAsia="Times New Roman" w:hint="default"/>
                <w:sz w:val="18"/>
                <w:szCs w:val="18"/>
              </w:rPr>
            </w:pPr>
            <w:r>
              <w:rPr>
                <w:rFonts w:ascii="Times New Roman"/>
                <w:sz w:val="18"/>
              </w:rPr>
              <w:t>info-ne</w:t>
            </w:r>
            <w:r>
              <w:rPr>
                <w:rFonts w:ascii="Times New Roman"/>
                <w:w w:val="100"/>
                <w:sz w:val="18"/>
              </w:rPr>
              <w:t> </w:t>
            </w: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r>
              <w:rPr>
                <w:rFonts w:ascii="Times New Roman"/>
                <w:w w:val="100"/>
                <w:sz w:val="18"/>
              </w:rPr>
              <w:t> </w:t>
            </w:r>
            <w:r>
              <w:rPr>
                <w:rFonts w:ascii="Times New Roman"/>
                <w:sz w:val="18"/>
              </w:rPr>
              <w:t>201009</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866?an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14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1" w:firstLine="360"/>
        <w:jc w:val="left"/>
      </w:pPr>
      <w:r>
        <w:rPr/>
        <w:t>（一）公司控股股东、实际控制人鲁峰先生分别于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 </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30</w:t>
      </w:r>
      <w:r>
        <w:rPr>
          <w:spacing w:val="-3"/>
        </w:rPr>
        <w:t>日通过深圳证券交易所大宗交易系统减持公司股份共计</w:t>
      </w:r>
      <w:r>
        <w:rPr>
          <w:rFonts w:ascii="Times New Roman" w:hAnsi="Times New Roman" w:cs="Times New Roman" w:eastAsia="Times New Roman" w:hint="default"/>
          <w:spacing w:val="-3"/>
        </w:rPr>
        <w:t>3,500</w:t>
      </w:r>
      <w:r>
        <w:rPr>
          <w:rFonts w:ascii="Times New Roman" w:hAnsi="Times New Roman" w:cs="Times New Roman" w:eastAsia="Times New Roman" w:hint="default"/>
        </w:rPr>
        <w:t> </w:t>
      </w:r>
      <w:r>
        <w:rPr/>
        <w:t>万股，占公司总股本的</w:t>
      </w:r>
      <w:r>
        <w:rPr>
          <w:rFonts w:ascii="Times New Roman" w:hAnsi="Times New Roman" w:cs="Times New Roman" w:eastAsia="Times New Roman" w:hint="default"/>
        </w:rPr>
        <w:t>5.625%</w:t>
      </w:r>
      <w:r>
        <w:rPr/>
        <w:t>。本次减持后，鲁峰先生拥有公司</w:t>
      </w:r>
      <w:r>
        <w:rPr>
          <w:rFonts w:ascii="Times New Roman" w:hAnsi="Times New Roman" w:cs="Times New Roman" w:eastAsia="Times New Roman" w:hint="default"/>
        </w:rPr>
        <w:t>143,655,740</w:t>
      </w:r>
      <w:r>
        <w:rPr/>
        <w:t>股，占公司总股本的</w:t>
      </w:r>
      <w:r>
        <w:rPr>
          <w:rFonts w:ascii="Times New Roman" w:hAnsi="Times New Roman" w:cs="Times New Roman" w:eastAsia="Times New Roman" w:hint="default"/>
        </w:rPr>
        <w:t>23.09%</w:t>
      </w:r>
      <w:r>
        <w:rPr/>
        <w:t>，仍为控股股东及 </w:t>
      </w:r>
      <w:r>
        <w:rPr>
          <w:spacing w:val="-1"/>
        </w:rPr>
        <w:t>实际控制人。公司控股股东、实际控制人鲁峰先生承诺连续六个月内通过证券交易系统出售的股份低于公司股份总数的</w:t>
      </w:r>
      <w:r>
        <w:rPr>
          <w:rFonts w:ascii="Times New Roman" w:hAnsi="Times New Roman" w:cs="Times New Roman" w:eastAsia="Times New Roman" w:hint="default"/>
          <w:spacing w:val="-1"/>
        </w:rPr>
        <w:t>5%</w:t>
      </w:r>
      <w:r>
        <w:rPr>
          <w:spacing w:val="-1"/>
        </w:rPr>
        <w:t>。</w:t>
      </w:r>
      <w:r>
        <w:rPr/>
        <w:t> 相关公告《关于控股股东减持公司股份及高管股份变动的公告》（公告编号：</w:t>
      </w:r>
      <w:r>
        <w:rPr>
          <w:rFonts w:ascii="Times New Roman" w:hAnsi="Times New Roman" w:cs="Times New Roman" w:eastAsia="Times New Roman" w:hint="default"/>
        </w:rPr>
        <w:t>2014-069</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日披露于巨潮资讯 网</w:t>
      </w:r>
      <w:hyperlink r:id="rId18">
        <w:r>
          <w:rPr>
            <w:rFonts w:ascii="Times New Roman" w:hAnsi="Times New Roman" w:cs="Times New Roman" w:eastAsia="Times New Roman" w:hint="default"/>
          </w:rPr>
          <w:t>http://www.cninfo.com.cn/finalpage/2014-09-30/1200275355.PDF</w:t>
        </w:r>
      </w:hyperlink>
      <w:r>
        <w:rPr/>
        <w:t>。</w:t>
      </w:r>
    </w:p>
    <w:p>
      <w:pPr>
        <w:pStyle w:val="BodyText"/>
        <w:spacing w:line="300" w:lineRule="auto" w:before="13"/>
        <w:ind w:left="153" w:right="101" w:firstLine="360"/>
        <w:jc w:val="both"/>
      </w:pPr>
      <w:r>
        <w:rPr/>
        <w:t>（二）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月，公司部分董事、高级管理人员和核心骨干响应证监会《关于上市公司大股东及董事、监事、高级管 </w:t>
      </w:r>
      <w:r>
        <w:rPr>
          <w:spacing w:val="-2"/>
        </w:rPr>
        <w:t>理人员增持本公司股票相关事项的通知》（证监发【</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51</w:t>
      </w:r>
      <w:r>
        <w:rPr>
          <w:spacing w:val="-2"/>
        </w:rPr>
        <w:t>号文件），待公司股票复牌后的</w:t>
      </w:r>
      <w:r>
        <w:rPr>
          <w:rFonts w:ascii="Times New Roman" w:hAnsi="Times New Roman" w:cs="Times New Roman" w:eastAsia="Times New Roman" w:hint="default"/>
          <w:spacing w:val="-2"/>
        </w:rPr>
        <w:t>10</w:t>
      </w:r>
      <w:r>
        <w:rPr>
          <w:spacing w:val="-2"/>
        </w:rPr>
        <w:t>个工作日内（公司因筹划电</w:t>
      </w:r>
      <w:r>
        <w:rPr>
          <w:spacing w:val="-57"/>
        </w:rPr>
        <w:t> </w:t>
      </w:r>
      <w:r>
        <w:rPr>
          <w:spacing w:val="-57"/>
        </w:rPr>
      </w:r>
      <w:r>
        <w:rPr/>
        <w:t>子政务领域重大对外合作事项于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日起停牌），增持不低于</w:t>
      </w:r>
      <w:r>
        <w:rPr>
          <w:rFonts w:ascii="Times New Roman" w:hAnsi="Times New Roman" w:cs="Times New Roman" w:eastAsia="Times New Roman" w:hint="default"/>
        </w:rPr>
        <w:t>150</w:t>
      </w:r>
      <w:r>
        <w:rPr/>
        <w:t>万股的公司股份。公司已于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日在中国证 </w:t>
      </w:r>
      <w:r>
        <w:rPr>
          <w:spacing w:val="-4"/>
        </w:rPr>
        <w:t>券报、证券日报、证券时报和巨潮资讯网上发布了《关于公司部分董事、高级管理人员和核心骨干计划增持公司股份的公告》</w:t>
      </w:r>
    </w:p>
    <w:p>
      <w:pPr>
        <w:pStyle w:val="BodyText"/>
        <w:spacing w:line="307" w:lineRule="auto" w:before="31"/>
        <w:ind w:left="153" w:right="91"/>
        <w:jc w:val="left"/>
        <w:rPr>
          <w:rFonts w:ascii="Times New Roman" w:hAnsi="Times New Roman" w:cs="Times New Roman" w:eastAsia="Times New Roman" w:hint="default"/>
        </w:rPr>
      </w:pPr>
      <w:r>
        <w:rPr/>
        <w:t>（公告编号</w:t>
      </w:r>
      <w:r>
        <w:rPr>
          <w:rFonts w:ascii="Times New Roman" w:hAnsi="Times New Roman" w:cs="Times New Roman" w:eastAsia="Times New Roman" w:hint="default"/>
        </w:rPr>
        <w:t>2015-034</w:t>
      </w:r>
      <w:r>
        <w:rPr/>
        <w:t>）。公司将根据中国证监会及深圳证券交易所的有关规定，对增持人增持的公司股票进行管理，并督促 相关人员严格按照有关规定买卖公司股票。增持人承诺：在法定期限内不减持其所持有的本公司股份；严格遵守有关规定， 不进行内幕交易及敏感期买卖股份、短线交易。公司将严格遵守证监会【</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18</w:t>
      </w:r>
      <w:r>
        <w:rPr/>
        <w:t>号公告，</w:t>
      </w:r>
      <w:r>
        <w:rPr>
          <w:rFonts w:ascii="Times New Roman" w:hAnsi="Times New Roman" w:cs="Times New Roman" w:eastAsia="Times New Roman" w:hint="default"/>
        </w:rPr>
        <w:t>6</w:t>
      </w:r>
      <w:r>
        <w:rPr/>
        <w:t>个月内，公司控股股东和持股 </w:t>
      </w:r>
      <w:r>
        <w:rPr>
          <w:rFonts w:ascii="Times New Roman" w:hAnsi="Times New Roman" w:cs="Times New Roman" w:eastAsia="Times New Roman" w:hint="default"/>
        </w:rPr>
        <w:t>5%</w:t>
      </w:r>
      <w:r>
        <w:rPr/>
        <w:t>以上股东及董事、监事、高级管理人员不通过二级市场减持本公司股份。公司股票于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日复牌，至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p>
    <w:p>
      <w:pPr>
        <w:spacing w:after="0" w:line="307"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153" w:right="0"/>
        <w:jc w:val="left"/>
      </w:pPr>
      <w:r>
        <w:rPr/>
        <w:t>月</w:t>
      </w:r>
      <w:r>
        <w:rPr>
          <w:rFonts w:ascii="Times New Roman" w:hAnsi="Times New Roman" w:cs="Times New Roman" w:eastAsia="Times New Roman" w:hint="default"/>
        </w:rPr>
        <w:t>16</w:t>
      </w:r>
      <w:r>
        <w:rPr/>
        <w:t>日，公司副总裁李惠钦、财务总监镇千金、监事魏建光已通过深圳证券交易所证券交易系统从二级市场合计增持了</w:t>
      </w:r>
    </w:p>
    <w:p>
      <w:pPr>
        <w:pStyle w:val="BodyText"/>
        <w:spacing w:line="240" w:lineRule="auto" w:before="63"/>
        <w:ind w:left="153" w:right="0"/>
        <w:jc w:val="left"/>
      </w:pPr>
      <w:r>
        <w:rPr>
          <w:rFonts w:ascii="Times New Roman" w:hAnsi="Times New Roman" w:cs="Times New Roman" w:eastAsia="Times New Roman" w:hint="default"/>
        </w:rPr>
        <w:t>1,501,990</w:t>
      </w:r>
      <w:r>
        <w:rPr/>
        <w:t>股公司股份，占公司总股本的</w:t>
      </w:r>
      <w:r>
        <w:rPr>
          <w:rFonts w:ascii="Times New Roman" w:hAnsi="Times New Roman" w:cs="Times New Roman" w:eastAsia="Times New Roman" w:hint="default"/>
        </w:rPr>
        <w:t>0.24%</w:t>
      </w:r>
      <w:r>
        <w:rPr/>
        <w:t>，完成上述增持计划。</w:t>
      </w:r>
    </w:p>
    <w:p>
      <w:pPr>
        <w:pStyle w:val="BodyText"/>
        <w:spacing w:line="302" w:lineRule="auto" w:before="63"/>
        <w:ind w:left="153" w:right="99" w:firstLine="360"/>
        <w:jc w:val="left"/>
      </w:pPr>
      <w:r>
        <w:rPr>
          <w:spacing w:val="-2"/>
        </w:rPr>
        <w:t>（三）因公司筹划电子政务领域重大对外合作事项，经向深圳证券交易所申请，公司股票（证券简称：榕基软件，证券</w:t>
      </w:r>
      <w:r>
        <w:rPr/>
        <w:t> 代码：</w:t>
      </w:r>
      <w:r>
        <w:rPr>
          <w:rFonts w:ascii="Times New Roman" w:hAnsi="Times New Roman" w:cs="Times New Roman" w:eastAsia="Times New Roman" w:hint="default"/>
        </w:rPr>
        <w:t>002474</w:t>
      </w:r>
      <w:r>
        <w:rPr/>
        <w:t>）已于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日（星期三）开市起停牌。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日，公司召开第三届董事会第十八次会议，审议通 过了《关于对外投资设立合资公司的议案》，公司根据《福建省电子信息集团关于转发</w:t>
      </w:r>
      <w:r>
        <w:rPr>
          <w:rFonts w:ascii="Times New Roman" w:hAnsi="Times New Roman" w:cs="Times New Roman" w:eastAsia="Times New Roman" w:hint="default"/>
        </w:rPr>
        <w:t>&lt;</w:t>
      </w:r>
      <w:r>
        <w:rPr/>
        <w:t>福建省人民政府国有资产监督管理 </w:t>
      </w:r>
      <w:r>
        <w:rPr>
          <w:spacing w:val="-2"/>
        </w:rPr>
        <w:t>委员会关于福建省星云大数据应用服务有限公司参与设立福建星榕基信息技术有限公司</w:t>
      </w:r>
      <w:r>
        <w:rPr>
          <w:rFonts w:ascii="Times New Roman" w:hAnsi="Times New Roman" w:cs="Times New Roman" w:eastAsia="Times New Roman" w:hint="default"/>
          <w:spacing w:val="-2"/>
        </w:rPr>
        <w:t>&gt;</w:t>
      </w:r>
      <w:r>
        <w:rPr>
          <w:spacing w:val="-2"/>
        </w:rPr>
        <w:t>的函》，与福建省电子信息（集团）</w:t>
      </w:r>
      <w:r>
        <w:rPr>
          <w:spacing w:val="-76"/>
        </w:rPr>
        <w:t> </w:t>
      </w:r>
      <w:r>
        <w:rPr>
          <w:spacing w:val="-76"/>
        </w:rPr>
      </w:r>
      <w:r>
        <w:rPr/>
        <w:t>有限责任公司全资子公司星云大数据、自然人林卫国分别以自有资金</w:t>
      </w:r>
      <w:r>
        <w:rPr>
          <w:rFonts w:ascii="Times New Roman" w:hAnsi="Times New Roman" w:cs="Times New Roman" w:eastAsia="Times New Roman" w:hint="default"/>
        </w:rPr>
        <w:t>/</w:t>
      </w:r>
      <w:r>
        <w:rPr/>
        <w:t>自筹资金</w:t>
      </w:r>
      <w:r>
        <w:rPr>
          <w:rFonts w:ascii="Times New Roman" w:hAnsi="Times New Roman" w:cs="Times New Roman" w:eastAsia="Times New Roman" w:hint="default"/>
        </w:rPr>
        <w:t>3,550</w:t>
      </w:r>
      <w:r>
        <w:rPr/>
        <w:t>万元、</w:t>
      </w:r>
      <w:r>
        <w:rPr>
          <w:rFonts w:ascii="Times New Roman" w:hAnsi="Times New Roman" w:cs="Times New Roman" w:eastAsia="Times New Roman" w:hint="default"/>
        </w:rPr>
        <w:t>950</w:t>
      </w:r>
      <w:r>
        <w:rPr/>
        <w:t>万元、</w:t>
      </w:r>
      <w:r>
        <w:rPr>
          <w:rFonts w:ascii="Times New Roman" w:hAnsi="Times New Roman" w:cs="Times New Roman" w:eastAsia="Times New Roman" w:hint="default"/>
        </w:rPr>
        <w:t>500</w:t>
      </w:r>
      <w:r>
        <w:rPr/>
        <w:t>万元出资设立星榕 基。依据相关规定，经公司申请，公司股票（股票简称：榕基软件，股票代码：</w:t>
      </w:r>
      <w:r>
        <w:rPr>
          <w:rFonts w:ascii="Times New Roman" w:hAnsi="Times New Roman" w:cs="Times New Roman" w:eastAsia="Times New Roman" w:hint="default"/>
        </w:rPr>
        <w:t>002474</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日（星期五）上午 开市起复牌。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日，公司与以上交易对手签订了《公司与星云大数据及林卫国（自然人）关于出资设立合资公司 之合作协议书》。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日，星榕基取得了福建省工商行政管理局颁发的《营业执照》。</w:t>
      </w:r>
    </w:p>
    <w:p>
      <w:pPr>
        <w:pStyle w:val="BodyText"/>
        <w:spacing w:line="316" w:lineRule="auto" w:before="11"/>
        <w:ind w:left="513" w:right="181"/>
        <w:jc w:val="left"/>
        <w:rPr>
          <w:rFonts w:ascii="Times New Roman" w:hAnsi="Times New Roman" w:cs="Times New Roman" w:eastAsia="Times New Roman" w:hint="default"/>
        </w:rPr>
      </w:pPr>
      <w:r>
        <w:rPr/>
        <w:t>（四）募投项目建设进度情况说明： 根据公司</w:t>
      </w:r>
      <w:r>
        <w:rPr>
          <w:rFonts w:ascii="Times New Roman" w:hAnsi="Times New Roman" w:cs="Times New Roman" w:eastAsia="Times New Roman" w:hint="default"/>
        </w:rPr>
        <w:t>5</w:t>
      </w:r>
      <w:r>
        <w:rPr/>
        <w:t>个募投项目计划，募集资金中软硬件投入</w:t>
      </w:r>
      <w:r>
        <w:rPr>
          <w:rFonts w:ascii="Times New Roman" w:hAnsi="Times New Roman" w:cs="Times New Roman" w:eastAsia="Times New Roman" w:hint="default"/>
        </w:rPr>
        <w:t>11,596.59</w:t>
      </w:r>
      <w:r>
        <w:rPr/>
        <w:t>万元，实施费用投入</w:t>
      </w:r>
      <w:r>
        <w:rPr>
          <w:rFonts w:ascii="Times New Roman" w:hAnsi="Times New Roman" w:cs="Times New Roman" w:eastAsia="Times New Roman" w:hint="default"/>
        </w:rPr>
        <w:t>10,471.49</w:t>
      </w:r>
      <w:r>
        <w:rPr/>
        <w:t>万元，两项合计共</w:t>
      </w:r>
      <w:r>
        <w:rPr>
          <w:rFonts w:ascii="Times New Roman" w:hAnsi="Times New Roman" w:cs="Times New Roman" w:eastAsia="Times New Roman" w:hint="default"/>
        </w:rPr>
        <w:t>22,068.08</w:t>
      </w:r>
    </w:p>
    <w:p>
      <w:pPr>
        <w:pStyle w:val="BodyText"/>
        <w:spacing w:line="307" w:lineRule="auto"/>
        <w:ind w:left="153" w:right="91"/>
        <w:jc w:val="left"/>
      </w:pPr>
      <w:r>
        <w:rPr/>
        <w:t>万元。场地投入</w:t>
      </w:r>
      <w:r>
        <w:rPr>
          <w:rFonts w:ascii="Times New Roman" w:hAnsi="Times New Roman" w:cs="Times New Roman" w:eastAsia="Times New Roman" w:hint="default"/>
        </w:rPr>
        <w:t>5,828.75</w:t>
      </w:r>
      <w:r>
        <w:rPr/>
        <w:t>万元，计划需要购置</w:t>
      </w:r>
      <w:r>
        <w:rPr>
          <w:rFonts w:ascii="Times New Roman" w:hAnsi="Times New Roman" w:cs="Times New Roman" w:eastAsia="Times New Roman" w:hint="default"/>
        </w:rPr>
        <w:t>7,600</w:t>
      </w:r>
      <w:r>
        <w:rPr/>
        <w:t>平方米用房，用于项目研发、测试、运营、办公和机房环境建设。</w:t>
      </w:r>
      <w:r>
        <w:rPr>
          <w:rFonts w:ascii="Times New Roman" w:hAnsi="Times New Roman" w:cs="Times New Roman" w:eastAsia="Times New Roman" w:hint="default"/>
        </w:rPr>
        <w:t>2014</w:t>
      </w:r>
      <w:r>
        <w:rPr/>
        <w:t>年 </w:t>
      </w:r>
      <w:r>
        <w:rPr>
          <w:rFonts w:ascii="Times New Roman" w:hAnsi="Times New Roman" w:cs="Times New Roman" w:eastAsia="Times New Roman" w:hint="default"/>
        </w:rPr>
        <w:t>9</w:t>
      </w:r>
      <w:r>
        <w:rPr/>
        <w:t>月，榕基工程和福州高新技术产业开发区管理委员会就榕基工程在福州高新技术产业开发区海西高新技术产业园内投资建 设软件及服务外包产业基地项目事宜进行协商，签署了《福州高新技术产业开发区海西高新技术产业园投资建设协议书》， </w:t>
      </w:r>
      <w:r>
        <w:rPr>
          <w:spacing w:val="-2"/>
        </w:rPr>
        <w:t>并竞得闽侯县国土资源局宗地编号为宗地</w:t>
      </w:r>
      <w:r>
        <w:rPr>
          <w:rFonts w:ascii="Times New Roman" w:hAnsi="Times New Roman" w:cs="Times New Roman" w:eastAsia="Times New Roman" w:hint="default"/>
          <w:spacing w:val="-2"/>
        </w:rPr>
        <w:t>2014</w:t>
      </w:r>
      <w:r>
        <w:rPr>
          <w:spacing w:val="-2"/>
        </w:rPr>
        <w:t>挂（工业）</w:t>
      </w:r>
      <w:r>
        <w:rPr>
          <w:rFonts w:ascii="Times New Roman" w:hAnsi="Times New Roman" w:cs="Times New Roman" w:eastAsia="Times New Roman" w:hint="default"/>
          <w:spacing w:val="-2"/>
        </w:rPr>
        <w:t>16</w:t>
      </w:r>
      <w:r>
        <w:rPr>
          <w:spacing w:val="-2"/>
        </w:rPr>
        <w:t>号国有建设用地使用权，待交付土地之后公司将尽快开展办公场</w:t>
      </w:r>
      <w:r>
        <w:rPr>
          <w:spacing w:val="-60"/>
        </w:rPr>
        <w:t> </w:t>
      </w:r>
      <w:r>
        <w:rPr>
          <w:spacing w:val="-60"/>
        </w:rPr>
      </w:r>
      <w:r>
        <w:rPr/>
        <w:t>所建设。截至目前，福州高新技术产业开发区管理委员会正在抓紧该地块的收储工作以交付给公司。根据公司的发展规划， </w:t>
      </w:r>
      <w:r>
        <w:rPr>
          <w:spacing w:val="-2"/>
        </w:rPr>
        <w:t>为了更好地利用全资子公司自有土地，实现资源的有效整合，公司于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日召开第三届董事会第十三次会议，审议</w:t>
      </w:r>
      <w:r>
        <w:rPr>
          <w:spacing w:val="-58"/>
        </w:rPr>
        <w:t> </w:t>
      </w:r>
      <w:r>
        <w:rPr>
          <w:spacing w:val="-58"/>
        </w:rPr>
      </w:r>
      <w:r>
        <w:rPr/>
        <w:t>通过将变更募投项目实施地点至上述地块，变更募投项目实施方式，并追加投资，拟使用募集资金不超过</w:t>
      </w:r>
      <w:r>
        <w:rPr>
          <w:rFonts w:ascii="Times New Roman" w:hAnsi="Times New Roman" w:cs="Times New Roman" w:eastAsia="Times New Roman" w:hint="default"/>
        </w:rPr>
        <w:t>13,300</w:t>
      </w:r>
      <w:r>
        <w:rPr/>
        <w:t>万元（实际 金额以</w:t>
      </w:r>
      <w:r>
        <w:rPr>
          <w:rFonts w:ascii="Times New Roman" w:hAnsi="Times New Roman" w:cs="Times New Roman" w:eastAsia="Times New Roman" w:hint="default"/>
        </w:rPr>
        <w:t>2014</w:t>
      </w:r>
      <w:r>
        <w:rPr/>
        <w:t>年度审计报告为准）与榕基工程合作在该地块上建设公司研发大楼，项目建设期</w:t>
      </w:r>
      <w:r>
        <w:rPr>
          <w:rFonts w:ascii="Times New Roman" w:hAnsi="Times New Roman" w:cs="Times New Roman" w:eastAsia="Times New Roman" w:hint="default"/>
        </w:rPr>
        <w:t>2</w:t>
      </w:r>
      <w:r>
        <w:rPr/>
        <w:t>年分批投入，并根据公司募集 </w:t>
      </w:r>
      <w:r>
        <w:rPr>
          <w:spacing w:val="-2"/>
        </w:rPr>
        <w:t>资金的投入总额取得相应投入比例的研发大楼产权使用权，用于募投项目目前实际所需研发用房。公司将严格按照募集资金</w:t>
      </w:r>
      <w:r>
        <w:rPr>
          <w:spacing w:val="-64"/>
        </w:rPr>
        <w:t> </w:t>
      </w:r>
      <w:r>
        <w:rPr>
          <w:spacing w:val="-64"/>
        </w:rPr>
      </w:r>
      <w:r>
        <w:rPr>
          <w:spacing w:val="-2"/>
        </w:rPr>
        <w:t>管理和使用的监管要求，使得募集资金规划中的场地投入费用发挥效益。截至报告期末，本公司募集资金累计直接投入募投</w:t>
      </w:r>
      <w:r>
        <w:rPr>
          <w:spacing w:val="-66"/>
        </w:rPr>
        <w:t> </w:t>
      </w:r>
      <w:r>
        <w:rPr>
          <w:spacing w:val="-66"/>
        </w:rPr>
      </w:r>
      <w:r>
        <w:rPr/>
        <w:t>项目</w:t>
      </w:r>
      <w:r>
        <w:rPr>
          <w:rFonts w:ascii="Times New Roman" w:hAnsi="Times New Roman" w:cs="Times New Roman" w:eastAsia="Times New Roman" w:hint="default"/>
        </w:rPr>
        <w:t>29,689.95</w:t>
      </w:r>
      <w:r>
        <w:rPr/>
        <w:t>万元，募投项目建设基本完成。</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732"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日，公司与马鞍山市秀山新区建设管委会就积极推进马鞍山市软件及服务外包产业的合作意向签订了</w:t>
      </w:r>
    </w:p>
    <w:p>
      <w:pPr>
        <w:pStyle w:val="BodyText"/>
        <w:spacing w:line="300" w:lineRule="auto" w:before="63"/>
        <w:ind w:left="153" w:right="101"/>
        <w:jc w:val="left"/>
      </w:pPr>
      <w:r>
        <w:rPr>
          <w:spacing w:val="-2"/>
        </w:rPr>
        <w:t>《</w:t>
      </w:r>
      <w:r>
        <w:rPr>
          <w:rFonts w:ascii="Times New Roman" w:hAnsi="Times New Roman" w:cs="Times New Roman" w:eastAsia="Times New Roman" w:hint="default"/>
          <w:spacing w:val="-2"/>
        </w:rPr>
        <w:t>“</w:t>
      </w:r>
      <w:r>
        <w:rPr>
          <w:spacing w:val="-2"/>
        </w:rPr>
        <w:t>榕基</w:t>
      </w:r>
      <w:r>
        <w:rPr>
          <w:rFonts w:ascii="Times New Roman" w:hAnsi="Times New Roman" w:cs="Times New Roman" w:eastAsia="Times New Roman" w:hint="default"/>
          <w:spacing w:val="-2"/>
        </w:rPr>
        <w:t>-</w:t>
      </w:r>
      <w:r>
        <w:rPr>
          <w:spacing w:val="-2"/>
        </w:rPr>
        <w:t>马鞍山软件园</w:t>
      </w:r>
      <w:r>
        <w:rPr>
          <w:rFonts w:ascii="Times New Roman" w:hAnsi="Times New Roman" w:cs="Times New Roman" w:eastAsia="Times New Roman" w:hint="default"/>
          <w:spacing w:val="-2"/>
        </w:rPr>
        <w:t>”</w:t>
      </w:r>
      <w:r>
        <w:rPr>
          <w:spacing w:val="-2"/>
        </w:rPr>
        <w:t>合作项目投资合同》，地方政府为公司选址建设</w:t>
      </w:r>
      <w:r>
        <w:rPr>
          <w:rFonts w:ascii="Times New Roman" w:hAnsi="Times New Roman" w:cs="Times New Roman" w:eastAsia="Times New Roman" w:hint="default"/>
          <w:spacing w:val="-2"/>
        </w:rPr>
        <w:t>“</w:t>
      </w:r>
      <w:r>
        <w:rPr>
          <w:spacing w:val="-2"/>
        </w:rPr>
        <w:t>榕基</w:t>
      </w:r>
      <w:r>
        <w:rPr>
          <w:rFonts w:ascii="Times New Roman" w:hAnsi="Times New Roman" w:cs="Times New Roman" w:eastAsia="Times New Roman" w:hint="default"/>
          <w:spacing w:val="-2"/>
        </w:rPr>
        <w:t>-</w:t>
      </w:r>
      <w:r>
        <w:rPr>
          <w:spacing w:val="-2"/>
        </w:rPr>
        <w:t>马鞍山软件园</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日，公司用自有</w:t>
      </w:r>
      <w:r>
        <w:rPr>
          <w:spacing w:val="-41"/>
        </w:rPr>
        <w:t> </w:t>
      </w:r>
      <w:r>
        <w:rPr>
          <w:spacing w:val="-41"/>
        </w:rPr>
      </w:r>
      <w:r>
        <w:rPr/>
        <w:t>资金投资设立马鞍山榕基软件信息科技有限公司（注册资本</w:t>
      </w:r>
      <w:r>
        <w:rPr>
          <w:rFonts w:ascii="Times New Roman" w:hAnsi="Times New Roman" w:cs="Times New Roman" w:eastAsia="Times New Roman" w:hint="default"/>
        </w:rPr>
        <w:t>5,000</w:t>
      </w:r>
      <w:r>
        <w:rPr/>
        <w:t>万，以下简称</w:t>
      </w:r>
      <w:r>
        <w:rPr>
          <w:rFonts w:ascii="Times New Roman" w:hAnsi="Times New Roman" w:cs="Times New Roman" w:eastAsia="Times New Roman" w:hint="default"/>
        </w:rPr>
        <w:t>“</w:t>
      </w:r>
      <w:r>
        <w:rPr/>
        <w:t>马鞍山榕基</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日马鞍山市国 土资源局公布《国有建设用地使用权挂牌出让公告》（马国土出让告字</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26</w:t>
      </w:r>
      <w:r>
        <w:rPr/>
        <w:t>号），公司于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日召开董事会 审议通过《关于马鞍山子公司拟购买土地使用权的议案》，马鞍山榕基拟以自筹资金不超过</w:t>
      </w:r>
      <w:r>
        <w:rPr>
          <w:rFonts w:ascii="Times New Roman" w:hAnsi="Times New Roman" w:cs="Times New Roman" w:eastAsia="Times New Roman" w:hint="default"/>
        </w:rPr>
        <w:t>2,500</w:t>
      </w:r>
      <w:r>
        <w:rPr/>
        <w:t>万人民币支付项目建设保 证金，授权马鞍山榕基经理层办理土地竞拍及转让手续，马鞍山榕基于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日收到马鞍山市国土资源局下发的《成 </w:t>
      </w:r>
      <w:r>
        <w:rPr>
          <w:spacing w:val="-2"/>
        </w:rPr>
        <w:t>交确认书》，公司以总价为人民币</w:t>
      </w:r>
      <w:r>
        <w:rPr>
          <w:rFonts w:ascii="Times New Roman" w:hAnsi="Times New Roman" w:cs="Times New Roman" w:eastAsia="Times New Roman" w:hint="default"/>
          <w:spacing w:val="-2"/>
        </w:rPr>
        <w:t>2,500</w:t>
      </w:r>
      <w:r>
        <w:rPr>
          <w:spacing w:val="-2"/>
        </w:rPr>
        <w:t>万元竞得编号为马土让</w:t>
      </w:r>
      <w:r>
        <w:rPr>
          <w:rFonts w:ascii="Times New Roman" w:hAnsi="Times New Roman" w:cs="Times New Roman" w:eastAsia="Times New Roman" w:hint="default"/>
          <w:spacing w:val="-2"/>
        </w:rPr>
        <w:t>2011-26</w:t>
      </w:r>
      <w:r>
        <w:rPr>
          <w:spacing w:val="-2"/>
        </w:rPr>
        <w:t>号地块的国有土地使用权</w:t>
      </w:r>
      <w:r>
        <w:rPr>
          <w:rFonts w:ascii="Times New Roman" w:hAnsi="Times New Roman" w:cs="Times New Roman" w:eastAsia="Times New Roman" w:hint="default"/>
          <w:spacing w:val="-2"/>
        </w:rPr>
        <w:t>,</w:t>
      </w:r>
      <w:r>
        <w:rPr>
          <w:spacing w:val="-2"/>
        </w:rPr>
        <w:t>使用权面积</w:t>
      </w:r>
      <w:r>
        <w:rPr>
          <w:rFonts w:ascii="Times New Roman" w:hAnsi="Times New Roman" w:cs="Times New Roman" w:eastAsia="Times New Roman" w:hint="default"/>
          <w:spacing w:val="-2"/>
        </w:rPr>
        <w:t>62585.09</w:t>
      </w:r>
      <w:r>
        <w:rPr>
          <w:spacing w:val="-2"/>
        </w:rPr>
        <w:t>平方米。</w:t>
      </w:r>
      <w:r>
        <w:rPr>
          <w:spacing w:val="-61"/>
        </w:rPr>
        <w:t> </w:t>
      </w:r>
      <w:r>
        <w:rPr>
          <w:spacing w:val="-61"/>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日，马鞍山榕基与马鞍山市国土资源局签订《国有建设用地使用权出让合同》。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日马鞍山榕基取 得马鞍山市人民政府下发的《中华人民共和国国有土地使用证》（马国有</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84065</w:t>
      </w:r>
      <w:r>
        <w:rPr/>
        <w:t>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月，应当地政府及项 </w:t>
      </w:r>
      <w:r>
        <w:rPr>
          <w:spacing w:val="-2"/>
        </w:rPr>
        <w:t>目建设要求，马鞍山榕基全资设立了马鞍山榕基置业投资有限公司（注册资本</w:t>
      </w:r>
      <w:r>
        <w:rPr>
          <w:rFonts w:ascii="Times New Roman" w:hAnsi="Times New Roman" w:cs="Times New Roman" w:eastAsia="Times New Roman" w:hint="default"/>
          <w:spacing w:val="-2"/>
        </w:rPr>
        <w:t>800</w:t>
      </w:r>
      <w:r>
        <w:rPr>
          <w:spacing w:val="-2"/>
        </w:rPr>
        <w:t>万元）负责建设</w:t>
      </w:r>
      <w:r>
        <w:rPr>
          <w:rFonts w:ascii="Times New Roman" w:hAnsi="Times New Roman" w:cs="Times New Roman" w:eastAsia="Times New Roman" w:hint="default"/>
          <w:spacing w:val="-2"/>
        </w:rPr>
        <w:t>“</w:t>
      </w:r>
      <w:r>
        <w:rPr>
          <w:spacing w:val="-2"/>
        </w:rPr>
        <w:t>马鞍山智慧园项目一期工</w:t>
      </w:r>
      <w:r>
        <w:rPr>
          <w:spacing w:val="-50"/>
        </w:rPr>
        <w:t> </w:t>
      </w:r>
      <w:r>
        <w:rPr/>
        <w:t>程</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日马鞍山榕基将原取得的上述土地转让给马鞍山榕基置业投资有限公司（《中华人民共和国国有土地使 </w:t>
      </w:r>
      <w:r>
        <w:rPr>
          <w:spacing w:val="-2"/>
        </w:rPr>
        <w:t>用证》（马国有</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84996</w:t>
      </w:r>
      <w:r>
        <w:rPr>
          <w:spacing w:val="-2"/>
        </w:rPr>
        <w:t>号））。马鞍山智慧园项目一期工程于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月动工，预计总投资额为</w:t>
      </w:r>
      <w:r>
        <w:rPr>
          <w:rFonts w:ascii="Times New Roman" w:hAnsi="Times New Roman" w:cs="Times New Roman" w:eastAsia="Times New Roman" w:hint="default"/>
          <w:spacing w:val="-2"/>
        </w:rPr>
        <w:t>1.5</w:t>
      </w:r>
      <w:r>
        <w:rPr>
          <w:spacing w:val="-2"/>
        </w:rPr>
        <w:t>亿元，截至报告期</w:t>
      </w:r>
      <w:r>
        <w:rPr>
          <w:spacing w:val="-33"/>
        </w:rPr>
        <w:t> </w:t>
      </w:r>
      <w:r>
        <w:rPr>
          <w:spacing w:val="-33"/>
        </w:rPr>
      </w:r>
      <w:r>
        <w:rPr/>
        <w:t>末，项目已投入资金约</w:t>
      </w:r>
      <w:r>
        <w:rPr>
          <w:rFonts w:ascii="Times New Roman" w:hAnsi="Times New Roman" w:cs="Times New Roman" w:eastAsia="Times New Roman" w:hint="default"/>
        </w:rPr>
        <w:t>1.43</w:t>
      </w:r>
      <w:r>
        <w:rPr/>
        <w:t>亿元。</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40" w:lineRule="auto" w:before="44"/>
        <w:ind w:left="153" w:right="2456"/>
        <w:jc w:val="left"/>
      </w:pPr>
      <w:r>
        <w:rPr/>
        <w:t>《</w:t>
      </w:r>
      <w:r>
        <w:rPr>
          <w:rFonts w:ascii="Times New Roman" w:hAnsi="Times New Roman" w:cs="Times New Roman" w:eastAsia="Times New Roman" w:hint="default"/>
        </w:rPr>
        <w:t>2015</w:t>
      </w:r>
      <w:r>
        <w:rPr/>
        <w:t>年年度社会责任报告》已经披露于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日巨潮资讯网（</w:t>
      </w:r>
      <w:hyperlink r:id="rId14">
        <w:r>
          <w:rPr>
            <w:rFonts w:ascii="Times New Roman" w:hAnsi="Times New Roman" w:cs="Times New Roman" w:eastAsia="Times New Roman" w:hint="default"/>
          </w:rPr>
          <w:t>www.cninfo.com.cn</w:t>
        </w:r>
      </w:hyperlink>
      <w:r>
        <w:rPr/>
        <w:t>）。 上市公司及其子公司是否属于国家环境保护部门规定的重污染行业</w:t>
      </w:r>
    </w:p>
    <w:p>
      <w:pPr>
        <w:pStyle w:val="BodyText"/>
        <w:spacing w:line="240" w:lineRule="auto" w:before="41"/>
        <w:ind w:left="153"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704"/>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704"/>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134"/>
        <w:gridCol w:w="755"/>
        <w:gridCol w:w="522"/>
        <w:gridCol w:w="566"/>
        <w:gridCol w:w="708"/>
        <w:gridCol w:w="1134"/>
        <w:gridCol w:w="994"/>
        <w:gridCol w:w="980"/>
        <w:gridCol w:w="794"/>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225,744,908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36.28%</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182,623,061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225,744,908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36.28%</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182,623,061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225,744,908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36.28%</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-43,121,847</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182,623,061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396,455,092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63.72%</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43,121,847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43,121,847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439,576,939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396,455,092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63.72%</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43,121,847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43,121,847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439,576,939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622,200,000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100.00%</w:t>
            </w:r>
          </w:p>
        </w:tc>
        <w:tc>
          <w:tcPr>
            <w:tcW w:w="52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622,200,000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704"/>
        <w:jc w:val="left"/>
      </w:pPr>
      <w:r>
        <w:rPr/>
        <w:t>股份变动的原因</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704"/>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274"/>
        <w:gridCol w:w="923"/>
        <w:gridCol w:w="490"/>
        <w:gridCol w:w="748"/>
        <w:gridCol w:w="1154"/>
        <w:gridCol w:w="179"/>
        <w:gridCol w:w="850"/>
        <w:gridCol w:w="167"/>
        <w:gridCol w:w="967"/>
        <w:gridCol w:w="230"/>
        <w:gridCol w:w="762"/>
        <w:gridCol w:w="434"/>
        <w:gridCol w:w="133"/>
        <w:gridCol w:w="1062"/>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67,470</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88,193</w:t>
            </w:r>
          </w:p>
        </w:tc>
        <w:tc>
          <w:tcPr>
            <w:tcW w:w="11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501" w:right="101"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12" w:right="10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1333" w:type="dxa"/>
            <w:gridSpan w:val="2"/>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23.09%</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143,655,740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107,741,805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35,913,935</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10.20%</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63,487,766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1" w:right="0"/>
              <w:jc w:val="left"/>
              <w:rPr>
                <w:rFonts w:ascii="Times New Roman" w:hAnsi="Times New Roman" w:cs="Times New Roman" w:eastAsia="Times New Roman" w:hint="default"/>
                <w:sz w:val="18"/>
                <w:szCs w:val="18"/>
              </w:rPr>
            </w:pPr>
            <w:r>
              <w:rPr>
                <w:rFonts w:ascii="Times New Roman"/>
                <w:sz w:val="18"/>
              </w:rPr>
              <w:t>47,615,824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15,871,942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1.10%</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6,850,000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5,220,000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1,630,000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南方绩优成长股 票型证券投资基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6,499,962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0.87%</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5,396,146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4,197,109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1,199,037</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4,262,995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4,262,995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3,994,160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3,994,160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份有限公司－农 银汇理中小盘混 合型证券投资基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3,847,777</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3,847,777</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中国邮政储蓄银 行股份有限公司</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－农银汇理消费</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80" w:right="0"/>
              <w:jc w:val="left"/>
              <w:rPr>
                <w:rFonts w:ascii="Times New Roman" w:hAnsi="Times New Roman" w:cs="Times New Roman" w:eastAsia="Times New Roman" w:hint="default"/>
                <w:sz w:val="18"/>
                <w:szCs w:val="18"/>
              </w:rPr>
            </w:pPr>
            <w:r>
              <w:rPr>
                <w:rFonts w:ascii="Times New Roman"/>
                <w:sz w:val="18"/>
              </w:rPr>
              <w:t>3,581,400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9" w:right="0"/>
              <w:jc w:val="left"/>
              <w:rPr>
                <w:rFonts w:ascii="Times New Roman" w:hAnsi="Times New Roman" w:cs="Times New Roman" w:eastAsia="Times New Roman" w:hint="default"/>
                <w:sz w:val="18"/>
                <w:szCs w:val="18"/>
              </w:rPr>
            </w:pPr>
            <w:r>
              <w:rPr>
                <w:rFonts w:ascii="Times New Roman"/>
                <w:sz w:val="18"/>
              </w:rPr>
              <w:t>3,581,400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1292"/>
        <w:gridCol w:w="850"/>
        <w:gridCol w:w="1097"/>
        <w:gridCol w:w="1030"/>
        <w:gridCol w:w="282"/>
        <w:gridCol w:w="286"/>
        <w:gridCol w:w="1062"/>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主题混合型证券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份有限公司－易 方达创新驱动灵 活配置混合型证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39" w:right="0"/>
              <w:jc w:val="left"/>
              <w:rPr>
                <w:rFonts w:ascii="Times New Roman" w:hAnsi="Times New Roman" w:cs="Times New Roman" w:eastAsia="Times New Roman" w:hint="default"/>
                <w:sz w:val="18"/>
                <w:szCs w:val="18"/>
              </w:rPr>
            </w:pPr>
            <w:r>
              <w:rPr>
                <w:rFonts w:ascii="Times New Roman"/>
                <w:sz w:val="18"/>
              </w:rPr>
              <w:t>3,572,726</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3,572,726</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6" w:type="dxa"/>
            <w:gridSpan w:val="8"/>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8"/>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pacing w:val="-1"/>
                <w:sz w:val="18"/>
                <w:szCs w:val="18"/>
              </w:rPr>
              <w:t>公司前十名股东中，鲁波为鲁峰之胞兄。除上述情况外，其他前十名股东之间未知是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否存在关联关系，也未知是否属于一致行动人。</w:t>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027"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2659"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7"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59"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4027" w:type="dxa"/>
            <w:gridSpan w:val="4"/>
            <w:vMerge/>
            <w:tcBorders>
              <w:left w:val="single" w:sz="4" w:space="0" w:color="000000"/>
              <w:bottom w:val="nil" w:sz="6" w:space="0" w:color="auto"/>
              <w:right w:val="single" w:sz="4" w:space="0" w:color="000000"/>
            </w:tcBorders>
            <w:shd w:val="clear" w:color="auto" w:fill="D3D3D3"/>
          </w:tcPr>
          <w:p>
            <w:pPr/>
          </w:p>
        </w:tc>
        <w:tc>
          <w:tcPr>
            <w:tcW w:w="13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027"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312" w:type="dxa"/>
            <w:gridSpan w:val="2"/>
            <w:vMerge/>
            <w:tcBorders>
              <w:left w:val="single" w:sz="4" w:space="0" w:color="000000"/>
              <w:bottom w:val="single" w:sz="4" w:space="0" w:color="000000"/>
              <w:right w:val="single" w:sz="4" w:space="0" w:color="000000"/>
            </w:tcBorders>
            <w:shd w:val="clear" w:color="auto" w:fill="D3D3D3"/>
          </w:tcPr>
          <w:p>
            <w:pPr/>
          </w:p>
        </w:tc>
        <w:tc>
          <w:tcPr>
            <w:tcW w:w="1348"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35,913,935</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35,913,935</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15,871,942</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15,871,942</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中国工商银行－南方绩优成长股票 型证券投资基金</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6,499,962</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6,499,962</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3,994,160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3,994,160</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中国建设银行股份有限公司－农银 汇理中小盘混合型证券投资基金</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3,847,777</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3,847,777</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中国邮政储蓄银行股份有限公司－ 农银汇理消费主题混合型证券投资 基金</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3,581,400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3,581,400</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中国建设银行股份有限公司－易方 达创新驱动灵活配置混合型证券投 资基金</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3,572,726</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3,572,726</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候强</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3,370,000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3,370,000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黄豪</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3,000,000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广发证券股份有限公司－大成睿景 灵活配置混合型证券投资基金</w:t>
            </w:r>
          </w:p>
        </w:tc>
        <w:tc>
          <w:tcPr>
            <w:tcW w:w="40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2,555,056</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2,555,056</w:t>
            </w:r>
          </w:p>
        </w:tc>
      </w:tr>
      <w:tr>
        <w:trPr>
          <w:trHeight w:val="133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pacing w:val="-1"/>
                <w:sz w:val="18"/>
                <w:szCs w:val="18"/>
              </w:rPr>
              <w:t>公司前十名股东中，鲁波为鲁峰之胞兄，候强为侯伟之胞弟。除上述情况外，其他前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十名股东之间未知是否存在关联关系，也未知是否属于一致行动人。</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黄豪参与融资融券，信用证券账户持有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70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70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1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704"/>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43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704"/>
        <w:jc w:val="left"/>
      </w:pPr>
      <w:r>
        <w:rPr/>
        <w:t>实际控制人报告期内变更</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22"/>
          <w:szCs w:val="22"/>
        </w:rPr>
      </w:pPr>
    </w:p>
    <w:p>
      <w:pPr>
        <w:spacing w:line="2895" w:lineRule="exact"/>
        <w:ind w:left="235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326057" cy="18383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3326057"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0"/>
        <w:rPr>
          <w:rFonts w:ascii="宋体" w:hAnsi="宋体" w:cs="宋体" w:eastAsia="宋体" w:hint="default"/>
          <w:sz w:val="24"/>
          <w:szCs w:val="24"/>
        </w:rPr>
      </w:pPr>
    </w:p>
    <w:p>
      <w:pPr>
        <w:pStyle w:val="BodyText"/>
        <w:spacing w:line="240" w:lineRule="auto"/>
        <w:ind w:right="704"/>
        <w:jc w:val="left"/>
      </w:pPr>
      <w:r>
        <w:rPr/>
        <w:t>实际控制人通过信托或其他资产管理方式控制公司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704"/>
        <w:jc w:val="left"/>
        <w:rPr>
          <w:b w:val="0"/>
          <w:bCs w:val="0"/>
        </w:rPr>
      </w:pPr>
      <w:bookmarkStart w:name="_TOC_250003"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704"/>
        <w:jc w:val="left"/>
        <w:rPr>
          <w:b w:val="0"/>
          <w:bCs w:val="0"/>
        </w:rPr>
      </w:pPr>
      <w:bookmarkStart w:name="_TOC_250002"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704"/>
        <w:jc w:val="left"/>
        <w:rPr>
          <w:b w:val="0"/>
          <w:bCs w:val="0"/>
        </w:rPr>
      </w:pPr>
      <w:r>
        <w:rPr/>
        <w:pict>
          <v:shape style="position:absolute;margin-left:471.480011pt;margin-top:33.035938pt;width:63.55pt;height:50.8pt;mso-position-horizontal-relative:page;mso-position-vertical-relative:paragraph;z-index:-11428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w:t>
      </w:r>
      <w:r>
        <w:rPr>
          <w:spacing w:val="-109"/>
        </w:rPr>
        <w:t> </w:t>
      </w:r>
      <w:r>
        <w:rPr/>
        <w:t>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143,655,7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长、常务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63,487,76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63,487,76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5,596,146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5,396,146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5,683,994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1,420,999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4,262,995</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5,900,342</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3,687,714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2,212,628</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4,049,610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580,878</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3,468,732</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2,170,000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430,000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1,740,000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220,000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1,839,000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1,560,000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1,740,000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1,160,990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1,160,990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2,541,990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8,122,591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238,754,9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r>
    </w:tbl>
    <w:p>
      <w:pPr>
        <w:spacing w:line="240" w:lineRule="auto" w:before="2"/>
        <w:rPr>
          <w:rFonts w:ascii="宋体" w:hAnsi="宋体" w:cs="宋体" w:eastAsia="宋体" w:hint="default"/>
          <w:b/>
          <w:bCs/>
          <w:sz w:val="18"/>
          <w:szCs w:val="18"/>
        </w:rPr>
      </w:pPr>
    </w:p>
    <w:p>
      <w:pPr>
        <w:pStyle w:val="Heading2"/>
        <w:spacing w:line="240" w:lineRule="auto" w:before="26"/>
        <w:ind w:right="704"/>
        <w:jc w:val="left"/>
        <w:rPr>
          <w:b w:val="0"/>
          <w:bCs w:val="0"/>
        </w:rPr>
      </w:pPr>
      <w:r>
        <w:rPr/>
        <w:t>二、</w:t>
      </w:r>
      <w:r>
        <w:rPr>
          <w:spacing w:val="-93"/>
        </w:rPr>
        <w:t> </w:t>
      </w:r>
      <w:r>
        <w:rPr/>
        <w:t>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026"/>
        <w:gridCol w:w="1633"/>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026"/>
        <w:gridCol w:w="1633"/>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被选举为公司董事</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2791"/>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300" w:lineRule="auto" w:before="1"/>
        <w:ind w:left="153" w:right="91" w:firstLine="420"/>
        <w:jc w:val="left"/>
      </w:pPr>
      <w:r>
        <w:rPr/>
        <w:t>鲁峰：中国国籍，无境外永久居留权，男，</w:t>
      </w:r>
      <w:r>
        <w:rPr>
          <w:rFonts w:ascii="Times New Roman" w:hAnsi="Times New Roman" w:cs="Times New Roman" w:eastAsia="Times New Roman" w:hint="default"/>
        </w:rPr>
        <w:t>1967</w:t>
      </w:r>
      <w:r>
        <w:rPr/>
        <w:t>年生，毕业于中科院沈阳计算技术研究所，研究生学历，工学硕士学</w:t>
      </w:r>
      <w:r>
        <w:rPr>
          <w:spacing w:val="1"/>
        </w:rPr>
        <w:t> </w:t>
      </w:r>
      <w:r>
        <w:rPr>
          <w:spacing w:val="-2"/>
        </w:rPr>
        <w:t>位。长期从事行业应用软件开发及计算机信息系统集成工作，</w:t>
      </w:r>
      <w:r>
        <w:rPr>
          <w:rFonts w:ascii="Times New Roman" w:hAnsi="Times New Roman" w:cs="Times New Roman" w:eastAsia="Times New Roman" w:hint="default"/>
          <w:spacing w:val="-2"/>
        </w:rPr>
        <w:t>1993</w:t>
      </w:r>
      <w:r>
        <w:rPr>
          <w:spacing w:val="-2"/>
        </w:rPr>
        <w:t>年参与创建福建榕基软件开发有限公司，主持业务、研发</w:t>
      </w:r>
      <w:r>
        <w:rPr>
          <w:spacing w:val="-62"/>
        </w:rPr>
        <w:t> </w:t>
      </w:r>
      <w:r>
        <w:rPr>
          <w:spacing w:val="-62"/>
        </w:rPr>
      </w:r>
      <w:r>
        <w:rPr/>
        <w:t>和技术管理工作。</w:t>
      </w:r>
      <w:r>
        <w:rPr>
          <w:rFonts w:ascii="Times New Roman" w:hAnsi="Times New Roman" w:cs="Times New Roman" w:eastAsia="Times New Roman" w:hint="default"/>
        </w:rPr>
        <w:t>2004</w:t>
      </w:r>
      <w:r>
        <w:rPr/>
        <w:t>年，荣获福建省人事厅、信息产业厅颁发的</w:t>
      </w:r>
      <w:r>
        <w:rPr>
          <w:rFonts w:ascii="Times New Roman" w:hAnsi="Times New Roman" w:cs="Times New Roman" w:eastAsia="Times New Roman" w:hint="default"/>
        </w:rPr>
        <w:t>“</w:t>
      </w:r>
      <w:r>
        <w:rPr/>
        <w:t>首届福建省软件杰出人才</w:t>
      </w:r>
      <w:r>
        <w:rPr>
          <w:rFonts w:ascii="Times New Roman" w:hAnsi="Times New Roman" w:cs="Times New Roman" w:eastAsia="Times New Roman" w:hint="default"/>
        </w:rPr>
        <w:t>”</w:t>
      </w:r>
      <w:r>
        <w:rPr/>
        <w:t>荣誉称号。</w:t>
      </w:r>
      <w:r>
        <w:rPr>
          <w:rFonts w:ascii="Times New Roman" w:hAnsi="Times New Roman" w:cs="Times New Roman" w:eastAsia="Times New Roman" w:hint="default"/>
        </w:rPr>
        <w:t>2006</w:t>
      </w:r>
      <w:r>
        <w:rPr/>
        <w:t>年，荣获福建 </w:t>
      </w:r>
      <w:r>
        <w:rPr>
          <w:spacing w:val="-2"/>
          <w:w w:val="100"/>
        </w:rPr>
        <w:t>省</w:t>
      </w:r>
      <w:r>
        <w:rPr>
          <w:rFonts w:ascii="Times New Roman" w:hAnsi="Times New Roman" w:cs="Times New Roman" w:eastAsia="Times New Roman" w:hint="default"/>
          <w:spacing w:val="-2"/>
          <w:w w:val="100"/>
        </w:rPr>
        <w:t>“</w:t>
      </w:r>
      <w:r>
        <w:rPr>
          <w:spacing w:val="-2"/>
          <w:w w:val="100"/>
        </w:rPr>
        <w:t>五一</w:t>
      </w:r>
      <w:r>
        <w:rPr>
          <w:rFonts w:ascii="Times New Roman" w:hAnsi="Times New Roman" w:cs="Times New Roman" w:eastAsia="Times New Roman" w:hint="default"/>
          <w:spacing w:val="-2"/>
          <w:w w:val="100"/>
        </w:rPr>
        <w:t>”</w:t>
      </w:r>
      <w:r>
        <w:rPr>
          <w:spacing w:val="-2"/>
          <w:w w:val="100"/>
        </w:rPr>
        <w:t>劳动奖章，获得福建省</w:t>
      </w:r>
      <w:r>
        <w:rPr>
          <w:rFonts w:ascii="Times New Roman" w:hAnsi="Times New Roman" w:cs="Times New Roman" w:eastAsia="Times New Roman" w:hint="default"/>
          <w:spacing w:val="-2"/>
          <w:w w:val="100"/>
        </w:rPr>
        <w:t>“</w:t>
      </w:r>
      <w:r>
        <w:rPr>
          <w:spacing w:val="-2"/>
          <w:w w:val="100"/>
        </w:rPr>
        <w:t>新长征突击手</w:t>
      </w:r>
      <w:r>
        <w:rPr>
          <w:rFonts w:ascii="Times New Roman" w:hAnsi="Times New Roman" w:cs="Times New Roman" w:eastAsia="Times New Roman" w:hint="default"/>
          <w:spacing w:val="-2"/>
          <w:w w:val="100"/>
        </w:rPr>
        <w:t>”</w:t>
      </w:r>
      <w:r>
        <w:rPr>
          <w:spacing w:val="-2"/>
          <w:w w:val="100"/>
        </w:rPr>
        <w:t>和</w:t>
      </w:r>
      <w:r>
        <w:rPr>
          <w:rFonts w:ascii="Times New Roman" w:hAnsi="Times New Roman" w:cs="Times New Roman" w:eastAsia="Times New Roman" w:hint="default"/>
          <w:spacing w:val="-2"/>
          <w:w w:val="100"/>
        </w:rPr>
        <w:t>“2006</w:t>
      </w:r>
      <w:r>
        <w:rPr>
          <w:spacing w:val="-2"/>
          <w:w w:val="100"/>
        </w:rPr>
        <w:t>中国信息产业年度</w:t>
      </w:r>
      <w:r>
        <w:rPr>
          <w:rFonts w:ascii="Times New Roman" w:hAnsi="Times New Roman" w:cs="Times New Roman" w:eastAsia="Times New Roman" w:hint="default"/>
          <w:spacing w:val="-2"/>
          <w:w w:val="100"/>
        </w:rPr>
        <w:t>10</w:t>
      </w:r>
      <w:r>
        <w:rPr>
          <w:spacing w:val="-2"/>
          <w:w w:val="100"/>
        </w:rPr>
        <w:t>大新锐人物</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30"/>
          <w:w w:val="100"/>
        </w:rPr>
        <w:t> </w:t>
      </w:r>
      <w:r>
        <w:rPr>
          <w:spacing w:val="-5"/>
          <w:w w:val="100"/>
        </w:rPr>
        <w:t>、第三届</w:t>
      </w:r>
      <w:r>
        <w:rPr>
          <w:rFonts w:ascii="Times New Roman" w:hAnsi="Times New Roman" w:cs="Times New Roman" w:eastAsia="Times New Roman" w:hint="default"/>
          <w:spacing w:val="-5"/>
          <w:w w:val="100"/>
        </w:rPr>
        <w:t>“</w:t>
      </w:r>
      <w:r>
        <w:rPr>
          <w:spacing w:val="-5"/>
          <w:w w:val="100"/>
        </w:rPr>
        <w:t>中国软件行业杰出青年</w:t>
      </w:r>
      <w:r>
        <w:rPr>
          <w:rFonts w:ascii="Times New Roman" w:hAnsi="Times New Roman" w:cs="Times New Roman" w:eastAsia="Times New Roman" w:hint="default"/>
          <w:spacing w:val="-5"/>
          <w:w w:val="100"/>
        </w:rPr>
        <w:t>”</w:t>
      </w:r>
      <w:r>
        <w:rPr>
          <w:spacing w:val="-5"/>
          <w:w w:val="100"/>
        </w:rPr>
        <w:t>、</w:t>
      </w:r>
      <w:r>
        <w:rPr/>
        <w:t> </w:t>
      </w:r>
      <w:r>
        <w:rPr>
          <w:rFonts w:ascii="Times New Roman" w:hAnsi="Times New Roman" w:cs="Times New Roman" w:eastAsia="Times New Roman" w:hint="default"/>
        </w:rPr>
        <w:t>“</w:t>
      </w:r>
      <w:r>
        <w:rPr/>
        <w:t>海西创业英才</w:t>
      </w:r>
      <w:r>
        <w:rPr>
          <w:rFonts w:ascii="Times New Roman" w:hAnsi="Times New Roman" w:cs="Times New Roman" w:eastAsia="Times New Roman" w:hint="default"/>
        </w:rPr>
        <w:t>”</w:t>
      </w:r>
      <w:r>
        <w:rPr/>
        <w:t>等荣誉称号。现任公司董事长、总裁、上海榕基软件开发有限公司执行董事、福建亿榕信息技术有限公司董 事、福建榕基软件工程有限公司执行董事。</w:t>
      </w:r>
    </w:p>
    <w:p>
      <w:pPr>
        <w:pStyle w:val="BodyText"/>
        <w:spacing w:line="309" w:lineRule="auto" w:before="70"/>
        <w:ind w:right="188" w:firstLine="420"/>
        <w:jc w:val="both"/>
      </w:pPr>
      <w:r>
        <w:rPr/>
        <w:t>侯伟：中国国籍，无境外永久居留权，男，</w:t>
      </w:r>
      <w:r>
        <w:rPr>
          <w:rFonts w:ascii="Times New Roman" w:hAnsi="Times New Roman" w:cs="Times New Roman" w:eastAsia="Times New Roman" w:hint="default"/>
        </w:rPr>
        <w:t>1966</w:t>
      </w:r>
      <w:r>
        <w:rPr/>
        <w:t>年生，毕业于郑州大学，本科学历，学士学位。</w:t>
      </w:r>
      <w:r>
        <w:rPr>
          <w:rFonts w:ascii="Times New Roman" w:hAnsi="Times New Roman" w:cs="Times New Roman" w:eastAsia="Times New Roman" w:hint="default"/>
        </w:rPr>
        <w:t>1993</w:t>
      </w:r>
      <w:r>
        <w:rPr/>
        <w:t>年至今在公司工</w:t>
      </w:r>
      <w:r>
        <w:rPr>
          <w:spacing w:val="1"/>
        </w:rPr>
        <w:t> </w:t>
      </w:r>
      <w:r>
        <w:rPr>
          <w:spacing w:val="-2"/>
        </w:rPr>
        <w:t>作，长期从事公司内务管理和市场管理工作。现任公司副董事长、常务副总裁、浙江榕基信息技术有限公司董事长、福建亿</w:t>
      </w:r>
      <w:r>
        <w:rPr>
          <w:spacing w:val="-66"/>
        </w:rPr>
        <w:t> </w:t>
      </w:r>
      <w:r>
        <w:rPr>
          <w:spacing w:val="-66"/>
        </w:rPr>
      </w:r>
      <w:r>
        <w:rPr/>
        <w:t>榕信息技术有限公司董事、星榕基董事长。</w:t>
      </w:r>
    </w:p>
    <w:p>
      <w:pPr>
        <w:pStyle w:val="BodyText"/>
        <w:spacing w:line="300" w:lineRule="auto" w:before="64"/>
        <w:ind w:right="187" w:firstLine="420"/>
        <w:jc w:val="both"/>
      </w:pPr>
      <w:r>
        <w:rPr/>
        <w:t>陈明平：中国国籍，无境外永久居留权，男，</w:t>
      </w:r>
      <w:r>
        <w:rPr>
          <w:rFonts w:ascii="Times New Roman" w:hAnsi="Times New Roman" w:cs="Times New Roman" w:eastAsia="Times New Roman" w:hint="default"/>
        </w:rPr>
        <w:t>1974</w:t>
      </w:r>
      <w:r>
        <w:rPr/>
        <w:t>年生，毕业于北京理工大学，本科学历，工程师。长期从事行业应</w:t>
      </w:r>
      <w:r>
        <w:rPr>
          <w:spacing w:val="1"/>
        </w:rPr>
        <w:t> </w:t>
      </w:r>
      <w:r>
        <w:rPr>
          <w:spacing w:val="-2"/>
        </w:rPr>
        <w:t>用软件开发及计算机信息系统集成工作，</w:t>
      </w:r>
      <w:r>
        <w:rPr>
          <w:rFonts w:ascii="Times New Roman" w:hAnsi="Times New Roman" w:cs="Times New Roman" w:eastAsia="Times New Roman" w:hint="default"/>
          <w:spacing w:val="-2"/>
        </w:rPr>
        <w:t>2001</w:t>
      </w:r>
      <w:r>
        <w:rPr>
          <w:spacing w:val="-2"/>
        </w:rPr>
        <w:t>年加入公司，负责企业技术开发及管理工作。具有较强的技术管理能力，负责</w:t>
      </w:r>
      <w:r>
        <w:rPr>
          <w:spacing w:val="-62"/>
        </w:rPr>
        <w:t> </w:t>
      </w:r>
      <w:r>
        <w:rPr>
          <w:spacing w:val="-62"/>
        </w:rPr>
      </w:r>
      <w:r>
        <w:rPr>
          <w:spacing w:val="-3"/>
        </w:rPr>
        <w:t>公司技术管理体系的建设和维护，对软件行业具有深入的理解和丰富的实践经验，曾获</w:t>
      </w:r>
      <w:r>
        <w:rPr>
          <w:rFonts w:ascii="Times New Roman" w:hAnsi="Times New Roman" w:cs="Times New Roman" w:eastAsia="Times New Roman" w:hint="default"/>
          <w:spacing w:val="-3"/>
        </w:rPr>
        <w:t>“</w:t>
      </w:r>
      <w:r>
        <w:rPr>
          <w:spacing w:val="-3"/>
        </w:rPr>
        <w:t>首届福建</w:t>
      </w:r>
      <w:r>
        <w:rPr>
          <w:rFonts w:ascii="Times New Roman" w:hAnsi="Times New Roman" w:cs="Times New Roman" w:eastAsia="Times New Roman" w:hint="default"/>
          <w:spacing w:val="-3"/>
        </w:rPr>
        <w:t>IT</w:t>
      </w:r>
      <w:r>
        <w:rPr>
          <w:spacing w:val="-3"/>
        </w:rPr>
        <w:t>行业十大杰出青年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第</w:t>
      </w:r>
      <w:r>
        <w:rPr>
          <w:spacing w:val="-56"/>
        </w:rPr>
        <w:t> </w:t>
      </w:r>
      <w:r>
        <w:rPr>
          <w:spacing w:val="-1"/>
        </w:rPr>
        <w:t>二届福建省软件杰出人才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第二届福州市杰出科技人员</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第十二届福建青年科技奖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中国电子学会电子信息科学技术</w:t>
      </w:r>
      <w:r>
        <w:rPr>
          <w:spacing w:val="-59"/>
        </w:rPr>
        <w:t> </w:t>
      </w:r>
      <w:r>
        <w:rPr>
          <w:spacing w:val="-59"/>
        </w:rPr>
      </w:r>
      <w:r>
        <w:rPr/>
        <w:t>奖二等奖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。现任公司董事、副总裁兼技术总监、福</w:t>
      </w:r>
      <w:r>
        <w:rPr>
          <w:spacing w:val="-45"/>
        </w:rPr>
        <w:t> </w:t>
      </w:r>
      <w:r>
        <w:rPr>
          <w:spacing w:val="-45"/>
        </w:rPr>
      </w:r>
      <w:r>
        <w:rPr/>
        <w:t>建榕基软件工程有限公司总经理。</w:t>
      </w:r>
    </w:p>
    <w:p>
      <w:pPr>
        <w:pStyle w:val="BodyText"/>
        <w:spacing w:line="302" w:lineRule="auto" w:before="70"/>
        <w:ind w:right="191" w:firstLine="420"/>
        <w:jc w:val="both"/>
      </w:pPr>
      <w:r>
        <w:rPr/>
        <w:t>杨学圆：中国国籍，无境外永久居留权，男，</w:t>
      </w:r>
      <w:r>
        <w:rPr>
          <w:rFonts w:ascii="Times New Roman" w:hAnsi="Times New Roman" w:cs="Times New Roman" w:eastAsia="Times New Roman" w:hint="default"/>
        </w:rPr>
        <w:t>1969</w:t>
      </w:r>
      <w:r>
        <w:rPr/>
        <w:t>年生，在读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月至今就职于公司，长期从事市场开拓 工作。现任公司董事。 </w:t>
      </w:r>
    </w:p>
    <w:p>
      <w:pPr>
        <w:pStyle w:val="BodyText"/>
        <w:spacing w:line="302" w:lineRule="auto" w:before="68"/>
        <w:ind w:left="153" w:right="188" w:firstLine="420"/>
        <w:jc w:val="both"/>
      </w:pPr>
      <w:r>
        <w:rPr/>
        <w:t>刘景燕：中国国籍，无境外永久居留权，女，</w:t>
      </w:r>
      <w:r>
        <w:rPr>
          <w:rFonts w:ascii="Times New Roman" w:hAnsi="Times New Roman" w:cs="Times New Roman" w:eastAsia="Times New Roman" w:hint="default"/>
        </w:rPr>
        <w:t>1973</w:t>
      </w:r>
      <w:r>
        <w:rPr/>
        <w:t>年生，工程硕士。</w:t>
      </w:r>
      <w:r>
        <w:rPr>
          <w:rFonts w:ascii="Times New Roman" w:hAnsi="Times New Roman" w:cs="Times New Roman" w:eastAsia="Times New Roman" w:hint="default"/>
        </w:rPr>
        <w:t>1999</w:t>
      </w:r>
      <w:r>
        <w:rPr/>
        <w:t>年加入公司，先后担任项目管理部经理，运</w:t>
      </w:r>
      <w:r>
        <w:rPr>
          <w:spacing w:val="1"/>
        </w:rPr>
        <w:t> </w:t>
      </w:r>
      <w:r>
        <w:rPr/>
        <w:t>营总监。具有较强的经营管理能力，负责公司企业运营管理工作。现任公司董事。</w:t>
      </w:r>
    </w:p>
    <w:p>
      <w:pPr>
        <w:pStyle w:val="BodyText"/>
        <w:spacing w:line="307" w:lineRule="auto" w:before="69"/>
        <w:ind w:left="153" w:right="187" w:firstLine="420"/>
        <w:jc w:val="both"/>
      </w:pPr>
      <w:r>
        <w:rPr/>
        <w:t>刘微芳：中国国籍，无境外永久居留权，女，</w:t>
      </w:r>
      <w:r>
        <w:rPr>
          <w:rFonts w:ascii="Times New Roman" w:hAnsi="Times New Roman" w:cs="Times New Roman" w:eastAsia="Times New Roman" w:hint="default"/>
        </w:rPr>
        <w:t>1970</w:t>
      </w:r>
      <w:r>
        <w:rPr/>
        <w:t>年生，中共党员，研究生学历，副教授，中国注册会计师，中国注</w:t>
      </w:r>
      <w:r>
        <w:rPr>
          <w:spacing w:val="1"/>
        </w:rPr>
        <w:t> </w:t>
      </w:r>
      <w:r>
        <w:rPr/>
        <w:t>册资产评估师。曾任福州大学管理学院专业学位教育中心副主任，福州大学</w:t>
      </w:r>
      <w:r>
        <w:rPr>
          <w:rFonts w:ascii="Times New Roman" w:hAnsi="Times New Roman" w:cs="Times New Roman" w:eastAsia="Times New Roman" w:hint="default"/>
        </w:rPr>
        <w:t>MBA</w:t>
      </w:r>
      <w:r>
        <w:rPr/>
        <w:t>教育中心办公室副主任。现任福州大学管</w:t>
      </w:r>
      <w:r>
        <w:rPr>
          <w:spacing w:val="-51"/>
        </w:rPr>
        <w:t> </w:t>
      </w:r>
      <w:r>
        <w:rPr>
          <w:spacing w:val="-51"/>
        </w:rPr>
      </w:r>
      <w:r>
        <w:rPr>
          <w:spacing w:val="-2"/>
        </w:rPr>
        <w:t>理学院会计系副教授，硕士生导师，福州大学管理学院创业投资与企业财务管理研究所副所长，福建三钢闽光股份有限公司</w:t>
      </w:r>
      <w:r>
        <w:rPr>
          <w:spacing w:val="-66"/>
        </w:rPr>
        <w:t> </w:t>
      </w:r>
      <w:r>
        <w:rPr>
          <w:spacing w:val="-66"/>
        </w:rPr>
      </w:r>
      <w:r>
        <w:rPr/>
        <w:t>独立董事、福建三鑫隆信息技术开发股份有限公司。现任公司独立董事。</w:t>
      </w:r>
    </w:p>
    <w:p>
      <w:pPr>
        <w:pStyle w:val="BodyText"/>
        <w:spacing w:line="307" w:lineRule="auto" w:before="64"/>
        <w:ind w:left="153" w:right="187" w:firstLine="420"/>
        <w:jc w:val="both"/>
      </w:pPr>
      <w:r>
        <w:rPr/>
        <w:t>黄旭明：中国国籍，无境外永久居留权，男，</w:t>
      </w:r>
      <w:r>
        <w:rPr>
          <w:rFonts w:ascii="Times New Roman" w:hAnsi="Times New Roman" w:cs="Times New Roman" w:eastAsia="Times New Roman" w:hint="default"/>
        </w:rPr>
        <w:t>1960</w:t>
      </w:r>
      <w:r>
        <w:rPr/>
        <w:t>年生，中共党员，本科学历，副教授，工信部计算机信息系统集成</w:t>
      </w:r>
      <w:r>
        <w:rPr>
          <w:spacing w:val="1"/>
        </w:rPr>
        <w:t> </w:t>
      </w:r>
      <w:r>
        <w:rPr>
          <w:spacing w:val="-2"/>
        </w:rPr>
        <w:t>企业主评审员。曾任</w:t>
      </w:r>
      <w:r>
        <w:rPr>
          <w:rFonts w:ascii="Times New Roman" w:hAnsi="Times New Roman" w:cs="Times New Roman" w:eastAsia="Times New Roman" w:hint="default"/>
          <w:spacing w:val="-2"/>
        </w:rPr>
        <w:t>“</w:t>
      </w:r>
      <w:r>
        <w:rPr>
          <w:spacing w:val="-2"/>
        </w:rPr>
        <w:t>数字福建</w:t>
      </w:r>
      <w:r>
        <w:rPr>
          <w:rFonts w:ascii="Times New Roman" w:hAnsi="Times New Roman" w:cs="Times New Roman" w:eastAsia="Times New Roman" w:hint="default"/>
          <w:spacing w:val="-2"/>
        </w:rPr>
        <w:t>”</w:t>
      </w:r>
      <w:r>
        <w:rPr>
          <w:spacing w:val="-2"/>
        </w:rPr>
        <w:t>专家委员会委员、福建师范大学软件人才培养基地主任、福建师范大学信息技术学院主持工</w:t>
      </w:r>
      <w:r>
        <w:rPr>
          <w:spacing w:val="-44"/>
        </w:rPr>
        <w:t> </w:t>
      </w:r>
      <w:r>
        <w:rPr>
          <w:spacing w:val="-44"/>
        </w:rPr>
      </w:r>
      <w:r>
        <w:rPr>
          <w:spacing w:val="-2"/>
        </w:rPr>
        <w:t>作副院长、福建师范大学应用科技学院副院长。现任福建师范大学数学与计算机科学学院副教授，硕士生导师。现任公司独</w:t>
      </w:r>
      <w:r>
        <w:rPr>
          <w:spacing w:val="-66"/>
        </w:rPr>
        <w:t> </w:t>
      </w:r>
      <w:r>
        <w:rPr>
          <w:spacing w:val="-66"/>
        </w:rPr>
      </w:r>
      <w:r>
        <w:rPr/>
        <w:t>立董事。</w:t>
      </w:r>
    </w:p>
    <w:p>
      <w:pPr>
        <w:pStyle w:val="BodyText"/>
        <w:spacing w:line="312" w:lineRule="auto" w:before="64"/>
        <w:ind w:right="88" w:firstLine="420"/>
        <w:jc w:val="left"/>
      </w:pPr>
      <w:r>
        <w:rPr>
          <w:spacing w:val="-3"/>
        </w:rPr>
        <w:t>苏小榕：中国国籍，无境外永久居留权，男，</w:t>
      </w:r>
      <w:r>
        <w:rPr>
          <w:rFonts w:ascii="Times New Roman" w:hAnsi="Times New Roman" w:cs="Times New Roman" w:eastAsia="Times New Roman" w:hint="default"/>
          <w:spacing w:val="-3"/>
        </w:rPr>
        <w:t>1973</w:t>
      </w:r>
      <w:r>
        <w:rPr>
          <w:spacing w:val="-3"/>
        </w:rPr>
        <w:t>年生，中共党员，硕士学历，律师，中国德和精品律所联盟（</w:t>
      </w:r>
      <w:r>
        <w:rPr>
          <w:rFonts w:ascii="Times New Roman" w:hAnsi="Times New Roman" w:cs="Times New Roman" w:eastAsia="Times New Roman" w:hint="default"/>
          <w:spacing w:val="-3"/>
        </w:rPr>
        <w:t>ECLA</w:t>
      </w:r>
      <w:r>
        <w:rPr>
          <w:spacing w:val="-3"/>
        </w:rPr>
        <w:t>）</w:t>
      </w:r>
      <w:r>
        <w:rPr/>
        <w:t> 联合税法业务团队主任、福州市律师协会青年律师教育与培训专业委员会副主任、华东政法大学律师学院咨询委员会委员、 </w:t>
      </w:r>
      <w:r>
        <w:rPr>
          <w:spacing w:val="-2"/>
        </w:rPr>
        <w:t>福建工程学院法学系兼职教授。曾任福建浩辰律师事务所合伙人、律师。现任福建拓维律师事务所高级合伙人、律师。现任</w:t>
      </w:r>
      <w:r>
        <w:rPr>
          <w:spacing w:val="-67"/>
        </w:rPr>
        <w:t> </w:t>
      </w:r>
      <w:r>
        <w:rPr>
          <w:spacing w:val="-67"/>
        </w:rPr>
      </w:r>
      <w:r>
        <w:rPr/>
        <w:t>公司独立董事。</w:t>
      </w:r>
    </w:p>
    <w:p>
      <w:pPr>
        <w:pStyle w:val="BodyText"/>
        <w:spacing w:line="302" w:lineRule="auto" w:before="62"/>
        <w:ind w:right="187" w:firstLine="420"/>
        <w:jc w:val="both"/>
      </w:pPr>
      <w:r>
        <w:rPr/>
        <w:t>魏建光：中国国籍，无境外永久居留权，男，</w:t>
      </w:r>
      <w:r>
        <w:rPr>
          <w:rFonts w:ascii="Times New Roman" w:hAnsi="Times New Roman" w:cs="Times New Roman" w:eastAsia="Times New Roman" w:hint="default"/>
        </w:rPr>
        <w:t>1980</w:t>
      </w:r>
      <w:r>
        <w:rPr/>
        <w:t>年生，毕业于福建师范大学计算机科学与应用专业，本科学历，在</w:t>
      </w:r>
      <w:r>
        <w:rPr>
          <w:spacing w:val="1"/>
        </w:rPr>
        <w:t> </w:t>
      </w:r>
      <w:r>
        <w:rPr/>
        <w:t>读</w:t>
      </w:r>
      <w:r>
        <w:rPr>
          <w:rFonts w:ascii="Times New Roman" w:hAnsi="Times New Roman" w:cs="Times New Roman" w:eastAsia="Times New Roman" w:hint="default"/>
        </w:rPr>
        <w:t>MBA</w:t>
      </w:r>
      <w:r>
        <w:rPr/>
        <w:t>。</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月至今就职于公司，现任公司营销中心资深工程师。</w:t>
      </w:r>
    </w:p>
    <w:p>
      <w:pPr>
        <w:pStyle w:val="BodyText"/>
        <w:spacing w:line="302" w:lineRule="auto" w:before="49"/>
        <w:ind w:right="188" w:firstLine="420"/>
        <w:jc w:val="both"/>
      </w:pPr>
      <w:r>
        <w:rPr>
          <w:spacing w:val="-1"/>
        </w:rPr>
        <w:t>邬海峰：中国国籍，无境外永久居留权，男，</w:t>
      </w:r>
      <w:r>
        <w:rPr>
          <w:rFonts w:ascii="Times New Roman" w:hAnsi="Times New Roman" w:cs="Times New Roman" w:eastAsia="Times New Roman" w:hint="default"/>
          <w:spacing w:val="-1"/>
        </w:rPr>
        <w:t>1973</w:t>
      </w:r>
      <w:r>
        <w:rPr>
          <w:spacing w:val="-1"/>
        </w:rPr>
        <w:t>年生，毕业于武汉大学电子工程专业，本科学历。</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1998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w:t>
      </w:r>
      <w:r>
        <w:rPr/>
        <w:t>月任职于上海航天测控通讯研究所，</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月加入公司。曾任工程中心项目经理，现任公司物流部副经理。</w:t>
      </w:r>
    </w:p>
    <w:p>
      <w:pPr>
        <w:pStyle w:val="BodyText"/>
        <w:spacing w:line="300" w:lineRule="auto" w:before="49"/>
        <w:ind w:left="153" w:right="108" w:firstLine="420"/>
        <w:jc w:val="both"/>
      </w:pPr>
      <w:r>
        <w:rPr/>
        <w:t>周仁锟：中国国籍，无境外永久居留权。男，</w:t>
      </w:r>
      <w:r>
        <w:rPr>
          <w:rFonts w:ascii="Times New Roman" w:hAnsi="Times New Roman" w:cs="Times New Roman" w:eastAsia="Times New Roman" w:hint="default"/>
        </w:rPr>
        <w:t>1976</w:t>
      </w:r>
      <w:r>
        <w:rPr/>
        <w:t>年生，毕业于中南工业大学管理信息系统专业，本科学历。</w:t>
      </w:r>
      <w:r>
        <w:rPr>
          <w:rFonts w:ascii="Times New Roman" w:hAnsi="Times New Roman" w:cs="Times New Roman" w:eastAsia="Times New Roman" w:hint="default"/>
        </w:rPr>
        <w:t>1999</w:t>
      </w:r>
      <w:r>
        <w:rPr/>
        <w:t>年 加入公司，曾任公司项目经理、资深工程师、副主任工程师。具有较强的项目组织管理和产品研发能力，在管理信息系统、</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160"/>
        <w:jc w:val="both"/>
      </w:pPr>
      <w:r>
        <w:rPr>
          <w:spacing w:val="-2"/>
        </w:rPr>
        <w:t>电子政务等领域有着深入的技术研究和丰富的实践经验，参与研制了</w:t>
      </w:r>
      <w:r>
        <w:rPr>
          <w:rFonts w:ascii="Times New Roman" w:hAnsi="Times New Roman" w:cs="Times New Roman" w:eastAsia="Times New Roman" w:hint="default"/>
          <w:spacing w:val="-2"/>
        </w:rPr>
        <w:t>“</w:t>
      </w:r>
      <w:r>
        <w:rPr>
          <w:spacing w:val="-2"/>
        </w:rPr>
        <w:t>榕基政务信息化系统（</w:t>
      </w:r>
      <w:r>
        <w:rPr>
          <w:rFonts w:ascii="Times New Roman" w:hAnsi="Times New Roman" w:cs="Times New Roman" w:eastAsia="Times New Roman" w:hint="default"/>
          <w:spacing w:val="-2"/>
        </w:rPr>
        <w:t>RJ-eGov</w:t>
      </w:r>
      <w:r>
        <w:rPr>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榕基电子公文传</w:t>
      </w:r>
      <w:r>
        <w:rPr>
          <w:spacing w:val="-43"/>
        </w:rPr>
        <w:t> </w:t>
      </w:r>
      <w:r>
        <w:rPr>
          <w:spacing w:val="-1"/>
        </w:rPr>
        <w:t>输交换系统（</w:t>
      </w:r>
      <w:r>
        <w:rPr>
          <w:rFonts w:ascii="Times New Roman" w:hAnsi="Times New Roman" w:cs="Times New Roman" w:eastAsia="Times New Roman" w:hint="default"/>
          <w:spacing w:val="-1"/>
        </w:rPr>
        <w:t>RJ-Exchange</w:t>
      </w:r>
      <w:r>
        <w:rPr>
          <w:spacing w:val="-1"/>
        </w:rPr>
        <w:t>）</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榕基内容管理系统（</w:t>
      </w:r>
      <w:r>
        <w:rPr>
          <w:rFonts w:ascii="Times New Roman" w:hAnsi="Times New Roman" w:cs="Times New Roman" w:eastAsia="Times New Roman" w:hint="default"/>
          <w:spacing w:val="-1"/>
        </w:rPr>
        <w:t>RJ-CMS</w:t>
      </w:r>
      <w:r>
        <w:rPr>
          <w:spacing w:val="-1"/>
        </w:rPr>
        <w:t>）</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榕基法院审判业务管理系统（</w:t>
      </w:r>
      <w:r>
        <w:rPr>
          <w:rFonts w:ascii="Times New Roman" w:hAnsi="Times New Roman" w:cs="Times New Roman" w:eastAsia="Times New Roman" w:hint="default"/>
          <w:spacing w:val="-1"/>
        </w:rPr>
        <w:t>RJ-Court</w:t>
      </w:r>
      <w:r>
        <w:rPr>
          <w:spacing w:val="-1"/>
        </w:rPr>
        <w:t>）</w:t>
      </w:r>
      <w:r>
        <w:rPr>
          <w:rFonts w:ascii="Times New Roman" w:hAnsi="Times New Roman" w:cs="Times New Roman" w:eastAsia="Times New Roman" w:hint="default"/>
          <w:spacing w:val="-1"/>
        </w:rPr>
        <w:t>”</w:t>
      </w:r>
      <w:r>
        <w:rPr>
          <w:spacing w:val="-1"/>
        </w:rPr>
        <w:t>等公司产品，</w:t>
      </w:r>
      <w:r>
        <w:rPr>
          <w:spacing w:val="-39"/>
        </w:rPr>
        <w:t> </w:t>
      </w:r>
      <w:r>
        <w:rPr>
          <w:spacing w:val="-39"/>
        </w:rPr>
      </w:r>
      <w:r>
        <w:rPr/>
        <w:t>曾获</w:t>
      </w:r>
      <w:r>
        <w:rPr>
          <w:rFonts w:ascii="Times New Roman" w:hAnsi="Times New Roman" w:cs="Times New Roman" w:eastAsia="Times New Roman" w:hint="default"/>
        </w:rPr>
        <w:t>“</w:t>
      </w:r>
      <w:r>
        <w:rPr/>
        <w:t>福建省职工优秀技术创新成果二等奖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w:t>
      </w:r>
      <w:r>
        <w:rPr>
          <w:spacing w:val="-19"/>
        </w:rPr>
        <w:t> </w:t>
      </w:r>
      <w:r>
        <w:rPr/>
        <w:t>现任公司主任工程师。</w:t>
      </w:r>
    </w:p>
    <w:p>
      <w:pPr>
        <w:pStyle w:val="BodyText"/>
        <w:spacing w:line="309" w:lineRule="auto" w:before="51"/>
        <w:ind w:right="188" w:firstLine="420"/>
        <w:jc w:val="both"/>
      </w:pPr>
      <w:r>
        <w:rPr/>
        <w:t>万孝雄：中国国籍，无境外永久居留权，男，</w:t>
      </w:r>
      <w:r>
        <w:rPr>
          <w:rFonts w:ascii="Times New Roman" w:hAnsi="Times New Roman" w:cs="Times New Roman" w:eastAsia="Times New Roman" w:hint="default"/>
        </w:rPr>
        <w:t>1977</w:t>
      </w:r>
      <w:r>
        <w:rPr/>
        <w:t>年生，研究生学历，工商管理硕士。</w:t>
      </w:r>
      <w:r>
        <w:rPr>
          <w:rFonts w:ascii="Times New Roman" w:hAnsi="Times New Roman" w:cs="Times New Roman" w:eastAsia="Times New Roman" w:hint="default"/>
        </w:rPr>
        <w:t>2001</w:t>
      </w:r>
      <w:r>
        <w:rPr/>
        <w:t>年加入公司，先后担任研</w:t>
      </w:r>
      <w:r>
        <w:rPr>
          <w:spacing w:val="1"/>
        </w:rPr>
        <w:t> </w:t>
      </w:r>
      <w:r>
        <w:rPr>
          <w:spacing w:val="-2"/>
        </w:rPr>
        <w:t>发副总监，营销总监。具有较强的技术管理能力，负责公司信息安全业务技术管理工作，对信息安全具有深入的理解，具有</w:t>
      </w:r>
      <w:r>
        <w:rPr>
          <w:spacing w:val="-66"/>
        </w:rPr>
        <w:t> </w:t>
      </w:r>
      <w:r>
        <w:rPr>
          <w:spacing w:val="-66"/>
        </w:rPr>
      </w:r>
      <w:r>
        <w:rPr>
          <w:spacing w:val="-1"/>
        </w:rPr>
        <w:t>丰富的安全管理、安全服务、安全培训等实践经验，主持研发了</w:t>
      </w:r>
      <w:r>
        <w:rPr>
          <w:rFonts w:ascii="Times New Roman" w:hAnsi="Times New Roman" w:cs="Times New Roman" w:eastAsia="Times New Roman" w:hint="default"/>
          <w:spacing w:val="-1"/>
        </w:rPr>
        <w:t>“</w:t>
      </w:r>
      <w:r>
        <w:rPr>
          <w:spacing w:val="-1"/>
        </w:rPr>
        <w:t>榕基网络隐患扫描系统（</w:t>
      </w:r>
      <w:r>
        <w:rPr>
          <w:rFonts w:ascii="Times New Roman" w:hAnsi="Times New Roman" w:cs="Times New Roman" w:eastAsia="Times New Roman" w:hint="default"/>
          <w:spacing w:val="-1"/>
        </w:rPr>
        <w:t>RJ-iTop</w:t>
      </w:r>
      <w:r>
        <w:rPr>
          <w:spacing w:val="-1"/>
        </w:rPr>
        <w:t>）</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榕基风险管理系统</w:t>
      </w:r>
    </w:p>
    <w:p>
      <w:pPr>
        <w:pStyle w:val="BodyText"/>
        <w:spacing w:line="302" w:lineRule="auto" w:before="5"/>
        <w:ind w:right="178"/>
        <w:jc w:val="left"/>
      </w:pPr>
      <w:r>
        <w:rPr>
          <w:spacing w:val="-1"/>
        </w:rPr>
        <w:t>（</w:t>
      </w:r>
      <w:r>
        <w:rPr>
          <w:rFonts w:ascii="Times New Roman" w:hAnsi="Times New Roman" w:cs="Times New Roman" w:eastAsia="Times New Roman" w:hint="default"/>
          <w:spacing w:val="-1"/>
        </w:rPr>
        <w:t>RJ-RMS</w:t>
      </w:r>
      <w:r>
        <w:rPr>
          <w:spacing w:val="-1"/>
        </w:rPr>
        <w:t>）</w:t>
      </w:r>
      <w:r>
        <w:rPr>
          <w:rFonts w:ascii="Times New Roman" w:hAnsi="Times New Roman" w:cs="Times New Roman" w:eastAsia="Times New Roman" w:hint="default"/>
          <w:spacing w:val="-1"/>
        </w:rPr>
        <w:t>”</w:t>
      </w:r>
      <w:r>
        <w:rPr>
          <w:spacing w:val="-1"/>
        </w:rPr>
        <w:t>等公司信息安全战略产品，曾获</w:t>
      </w:r>
      <w:r>
        <w:rPr>
          <w:rFonts w:ascii="Times New Roman" w:hAnsi="Times New Roman" w:cs="Times New Roman" w:eastAsia="Times New Roman" w:hint="default"/>
          <w:spacing w:val="-1"/>
        </w:rPr>
        <w:t>“</w:t>
      </w:r>
      <w:r>
        <w:rPr>
          <w:spacing w:val="-1"/>
        </w:rPr>
        <w:t>福建省科学技术奖三等奖</w:t>
      </w:r>
      <w:r>
        <w:rPr>
          <w:rFonts w:ascii="Times New Roman" w:hAnsi="Times New Roman" w:cs="Times New Roman" w:eastAsia="Times New Roman" w:hint="default"/>
          <w:spacing w:val="-1"/>
        </w:rPr>
        <w:t>”</w:t>
      </w:r>
      <w:r>
        <w:rPr>
          <w:spacing w:val="-1"/>
        </w:rPr>
        <w:t>。现任副总裁、公司董事会秘书、福建榕基投资有</w:t>
      </w:r>
      <w:r>
        <w:rPr/>
        <w:t> 限公司总经理、榕基国际控股有限公司董事。</w:t>
      </w:r>
    </w:p>
    <w:p>
      <w:pPr>
        <w:pStyle w:val="BodyText"/>
        <w:spacing w:line="309" w:lineRule="auto" w:before="69"/>
        <w:ind w:right="189" w:firstLine="445"/>
        <w:jc w:val="both"/>
      </w:pPr>
      <w:r>
        <w:rPr/>
        <w:t>镇千金：中国国籍，无境外永久居留权，女，</w:t>
      </w:r>
      <w:r>
        <w:rPr>
          <w:rFonts w:ascii="Times New Roman" w:hAnsi="Times New Roman" w:cs="Times New Roman" w:eastAsia="Times New Roman" w:hint="default"/>
        </w:rPr>
        <w:t>1978</w:t>
      </w:r>
      <w:r>
        <w:rPr/>
        <w:t>年生，毕业于福州大学，研究生学历，工商管理硕士。</w:t>
      </w:r>
      <w:r>
        <w:rPr>
          <w:rFonts w:ascii="Times New Roman" w:hAnsi="Times New Roman" w:cs="Times New Roman" w:eastAsia="Times New Roman" w:hint="default"/>
        </w:rPr>
        <w:t>2002</w:t>
      </w:r>
      <w:r>
        <w:rPr/>
        <w:t>年加入</w:t>
      </w:r>
      <w:r>
        <w:rPr>
          <w:spacing w:val="1"/>
        </w:rPr>
        <w:t> </w:t>
      </w:r>
      <w:r>
        <w:rPr>
          <w:spacing w:val="-2"/>
        </w:rPr>
        <w:t>公司，先后在客服部、技术部及财务部工作，曾任公司工程师、会计、财务部经理、监事，现任公司财务总监、榕基国际控</w:t>
      </w:r>
      <w:r>
        <w:rPr>
          <w:spacing w:val="-67"/>
        </w:rPr>
        <w:t> </w:t>
      </w:r>
      <w:r>
        <w:rPr>
          <w:spacing w:val="-67"/>
        </w:rPr>
      </w:r>
      <w:r>
        <w:rPr/>
        <w:t>股有限公司董事。</w:t>
      </w:r>
    </w:p>
    <w:p>
      <w:pPr>
        <w:pStyle w:val="BodyText"/>
        <w:spacing w:line="307" w:lineRule="auto" w:before="62"/>
        <w:ind w:right="90" w:firstLine="373"/>
        <w:jc w:val="left"/>
      </w:pPr>
      <w:r>
        <w:rPr/>
        <w:t>尚大斌：中国国籍，无境外永久居留权，男，</w:t>
      </w:r>
      <w:r>
        <w:rPr>
          <w:rFonts w:ascii="Times New Roman" w:hAnsi="Times New Roman" w:cs="Times New Roman" w:eastAsia="Times New Roman" w:hint="default"/>
        </w:rPr>
        <w:t>1978</w:t>
      </w:r>
      <w:r>
        <w:rPr/>
        <w:t>年生，毕业于湖北工业大学，本科学历，在读工商管理硕士，工程</w:t>
      </w:r>
      <w:r>
        <w:rPr>
          <w:spacing w:val="1"/>
        </w:rPr>
        <w:t> </w:t>
      </w:r>
      <w:r>
        <w:rPr/>
        <w:t>师。</w:t>
      </w:r>
      <w:r>
        <w:rPr>
          <w:rFonts w:ascii="Times New Roman" w:hAnsi="Times New Roman" w:cs="Times New Roman" w:eastAsia="Times New Roman" w:hint="default"/>
        </w:rPr>
        <w:t>2003</w:t>
      </w:r>
      <w:r>
        <w:rPr/>
        <w:t>年加入公司，先后担任浙江榕基信息技术有限公司总经理助理、副总经理，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月至今担任浙江榕基信息技术</w:t>
      </w:r>
      <w:r>
        <w:rPr>
          <w:spacing w:val="-84"/>
        </w:rPr>
        <w:t> </w:t>
      </w:r>
      <w:r>
        <w:rPr>
          <w:spacing w:val="-84"/>
        </w:rPr>
      </w:r>
      <w:r>
        <w:rPr/>
        <w:t>有限公司总经理。具有较丰富的团队管理经验，负责浙江榕基信息技术有限公司、上海榕基软件开发有限公司的管理工作， 对政务信息化领域有比较深刻的理解及实践经验。现任公司副总裁、浙江榕基信息技术有限公司总经理。</w:t>
      </w:r>
    </w:p>
    <w:p>
      <w:pPr>
        <w:pStyle w:val="BodyText"/>
        <w:spacing w:line="300" w:lineRule="auto" w:before="64"/>
        <w:ind w:right="97" w:firstLine="373"/>
        <w:jc w:val="left"/>
      </w:pPr>
      <w:r>
        <w:rPr/>
        <w:t>倪时龙：中国国籍，无境外永久居留权，男，</w:t>
      </w:r>
      <w:r>
        <w:rPr>
          <w:rFonts w:ascii="Times New Roman" w:hAnsi="Times New Roman" w:cs="Times New Roman" w:eastAsia="Times New Roman" w:hint="default"/>
        </w:rPr>
        <w:t>1977</w:t>
      </w:r>
      <w:r>
        <w:rPr/>
        <w:t>年生，毕业于仰恩大学，本科学历，在读软件工程硕士，高级项目</w:t>
      </w:r>
      <w:r>
        <w:rPr>
          <w:spacing w:val="1"/>
        </w:rPr>
        <w:t> </w:t>
      </w:r>
      <w:r>
        <w:rPr>
          <w:spacing w:val="-2"/>
        </w:rPr>
        <w:t>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月进入公司，历任项目经理、分公司技术总监。</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5</w:t>
      </w:r>
      <w:r>
        <w:rPr>
          <w:spacing w:val="-2"/>
        </w:rPr>
        <w:t>月起任福建亿榕信息技术有限公司常务副总经理，主</w:t>
      </w:r>
      <w:r>
        <w:rPr>
          <w:spacing w:val="-56"/>
        </w:rPr>
        <w:t> </w:t>
      </w:r>
      <w:r>
        <w:rPr>
          <w:spacing w:val="-56"/>
        </w:rPr>
      </w:r>
      <w:r>
        <w:rPr>
          <w:spacing w:val="-3"/>
        </w:rPr>
        <w:t>持全面工作，专注智能电网相关业务的研究开发。主持开发的产品先后荣获福建省、福州市等单位</w:t>
      </w:r>
      <w:r>
        <w:rPr>
          <w:rFonts w:ascii="Times New Roman" w:hAnsi="Times New Roman" w:cs="Times New Roman" w:eastAsia="Times New Roman" w:hint="default"/>
          <w:spacing w:val="-3"/>
        </w:rPr>
        <w:t>“</w:t>
      </w:r>
      <w:r>
        <w:rPr>
          <w:spacing w:val="-3"/>
        </w:rPr>
        <w:t>福建优秀软件产品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福</w:t>
      </w:r>
      <w:r>
        <w:rPr>
          <w:spacing w:val="-68"/>
        </w:rPr>
        <w:t> </w:t>
      </w:r>
      <w:r>
        <w:rPr>
          <w:spacing w:val="-2"/>
        </w:rPr>
        <w:t>建省名牌产品</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科技进步奖</w:t>
      </w:r>
      <w:r>
        <w:rPr>
          <w:rFonts w:ascii="Times New Roman" w:hAnsi="Times New Roman" w:cs="Times New Roman" w:eastAsia="Times New Roman" w:hint="default"/>
          <w:spacing w:val="-2"/>
        </w:rPr>
        <w:t>”</w:t>
      </w:r>
      <w:r>
        <w:rPr>
          <w:spacing w:val="-2"/>
        </w:rPr>
        <w:t>等荣誉。个人获得</w:t>
      </w:r>
      <w:r>
        <w:rPr/>
        <w:t> </w:t>
      </w:r>
      <w:r>
        <w:rPr>
          <w:rFonts w:ascii="Times New Roman" w:hAnsi="Times New Roman" w:cs="Times New Roman" w:eastAsia="Times New Roman" w:hint="default"/>
          <w:spacing w:val="-2"/>
        </w:rPr>
        <w:t>“</w:t>
      </w:r>
      <w:r>
        <w:rPr>
          <w:spacing w:val="-2"/>
        </w:rPr>
        <w:t>福建省优秀骨干人才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福建省软件杰出人才</w:t>
      </w:r>
      <w:r>
        <w:rPr>
          <w:rFonts w:ascii="Times New Roman" w:hAnsi="Times New Roman" w:cs="Times New Roman" w:eastAsia="Times New Roman" w:hint="default"/>
          <w:spacing w:val="-2"/>
        </w:rPr>
        <w:t>”</w:t>
      </w:r>
      <w:r>
        <w:rPr>
          <w:spacing w:val="-2"/>
        </w:rPr>
        <w:t>等称号。现任公司副总裁、</w:t>
      </w:r>
      <w:r>
        <w:rPr>
          <w:spacing w:val="-80"/>
        </w:rPr>
        <w:t> </w:t>
      </w:r>
      <w:r>
        <w:rPr>
          <w:spacing w:val="-80"/>
        </w:rPr>
      </w:r>
      <w:r>
        <w:rPr/>
        <w:t>福建亿榕信息技术有限公司总经理。</w:t>
      </w:r>
    </w:p>
    <w:p>
      <w:pPr>
        <w:pStyle w:val="BodyText"/>
        <w:spacing w:line="304" w:lineRule="auto" w:before="71"/>
        <w:ind w:right="88" w:firstLine="373"/>
        <w:jc w:val="left"/>
      </w:pPr>
      <w:r>
        <w:rPr/>
        <w:t>赵坚：中国国籍，无境外永久居留权，男，</w:t>
      </w:r>
      <w:r>
        <w:rPr>
          <w:rFonts w:ascii="Times New Roman" w:hAnsi="Times New Roman" w:cs="Times New Roman" w:eastAsia="Times New Roman" w:hint="default"/>
        </w:rPr>
        <w:t>1972</w:t>
      </w:r>
      <w:r>
        <w:rPr/>
        <w:t>年生，毕业于福州大学工业电气自动化专业，本科学历。</w:t>
      </w:r>
      <w:r>
        <w:rPr>
          <w:rFonts w:ascii="Times New Roman" w:hAnsi="Times New Roman" w:cs="Times New Roman" w:eastAsia="Times New Roman" w:hint="default"/>
        </w:rPr>
        <w:t>1997</w:t>
      </w:r>
      <w:r>
        <w:rPr/>
        <w:t>年加入</w:t>
      </w:r>
      <w:r>
        <w:rPr>
          <w:spacing w:val="1"/>
        </w:rPr>
        <w:t> </w:t>
      </w:r>
      <w:r>
        <w:rPr>
          <w:spacing w:val="-4"/>
        </w:rPr>
        <w:t>公司，先后担任系统集成工程师、项目经理、系统集成部经理、业务副总监。现负责企业计算机系统集成、音视频系统集成、</w:t>
      </w:r>
      <w:r>
        <w:rPr>
          <w:spacing w:val="-44"/>
        </w:rPr>
        <w:t> </w:t>
      </w:r>
      <w:r>
        <w:rPr>
          <w:spacing w:val="-44"/>
        </w:rPr>
      </w:r>
      <w:r>
        <w:rPr/>
        <w:t>办公自动化软件、定制</w:t>
      </w:r>
      <w:r>
        <w:rPr>
          <w:rFonts w:ascii="Times New Roman" w:hAnsi="Times New Roman" w:cs="Times New Roman" w:eastAsia="Times New Roman" w:hint="default"/>
        </w:rPr>
        <w:t>MIS</w:t>
      </w:r>
      <w:r>
        <w:rPr/>
        <w:t>软件等工程项目的实施及服务管理工作。具有较强的技术管理能力，承担公司工程项目管理体系 </w:t>
      </w:r>
      <w:r>
        <w:rPr>
          <w:spacing w:val="-3"/>
        </w:rPr>
        <w:t>的建设和维护，对</w:t>
      </w:r>
      <w:r>
        <w:rPr>
          <w:rFonts w:ascii="Times New Roman" w:hAnsi="Times New Roman" w:cs="Times New Roman" w:eastAsia="Times New Roman" w:hint="default"/>
          <w:spacing w:val="-3"/>
        </w:rPr>
        <w:t>IT</w:t>
      </w:r>
      <w:r>
        <w:rPr>
          <w:spacing w:val="-3"/>
        </w:rPr>
        <w:t>行业的工程管理具有深入的理解和丰富的实践经验，具有较强的大型系统集成项目分析和整合规划能力，</w:t>
      </w:r>
      <w:r>
        <w:rPr>
          <w:spacing w:val="-85"/>
        </w:rPr>
        <w:t> </w:t>
      </w:r>
      <w:r>
        <w:rPr>
          <w:spacing w:val="-85"/>
        </w:rPr>
      </w:r>
      <w:r>
        <w:rPr/>
        <w:t>主持了公司多个重点项目的规划、实施工作。现任公司副总裁、工程中心总经理。</w:t>
      </w:r>
    </w:p>
    <w:p>
      <w:pPr>
        <w:pStyle w:val="BodyText"/>
        <w:spacing w:line="312" w:lineRule="auto" w:before="66"/>
        <w:ind w:right="0" w:firstLine="373"/>
        <w:jc w:val="left"/>
      </w:pPr>
      <w:r>
        <w:rPr>
          <w:spacing w:val="-1"/>
        </w:rPr>
        <w:t>宾壮兴：中国国籍，无境外永久居留权，男，</w:t>
      </w:r>
      <w:r>
        <w:rPr>
          <w:rFonts w:ascii="Times New Roman" w:hAnsi="Times New Roman" w:cs="Times New Roman" w:eastAsia="Times New Roman" w:hint="default"/>
          <w:spacing w:val="-1"/>
        </w:rPr>
        <w:t>1960</w:t>
      </w:r>
      <w:r>
        <w:rPr>
          <w:spacing w:val="-1"/>
        </w:rPr>
        <w:t>年生，毕业于深圳大学人事管理专业，专科学历。</w:t>
      </w:r>
      <w:r>
        <w:rPr>
          <w:rFonts w:ascii="Times New Roman" w:hAnsi="Times New Roman" w:cs="Times New Roman" w:eastAsia="Times New Roman" w:hint="default"/>
          <w:spacing w:val="-1"/>
        </w:rPr>
        <w:t>2000</w:t>
      </w:r>
      <w:r>
        <w:rPr>
          <w:spacing w:val="-1"/>
        </w:rPr>
        <w:t>年加入公司，</w:t>
      </w:r>
      <w:r>
        <w:rPr/>
        <w:t> </w:t>
      </w:r>
      <w:r>
        <w:rPr>
          <w:spacing w:val="-2"/>
        </w:rPr>
        <w:t>先后担任榕基软件深圳分公司办公室主任、副总经理。长期从事质检行业应用软件产品的开发及推广管理工作，对质检行业</w:t>
      </w:r>
      <w:r>
        <w:rPr>
          <w:spacing w:val="-66"/>
        </w:rPr>
        <w:t> </w:t>
      </w:r>
      <w:r>
        <w:rPr>
          <w:spacing w:val="-66"/>
        </w:rPr>
      </w:r>
      <w:r>
        <w:rPr>
          <w:spacing w:val="-2"/>
        </w:rPr>
        <w:t>的信息化建设有一定的了解和丰富的实验经验。具有较强的的市场开拓及企业管理能力。现任公司副总裁、深圳分公司总经</w:t>
      </w:r>
      <w:r>
        <w:rPr>
          <w:spacing w:val="-66"/>
        </w:rPr>
        <w:t> </w:t>
      </w:r>
      <w:r>
        <w:rPr>
          <w:spacing w:val="-66"/>
        </w:rPr>
      </w:r>
      <w:r>
        <w:rPr/>
        <w:t>理、北京中榕基信息技术有限公司董事长兼总经理。</w:t>
      </w:r>
    </w:p>
    <w:p>
      <w:pPr>
        <w:pStyle w:val="BodyText"/>
        <w:spacing w:line="307" w:lineRule="auto" w:before="61"/>
        <w:ind w:right="189" w:firstLine="361"/>
        <w:jc w:val="both"/>
      </w:pPr>
      <w:r>
        <w:rPr/>
        <w:t>靳谊：中国国籍，无境外永久居留权，男，</w:t>
      </w:r>
      <w:r>
        <w:rPr>
          <w:rFonts w:ascii="Times New Roman" w:hAnsi="Times New Roman" w:cs="Times New Roman" w:eastAsia="Times New Roman" w:hint="default"/>
        </w:rPr>
        <w:t>1975</w:t>
      </w:r>
      <w:r>
        <w:rPr/>
        <w:t>年生，毕业于武汉理工大学计算机科学与技术专业，专科学历。</w:t>
      </w:r>
      <w:r>
        <w:rPr>
          <w:rFonts w:ascii="Times New Roman" w:hAnsi="Times New Roman" w:cs="Times New Roman" w:eastAsia="Times New Roman" w:hint="default"/>
        </w:rPr>
        <w:t>1998 </w:t>
      </w:r>
      <w:r>
        <w:rPr>
          <w:spacing w:val="-2"/>
        </w:rPr>
        <w:t>年加入公司，先后担任工程师、项目经理、资深工程师、副主任工程师、主任工程师、协同管理事业部经理。具有较强的研</w:t>
      </w:r>
      <w:r>
        <w:rPr>
          <w:spacing w:val="-65"/>
        </w:rPr>
        <w:t> </w:t>
      </w:r>
      <w:r>
        <w:rPr>
          <w:spacing w:val="-65"/>
        </w:rPr>
      </w:r>
      <w:r>
        <w:rPr>
          <w:spacing w:val="-2"/>
        </w:rPr>
        <w:t>发管理能力与大型企业管理信息系统分析和整合规划能力，负责协同管理业务技术管理以及企业内部信息系统建设工作，主</w:t>
      </w:r>
      <w:r>
        <w:rPr>
          <w:spacing w:val="-64"/>
        </w:rPr>
        <w:t> </w:t>
      </w:r>
      <w:r>
        <w:rPr>
          <w:spacing w:val="-64"/>
        </w:rPr>
      </w:r>
      <w:r>
        <w:rPr/>
        <w:t>持设计研发了</w:t>
      </w:r>
      <w:r>
        <w:rPr>
          <w:rFonts w:ascii="Times New Roman" w:hAnsi="Times New Roman" w:cs="Times New Roman" w:eastAsia="Times New Roman" w:hint="default"/>
        </w:rPr>
        <w:t>“</w:t>
      </w:r>
      <w:r>
        <w:rPr/>
        <w:t>榕基电子单证系统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I-TASK</w:t>
      </w:r>
      <w:r>
        <w:rPr/>
        <w:t>任务管理平台</w:t>
      </w:r>
      <w:r>
        <w:rPr>
          <w:rFonts w:ascii="Times New Roman" w:hAnsi="Times New Roman" w:cs="Times New Roman" w:eastAsia="Times New Roman" w:hint="default"/>
        </w:rPr>
        <w:t>”</w:t>
      </w:r>
      <w:r>
        <w:rPr/>
        <w:t>等公司战略产品以及能源、质检等行业十多项软件产品，</w:t>
      </w:r>
      <w:r>
        <w:rPr>
          <w:spacing w:val="-22"/>
        </w:rPr>
        <w:t> </w:t>
      </w:r>
      <w:r>
        <w:rPr>
          <w:spacing w:val="-22"/>
        </w:rPr>
      </w:r>
      <w:r>
        <w:rPr/>
        <w:t>曾获</w:t>
      </w:r>
      <w:r>
        <w:rPr>
          <w:rFonts w:ascii="Times New Roman" w:hAnsi="Times New Roman" w:cs="Times New Roman" w:eastAsia="Times New Roman" w:hint="default"/>
        </w:rPr>
        <w:t>“</w:t>
      </w:r>
      <w:r>
        <w:rPr/>
        <w:t>福州市科学技术奖三等奖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福建省优秀信息主管</w:t>
      </w:r>
      <w:r>
        <w:rPr>
          <w:rFonts w:ascii="Times New Roman" w:hAnsi="Times New Roman" w:cs="Times New Roman" w:eastAsia="Times New Roman" w:hint="default"/>
        </w:rPr>
        <w:t>(CIO)</w:t>
      </w:r>
      <w:r>
        <w:rPr>
          <w:rFonts w:ascii="Times New Roman" w:hAnsi="Times New Roman" w:cs="Times New Roman" w:eastAsia="Times New Roman" w:hint="default"/>
          <w:spacing w:val="32"/>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t>信息化年度贡献人物</w:t>
      </w:r>
      <w:r>
        <w:rPr>
          <w:rFonts w:ascii="Times New Roman" w:hAnsi="Times New Roman" w:cs="Times New Roman" w:eastAsia="Times New Roman" w:hint="default"/>
        </w:rPr>
        <w:t>”</w:t>
      </w:r>
      <w:r>
        <w:rPr/>
        <w:t>。现任公司副总裁、首席信息 官、研发总监。</w:t>
      </w:r>
    </w:p>
    <w:p>
      <w:pPr>
        <w:pStyle w:val="BodyText"/>
        <w:spacing w:line="302" w:lineRule="auto" w:before="65"/>
        <w:ind w:right="0" w:firstLine="420"/>
        <w:jc w:val="left"/>
      </w:pPr>
      <w:r>
        <w:rPr/>
        <w:t>李惠钦：中国国籍，无境外永久居留权，女，</w:t>
      </w:r>
      <w:r>
        <w:rPr>
          <w:rFonts w:ascii="Times New Roman" w:hAnsi="Times New Roman" w:cs="Times New Roman" w:eastAsia="Times New Roman" w:hint="default"/>
        </w:rPr>
        <w:t>1975</w:t>
      </w:r>
      <w:r>
        <w:rPr/>
        <w:t>年生，毕业于闽江学院。</w:t>
      </w:r>
      <w:r>
        <w:rPr>
          <w:rFonts w:ascii="Times New Roman" w:hAnsi="Times New Roman" w:cs="Times New Roman" w:eastAsia="Times New Roman" w:hint="default"/>
        </w:rPr>
        <w:t>1997</w:t>
      </w:r>
      <w:r>
        <w:rPr/>
        <w:t>年加入公司，先后担任行政部经理、</w:t>
      </w:r>
      <w:r>
        <w:rPr>
          <w:spacing w:val="1"/>
        </w:rPr>
        <w:t> </w:t>
      </w:r>
      <w:r>
        <w:rPr/>
        <w:t>总裁助理，长期从事市场开拓工作。现任公司副总裁、星榕基总经理。</w:t>
      </w:r>
    </w:p>
    <w:p>
      <w:pPr>
        <w:pStyle w:val="BodyText"/>
        <w:spacing w:line="240" w:lineRule="auto" w:before="69"/>
        <w:ind w:right="0"/>
        <w:jc w:val="both"/>
      </w:pPr>
      <w:r>
        <w:rPr/>
        <w:t>在股东单位任职情况</w:t>
      </w:r>
    </w:p>
    <w:p>
      <w:pPr>
        <w:pStyle w:val="BodyText"/>
        <w:spacing w:line="340" w:lineRule="auto" w:before="116"/>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1"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2" w:right="0"/>
              <w:jc w:val="left"/>
              <w:rPr>
                <w:rFonts w:ascii="宋体" w:hAnsi="宋体" w:cs="宋体" w:eastAsia="宋体" w:hint="default"/>
                <w:sz w:val="18"/>
                <w:szCs w:val="18"/>
              </w:rPr>
            </w:pPr>
            <w:r>
              <w:rPr>
                <w:rFonts w:ascii="宋体" w:hAnsi="宋体" w:cs="宋体" w:eastAsia="宋体" w:hint="default"/>
                <w:sz w:val="18"/>
                <w:szCs w:val="18"/>
              </w:rPr>
              <w:t>在其他单位是否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福州大学管理学院创业投资与企业财务 管理研究所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福建三鑫隆信息技术开发股份有限公司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福建师范大学数学与计算机科学学院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704"/>
        <w:jc w:val="left"/>
      </w:pPr>
      <w:r>
        <w:rPr/>
        <w:t>公司现任及报告期内离任董事、监事和高级管理人员近三年证券监管机构处罚的情况</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董事、监事、高级管理人员报酬的决策程序、确定依据、实际支付情况</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9" w:lineRule="auto" w:before="44"/>
        <w:ind w:left="153" w:right="149"/>
        <w:jc w:val="both"/>
      </w:pPr>
      <w:r>
        <w:rPr>
          <w:spacing w:val="-2"/>
        </w:rPr>
        <w:t>报告期内公司根据《公司章程》及《公司董事会薪酬与考核委员会实施细则》，结合公司经营规模等实际情况并参照行业薪</w:t>
      </w:r>
      <w:r>
        <w:rPr>
          <w:spacing w:val="-65"/>
        </w:rPr>
        <w:t> </w:t>
      </w:r>
      <w:r>
        <w:rPr>
          <w:spacing w:val="-65"/>
        </w:rPr>
      </w:r>
      <w:r>
        <w:rPr>
          <w:spacing w:val="-2"/>
        </w:rPr>
        <w:t>酬水平，制定《公司</w:t>
      </w:r>
      <w:r>
        <w:rPr>
          <w:rFonts w:ascii="Times New Roman" w:hAnsi="Times New Roman" w:cs="Times New Roman" w:eastAsia="Times New Roman" w:hint="default"/>
          <w:spacing w:val="-2"/>
        </w:rPr>
        <w:t>2015</w:t>
      </w:r>
      <w:r>
        <w:rPr>
          <w:spacing w:val="-2"/>
        </w:rPr>
        <w:t>年度董事、高级管理人员薪酬方案》，并由公司第三次董事会第十四次会议及公司</w:t>
      </w:r>
      <w:r>
        <w:rPr>
          <w:rFonts w:ascii="Times New Roman" w:hAnsi="Times New Roman" w:cs="Times New Roman" w:eastAsia="Times New Roman" w:hint="default"/>
          <w:spacing w:val="-2"/>
        </w:rPr>
        <w:t>2014</w:t>
      </w:r>
      <w:r>
        <w:rPr>
          <w:spacing w:val="-2"/>
        </w:rPr>
        <w:t>年度股东大</w:t>
      </w:r>
      <w:r>
        <w:rPr>
          <w:spacing w:val="-57"/>
        </w:rPr>
        <w:t> </w:t>
      </w:r>
      <w:r>
        <w:rPr/>
        <w:t>会审议通过后执行。</w:t>
      </w:r>
    </w:p>
    <w:p>
      <w:pPr>
        <w:spacing w:line="240" w:lineRule="auto" w:before="5"/>
        <w:rPr>
          <w:rFonts w:ascii="宋体" w:hAnsi="宋体" w:cs="宋体" w:eastAsia="宋体" w:hint="default"/>
          <w:sz w:val="25"/>
          <w:szCs w:val="25"/>
        </w:rPr>
      </w:pPr>
    </w:p>
    <w:p>
      <w:pPr>
        <w:pStyle w:val="BodyText"/>
        <w:spacing w:line="240" w:lineRule="auto" w:before="44"/>
        <w:ind w:left="153" w:right="704"/>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副董事长、常务 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公司董事、监事、高级管理人员报告期内被授予的股权激励情况</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公司严格按照《中华人民共和国劳动合同法》和有关劳动法律法规的规定，向员工提供稳定而具有竞争力的薪酬，以充分调</w:t>
      </w:r>
      <w:r>
        <w:rPr>
          <w:spacing w:val="-66"/>
        </w:rPr>
        <w:t> </w:t>
      </w:r>
      <w:r>
        <w:rPr>
          <w:spacing w:val="-66"/>
        </w:rPr>
      </w:r>
      <w:r>
        <w:rPr/>
        <w:t>动员工的积极性和创造性。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73"/>
        <w:jc w:val="left"/>
      </w:pPr>
      <w:r>
        <w:rPr/>
        <w:t>公司非常注重员工的培训工作，积极寻求各种培训资源和渠道，搭建完善的培训体系，包括新员工入职培训、在职人员业 </w:t>
      </w:r>
      <w:r>
        <w:rPr>
          <w:spacing w:val="-4"/>
        </w:rPr>
        <w:t>务培训、管理者提升培训、普法培训、安全培训等。通过培训提高业务能力和管理水平，既能促进公司整体战略目标的实施，</w:t>
      </w:r>
      <w:r>
        <w:rPr>
          <w:spacing w:val="-44"/>
        </w:rPr>
        <w:t> </w:t>
      </w:r>
      <w:r>
        <w:rPr>
          <w:spacing w:val="-44"/>
        </w:rPr>
      </w:r>
      <w:r>
        <w:rPr/>
        <w:t>又能满足员工个人能力和职业发展的需求，实现企业和员工的双赢。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1"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8" w:firstLine="360"/>
        <w:jc w:val="both"/>
      </w:pPr>
      <w:r>
        <w:rPr>
          <w:spacing w:val="-2"/>
        </w:rPr>
        <w:t>报告期内，公司严格按照《公司法》、《证券法》、《上市公司治理准则》、《深圳证券交易所上市规则》、《深圳证</w:t>
      </w:r>
      <w:r>
        <w:rPr/>
        <w:t> </w:t>
      </w:r>
      <w:r>
        <w:rPr>
          <w:spacing w:val="-2"/>
        </w:rPr>
        <w:t>券交易所中小板上市公司规范运作指引》等法律、行政法规、部门规章、规范性文件的要求，完善公司治理机构，建立健全</w:t>
      </w:r>
      <w:r>
        <w:rPr>
          <w:spacing w:val="-68"/>
        </w:rPr>
        <w:t> </w:t>
      </w:r>
      <w:r>
        <w:rPr>
          <w:spacing w:val="-68"/>
        </w:rPr>
      </w:r>
      <w:r>
        <w:rPr/>
        <w:t>内部管理和控制制度，不断提高公司的治理水平。</w:t>
      </w:r>
    </w:p>
    <w:p>
      <w:pPr>
        <w:pStyle w:val="BodyText"/>
        <w:spacing w:line="316" w:lineRule="auto" w:before="19"/>
        <w:ind w:left="153" w:right="98" w:firstLine="360"/>
        <w:jc w:val="both"/>
      </w:pPr>
      <w:r>
        <w:rPr>
          <w:spacing w:val="-2"/>
        </w:rPr>
        <w:t>公司建立完善了以股东大会为最高权力机构、董事会为决策机构、董事会专业委员会为决策支持机构、监事会为监督机</w:t>
      </w:r>
      <w:r>
        <w:rPr/>
        <w:t> </w:t>
      </w:r>
      <w:r>
        <w:rPr>
          <w:spacing w:val="-7"/>
        </w:rPr>
        <w:t>构、经理层及各子公司为执行机构的治理结构，完善了公司《章程》、《公司股东大会议事规则》、《公司董事会议事规则》、</w:t>
      </w:r>
    </w:p>
    <w:p>
      <w:pPr>
        <w:pStyle w:val="BodyText"/>
        <w:spacing w:line="316" w:lineRule="auto" w:before="19"/>
        <w:ind w:left="153" w:right="0"/>
        <w:jc w:val="left"/>
      </w:pPr>
      <w:r>
        <w:rPr>
          <w:spacing w:val="-2"/>
        </w:rPr>
        <w:t>《公司监事会议事规则》、《公司总裁工作细则》及各专业委员会工作细则等基本管理制度。公司股东大会、董事会、监事</w:t>
      </w:r>
      <w:r>
        <w:rPr>
          <w:spacing w:val="-65"/>
        </w:rPr>
        <w:t> </w:t>
      </w:r>
      <w:r>
        <w:rPr>
          <w:spacing w:val="-65"/>
        </w:rPr>
      </w:r>
      <w:r>
        <w:rPr>
          <w:spacing w:val="-4"/>
        </w:rPr>
        <w:t>会和经营管理层责权分明、各司其职、有效制衡、科学决策、协调运营，为公司持续、稳定、健康地发展奠定了坚实的基础。</w:t>
      </w:r>
      <w:r>
        <w:rPr>
          <w:spacing w:val="-48"/>
        </w:rPr>
        <w:t> </w:t>
      </w:r>
      <w:r>
        <w:rPr>
          <w:spacing w:val="-48"/>
        </w:rPr>
      </w:r>
      <w:r>
        <w:rPr/>
        <w:t>截至报告期末，公司治理的实际状况符合前述法律、行政法规、部门规章、规范性文件关于上市公司治理的相关要求。</w:t>
      </w:r>
    </w:p>
    <w:p>
      <w:pPr>
        <w:pStyle w:val="BodyText"/>
        <w:spacing w:line="240" w:lineRule="auto" w:before="59"/>
        <w:ind w:left="153" w:right="0"/>
        <w:jc w:val="left"/>
      </w:pPr>
      <w:r>
        <w:rPr/>
        <w:t>公司治理的实际状况与中国证监会发布的有关上市公司治理的规范性文件是否存在重大差异</w:t>
      </w:r>
    </w:p>
    <w:p>
      <w:pPr>
        <w:pStyle w:val="BodyText"/>
        <w:spacing w:line="338" w:lineRule="auto" w:before="11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8" w:firstLine="360"/>
        <w:jc w:val="both"/>
      </w:pPr>
      <w:r>
        <w:rPr/>
        <w:t>公司严格按照《公司法》和《公司章程》规范运作，逐步建立健全公司的法人治理结构，在业务、资产、人员、机构、 财务等方面均具备独立运营能力。</w:t>
      </w:r>
    </w:p>
    <w:p>
      <w:pPr>
        <w:pStyle w:val="BodyText"/>
        <w:spacing w:line="319" w:lineRule="auto" w:before="56"/>
        <w:ind w:left="153" w:right="188" w:firstLine="360"/>
        <w:jc w:val="both"/>
      </w:pPr>
      <w:r>
        <w:rPr>
          <w:spacing w:val="-2"/>
        </w:rPr>
        <w:t>（一）业务独立情况本公司主营业务为软件产品的开发与销售、计算机系统集成及技术支持与服务。公司独立进行产品</w:t>
      </w:r>
      <w:r>
        <w:rPr/>
        <w:t> </w:t>
      </w:r>
      <w:r>
        <w:rPr>
          <w:spacing w:val="-2"/>
        </w:rPr>
        <w:t>的技术研发、生产和销售，具有独立的软件开发技术，拥有具有自主知识产权的软件产品，拥有独立的注册商标，具备相关</w:t>
      </w:r>
      <w:r>
        <w:rPr>
          <w:spacing w:val="-66"/>
        </w:rPr>
        <w:t> </w:t>
      </w:r>
      <w:r>
        <w:rPr>
          <w:spacing w:val="-66"/>
        </w:rPr>
      </w:r>
      <w:r>
        <w:rPr>
          <w:spacing w:val="-2"/>
        </w:rPr>
        <w:t>业务市场的准入资质。公司已建立了完整的职能部门架构，拥有独立的采购、生产、销售和研发系统，能独立开展业务；公</w:t>
      </w:r>
      <w:r>
        <w:rPr>
          <w:spacing w:val="-67"/>
        </w:rPr>
        <w:t> </w:t>
      </w:r>
      <w:r>
        <w:rPr>
          <w:spacing w:val="-67"/>
        </w:rPr>
      </w:r>
      <w:r>
        <w:rPr>
          <w:spacing w:val="-2"/>
        </w:rPr>
        <w:t>司生产经营所需技术为公司合法独立拥有，没有产权争议；公司独立对外签订所有合同，具有独立生产经营决策，独立从事</w:t>
      </w:r>
      <w:r>
        <w:rPr>
          <w:spacing w:val="-66"/>
        </w:rPr>
        <w:t> </w:t>
      </w:r>
      <w:r>
        <w:rPr>
          <w:spacing w:val="-66"/>
        </w:rPr>
      </w:r>
      <w:r>
        <w:rPr/>
        <w:t>生产经营活动的能力，所有业务环节不存在依赖控股股东及主要股东的情况。</w:t>
      </w:r>
    </w:p>
    <w:p>
      <w:pPr>
        <w:pStyle w:val="BodyText"/>
        <w:spacing w:line="307" w:lineRule="auto" w:before="55"/>
        <w:ind w:left="153" w:right="0" w:firstLine="360"/>
        <w:jc w:val="left"/>
      </w:pPr>
      <w:r>
        <w:rPr>
          <w:spacing w:val="-2"/>
        </w:rPr>
        <w:t>（二）人员独立情况本公司的研发、生产、采购、销售和行政管理人员均完全独立。截至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日，本公司共有</w:t>
      </w:r>
      <w:r>
        <w:rPr/>
        <w:t> 正式员工</w:t>
      </w:r>
      <w:r>
        <w:rPr>
          <w:rFonts w:ascii="Times New Roman" w:hAnsi="Times New Roman" w:cs="Times New Roman" w:eastAsia="Times New Roman" w:hint="default"/>
        </w:rPr>
        <w:t>914</w:t>
      </w:r>
      <w:r>
        <w:rPr/>
        <w:t>人，均与公司签订了劳动聘用合同，公司根据工资管理制度发放工资。公司总裁、副总裁、财务负责人、董事 会秘书及核心技术人员均专职于公司工作，并领取报酬，目前并无在持有公司</w:t>
      </w:r>
      <w:r>
        <w:rPr>
          <w:rFonts w:ascii="Times New Roman" w:hAnsi="Times New Roman" w:cs="Times New Roman" w:eastAsia="Times New Roman" w:hint="default"/>
        </w:rPr>
        <w:t>5%</w:t>
      </w:r>
      <w:r>
        <w:rPr/>
        <w:t>以上股份的股东下属企业担任董事、监事 </w:t>
      </w:r>
      <w:r>
        <w:rPr>
          <w:spacing w:val="-4"/>
        </w:rPr>
        <w:t>以外的其他职务的情况。公司董事、监事及其他高级管理人员均依《公司法》、《公司章程》等规定的合法程序选举或聘任，</w:t>
      </w:r>
      <w:r>
        <w:rPr>
          <w:spacing w:val="-47"/>
        </w:rPr>
        <w:t> </w:t>
      </w:r>
      <w:r>
        <w:rPr>
          <w:spacing w:val="-47"/>
        </w:rPr>
      </w:r>
      <w:r>
        <w:rPr>
          <w:spacing w:val="-2"/>
        </w:rPr>
        <w:t>公司具有独立的人事任免权力，不存在控股股东及主要股东干预公司董事会和股东大会，或是超越董事会和股东大会做出人</w:t>
      </w:r>
      <w:r>
        <w:rPr>
          <w:spacing w:val="-64"/>
        </w:rPr>
        <w:t> </w:t>
      </w:r>
      <w:r>
        <w:rPr>
          <w:spacing w:val="-64"/>
        </w:rPr>
      </w:r>
      <w:r>
        <w:rPr/>
        <w:t>事任免决定的情况。</w:t>
      </w:r>
    </w:p>
    <w:p>
      <w:pPr>
        <w:pStyle w:val="BodyText"/>
        <w:spacing w:line="319" w:lineRule="auto" w:before="64"/>
        <w:ind w:left="153" w:right="188" w:firstLine="360"/>
        <w:jc w:val="both"/>
      </w:pPr>
      <w:r>
        <w:rPr>
          <w:spacing w:val="-2"/>
        </w:rPr>
        <w:t>（三）资产独立情况公司资产与股东资产严格分开，权属明确，并完全独立运营，公司目前业务和生产经营必需的机器</w:t>
      </w:r>
      <w:r>
        <w:rPr/>
        <w:t> </w:t>
      </w:r>
      <w:r>
        <w:rPr>
          <w:spacing w:val="-2"/>
        </w:rPr>
        <w:t>设备、房屋、土地使用权、商标、专利及其他资产的权属完全由公司独立享有，不存在与股东共用的情况。公司对所有资产</w:t>
      </w:r>
      <w:r>
        <w:rPr>
          <w:spacing w:val="-67"/>
        </w:rPr>
        <w:t> </w:t>
      </w:r>
      <w:r>
        <w:rPr>
          <w:spacing w:val="-67"/>
        </w:rPr>
      </w:r>
      <w:r>
        <w:rPr>
          <w:spacing w:val="-2"/>
        </w:rPr>
        <w:t>拥有完全的控制和支配权，不存在资产、资金被股东占用而损害公司利益的情况。公司不存在为股东和其他个人提供担保的</w:t>
      </w:r>
      <w:r>
        <w:rPr>
          <w:spacing w:val="-66"/>
        </w:rPr>
        <w:t> </w:t>
      </w:r>
      <w:r>
        <w:rPr>
          <w:spacing w:val="-66"/>
        </w:rPr>
      </w:r>
      <w:r>
        <w:rPr/>
        <w:t>情形。</w:t>
      </w:r>
    </w:p>
    <w:p>
      <w:pPr>
        <w:pStyle w:val="BodyText"/>
        <w:spacing w:line="319" w:lineRule="auto" w:before="56"/>
        <w:ind w:left="153" w:right="191" w:firstLine="360"/>
        <w:jc w:val="both"/>
      </w:pPr>
      <w:r>
        <w:rPr>
          <w:spacing w:val="-2"/>
        </w:rPr>
        <w:t>（四）机构独立情况公司设有独立的职能部门，组织结构健全，独立运作，在机构设置上完全分开，不存在与控股股东</w:t>
      </w:r>
      <w:r>
        <w:rPr/>
        <w:t> 混合经营、合署办公等情况。</w:t>
      </w:r>
    </w:p>
    <w:p>
      <w:pPr>
        <w:pStyle w:val="BodyText"/>
        <w:spacing w:line="319" w:lineRule="auto" w:before="55"/>
        <w:ind w:left="153" w:right="189" w:firstLine="360"/>
        <w:jc w:val="both"/>
      </w:pPr>
      <w:r>
        <w:rPr>
          <w:spacing w:val="-2"/>
        </w:rPr>
        <w:t>（五）财务独立情况公司设立了独立的财务部门，配备了专职财务人员，建立了独立的会计核算体系。公司具有独立作</w:t>
      </w:r>
      <w:r>
        <w:rPr/>
        <w:t> </w:t>
      </w:r>
      <w:r>
        <w:rPr>
          <w:spacing w:val="-2"/>
        </w:rPr>
        <w:t>出财务决策的能力。公司经营活动和重大资产处置行为的财务会计处理，均以股东大会决议、董事会决议及相关合同文本为</w:t>
      </w:r>
      <w:r>
        <w:rPr>
          <w:spacing w:val="-66"/>
        </w:rPr>
        <w:t> </w:t>
      </w:r>
      <w:r>
        <w:rPr>
          <w:spacing w:val="-66"/>
        </w:rPr>
      </w:r>
      <w:r>
        <w:rPr>
          <w:spacing w:val="-2"/>
        </w:rPr>
        <w:t>依据，未出现股东干预公司财务部门业务开展的情形。公司对所拥有资产有完全控制支配权，不存在股东占用公司资产而损</w:t>
      </w:r>
      <w:r>
        <w:rPr>
          <w:spacing w:val="-66"/>
        </w:rPr>
        <w:t> </w:t>
      </w:r>
      <w:r>
        <w:rPr>
          <w:spacing w:val="-66"/>
        </w:rPr>
      </w:r>
      <w:r>
        <w:rPr/>
        <w:t>害公司利益的情况。公司独立纳税，独立开设银行账户。</w:t>
      </w:r>
    </w:p>
    <w:p>
      <w:pPr>
        <w:spacing w:after="0" w:line="319" w:lineRule="auto"/>
        <w:jc w:val="both"/>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704"/>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5.19%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704"/>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153" w:right="7071"/>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70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独立董事对公司有关事项是否提出异议</w:t>
      </w:r>
    </w:p>
    <w:p>
      <w:pPr>
        <w:pStyle w:val="BodyText"/>
        <w:spacing w:line="340" w:lineRule="auto" w:before="116"/>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独立董事对公司有关建议是否被采纳</w:t>
      </w:r>
    </w:p>
    <w:p>
      <w:pPr>
        <w:pStyle w:val="BodyText"/>
        <w:spacing w:line="240" w:lineRule="auto" w:before="116"/>
        <w:ind w:left="153"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573" w:right="211" w:hanging="420"/>
        <w:jc w:val="left"/>
      </w:pPr>
      <w:r>
        <w:rPr/>
        <w:t>独立董事对公司有关建议被采纳或未被采纳的说明 公司独立董事在</w:t>
      </w:r>
      <w:r>
        <w:rPr>
          <w:rFonts w:ascii="Times New Roman" w:hAnsi="Times New Roman" w:cs="Times New Roman" w:eastAsia="Times New Roman" w:hint="default"/>
        </w:rPr>
        <w:t>2015</w:t>
      </w:r>
      <w:r>
        <w:rPr/>
        <w:t>年度勤勉尽责，忠实履行独立董事职务，积极了解公司的生产经营情况和财务状况，详实听取了</w:t>
      </w:r>
    </w:p>
    <w:p>
      <w:pPr>
        <w:pStyle w:val="BodyText"/>
        <w:spacing w:line="201" w:lineRule="exact"/>
        <w:ind w:left="153" w:right="0"/>
        <w:jc w:val="left"/>
      </w:pPr>
      <w:r>
        <w:rPr/>
        <w:t>公司相关人员的汇报，定期审阅公司提供的信息报告，掌握公司的运行动态；在董事会上发表意见、行使职权，对公司信息</w:t>
      </w:r>
    </w:p>
    <w:p>
      <w:pPr>
        <w:pStyle w:val="BodyText"/>
        <w:spacing w:line="316" w:lineRule="auto" w:before="76"/>
        <w:ind w:left="153" w:right="0"/>
        <w:jc w:val="left"/>
      </w:pPr>
      <w:r>
        <w:rPr>
          <w:spacing w:val="-2"/>
        </w:rPr>
        <w:t>披露情况等进行监督和核查，提出了科学有效的建议，出具了独立、公正的独立董事意见，积极有效地履行了独立董事的职</w:t>
      </w:r>
      <w:r>
        <w:rPr>
          <w:spacing w:val="-66"/>
        </w:rPr>
        <w:t> </w:t>
      </w:r>
      <w:r>
        <w:rPr>
          <w:spacing w:val="-66"/>
        </w:rPr>
      </w:r>
      <w:r>
        <w:rPr/>
        <w:t>责，维护了公司和中小股东的合法权益。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251" w:firstLine="380"/>
        <w:jc w:val="left"/>
      </w:pPr>
      <w:r>
        <w:rPr/>
        <w:t>公司董事会下设四个专门委员会，分别为审计委员会、提名委员会、战略委员会、薪酬与考核委员会。</w:t>
      </w:r>
      <w:r>
        <w:rPr>
          <w:rFonts w:ascii="Times New Roman" w:hAnsi="Times New Roman" w:cs="Times New Roman" w:eastAsia="Times New Roman" w:hint="default"/>
        </w:rPr>
        <w:t>2015</w:t>
      </w:r>
      <w:r>
        <w:rPr/>
        <w:t>年度各专 门委员会本着勤勉尽责的原则，按照有关法律法规、规范性文件及公司各专门委员会工作细则的有关规定开展相关工作。</w:t>
      </w:r>
    </w:p>
    <w:p>
      <w:pPr>
        <w:pStyle w:val="BodyText"/>
        <w:spacing w:line="338" w:lineRule="auto" w:before="70"/>
        <w:ind w:left="534" w:right="250" w:firstLine="12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战略委员会 报告期内，公司董事会战略委员会结合国内外宏观经济环境以及公司所在行业现状，深入分析公司经营现状和发展前</w:t>
      </w:r>
    </w:p>
    <w:p>
      <w:pPr>
        <w:pStyle w:val="BodyText"/>
        <w:spacing w:line="240" w:lineRule="auto" w:before="4"/>
        <w:ind w:left="153" w:right="0"/>
        <w:jc w:val="left"/>
      </w:pPr>
      <w:r>
        <w:rPr/>
        <w:t>景，对公司长期发展战略决策以及重大投资决策进行研究并提出建议。</w:t>
      </w:r>
    </w:p>
    <w:p>
      <w:pPr>
        <w:pStyle w:val="BodyText"/>
        <w:spacing w:line="338" w:lineRule="auto" w:before="116"/>
        <w:ind w:left="534" w:right="250" w:firstLine="19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审计委员会 报告期内，公司董事会审计委员会认真审阅了公司定期报告以及审计部门定期提交的的各项内部审计报告，听取了审</w:t>
      </w:r>
    </w:p>
    <w:p>
      <w:pPr>
        <w:pStyle w:val="BodyText"/>
        <w:spacing w:line="357" w:lineRule="auto" w:before="4"/>
        <w:ind w:left="444" w:right="0" w:hanging="291"/>
        <w:jc w:val="left"/>
      </w:pPr>
      <w:r>
        <w:rPr/>
        <w:t>计部门上年度工作总结及本年度工作计划，监督公司内部控制制度的建立健全及执行情况，指导审计部开展各项工作。 </w:t>
      </w:r>
      <w:r>
        <w:rPr>
          <w:spacing w:val="-1"/>
        </w:rPr>
        <w:t>在公司</w:t>
      </w:r>
      <w:r>
        <w:rPr>
          <w:rFonts w:ascii="Times New Roman" w:hAnsi="Times New Roman" w:cs="Times New Roman" w:eastAsia="Times New Roman" w:hint="default"/>
          <w:spacing w:val="-1"/>
        </w:rPr>
        <w:t>2015</w:t>
      </w:r>
      <w:r>
        <w:rPr>
          <w:spacing w:val="-1"/>
        </w:rPr>
        <w:t>年年度审计工作中，审计委员会积极履行职责，在公司年度财务审计机构会计师进场前认真审阅了公司编制</w:t>
      </w:r>
    </w:p>
    <w:p>
      <w:pPr>
        <w:pStyle w:val="BodyText"/>
        <w:spacing w:line="201" w:lineRule="exact"/>
        <w:ind w:left="153" w:right="0"/>
        <w:jc w:val="left"/>
      </w:pPr>
      <w:r>
        <w:rPr/>
        <w:t>的财务会计报表，与会计师进行充分沟通，督促年审会计师按时提交审计报告，并于年审会计师出具初步审计意见后重新审</w:t>
      </w:r>
    </w:p>
    <w:p>
      <w:pPr>
        <w:pStyle w:val="BodyText"/>
        <w:spacing w:line="240" w:lineRule="auto" w:before="77"/>
        <w:ind w:left="153" w:right="0"/>
        <w:jc w:val="left"/>
      </w:pPr>
      <w:r>
        <w:rPr/>
        <w:t>阅公司财务会计报表，与年审注册会计师交流后决议提交公司董事会审议。</w:t>
      </w:r>
    </w:p>
    <w:p>
      <w:pPr>
        <w:pStyle w:val="BodyText"/>
        <w:spacing w:line="338" w:lineRule="auto" w:before="116"/>
        <w:ind w:left="534" w:right="250" w:firstLine="12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提名委员会 报告期内，公司董事会提名委员会根据《公司章程》等有关规定，对公司新增董事、高级管理人员的人选、选择标准</w:t>
      </w:r>
    </w:p>
    <w:p>
      <w:pPr>
        <w:pStyle w:val="BodyText"/>
        <w:spacing w:line="240" w:lineRule="auto" w:before="4"/>
        <w:ind w:left="153" w:right="0"/>
        <w:jc w:val="left"/>
      </w:pPr>
      <w:r>
        <w:rPr/>
        <w:t>和程序进行审查，对其任职资格认真审查后发表审查意见和建议，提交董事会审议。</w:t>
      </w:r>
    </w:p>
    <w:p>
      <w:pPr>
        <w:pStyle w:val="BodyText"/>
        <w:spacing w:line="338" w:lineRule="auto" w:before="116"/>
        <w:ind w:left="534" w:right="0" w:firstLine="12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薪酬与考核委员会 </w:t>
      </w:r>
      <w:r>
        <w:rPr>
          <w:spacing w:val="-1"/>
        </w:rPr>
        <w:t>报告期内，公司董事会薪酬与考核委员会根据绩效考核办法对公司董事、监事和高级管理人员进行考核，确认其薪酬、</w:t>
      </w:r>
    </w:p>
    <w:p>
      <w:pPr>
        <w:pStyle w:val="BodyText"/>
        <w:spacing w:line="240" w:lineRule="auto" w:before="4"/>
        <w:ind w:left="153" w:right="0"/>
        <w:jc w:val="left"/>
      </w:pPr>
      <w:r>
        <w:rPr/>
        <w:t>奖金及津贴情况，认为公司董事、监事、高级管理人员薪酬水平合理、合法。</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514" w:right="0"/>
        <w:jc w:val="left"/>
      </w:pPr>
      <w:r>
        <w:rPr/>
        <w:t>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公司的高级管理人员依据《公司章程》和岗位职责开展工作。公司董事会薪酬与考核委员会依据董事、监事及高级管理</w:t>
      </w:r>
      <w:r>
        <w:rPr/>
        <w:t> 人员职责履行情况及业绩，对其进行考评，并依据考评结果提出薪酬方案，并提交董事会、股东大会审议。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7"/>
          <w:szCs w:val="27"/>
        </w:rPr>
      </w:pPr>
    </w:p>
    <w:p>
      <w:pPr>
        <w:pStyle w:val="BodyText"/>
        <w:tabs>
          <w:tab w:pos="3375" w:val="left" w:leader="none"/>
        </w:tabs>
        <w:spacing w:line="240" w:lineRule="auto" w:before="44"/>
        <w:ind w:left="181" w:right="704"/>
        <w:jc w:val="left"/>
      </w:pPr>
      <w:r>
        <w:rPr/>
        <w:t>内部控制评价报告全文披露日期</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03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4"/>
        <w:rPr>
          <w:rFonts w:ascii="宋体" w:hAnsi="宋体" w:cs="宋体" w:eastAsia="宋体" w:hint="default"/>
          <w:sz w:val="8"/>
          <w:szCs w:val="8"/>
        </w:rPr>
      </w:pPr>
    </w:p>
    <w:p>
      <w:pPr>
        <w:pStyle w:val="BodyText"/>
        <w:tabs>
          <w:tab w:pos="3375" w:val="left" w:leader="none"/>
        </w:tabs>
        <w:spacing w:line="240" w:lineRule="auto" w:before="44"/>
        <w:ind w:left="181" w:right="0"/>
        <w:jc w:val="left"/>
      </w:pPr>
      <w:r>
        <w:rPr/>
        <w:t>内部控制评价报告全文披露索引</w:t>
        <w:tab/>
        <w:t>《</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spacing w:val="-1"/>
        </w:rPr>
        <w:t>年度内部控制自我评价报告》详见巨潮资讯网（</w:t>
      </w:r>
      <w:hyperlink r:id="rId14">
        <w:r>
          <w:rPr>
            <w:rFonts w:ascii="Times New Roman" w:hAnsi="Times New Roman" w:cs="Times New Roman" w:eastAsia="Times New Roman" w:hint="default"/>
            <w:spacing w:val="-1"/>
          </w:rPr>
          <w:t>http://www.cninfo.com.cn</w:t>
        </w:r>
      </w:hyperlink>
      <w:r>
        <w:rPr>
          <w:spacing w:val="-1"/>
        </w:rPr>
        <w:t>）</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82" w:top="1060" w:bottom="1180" w:left="980" w:right="980"/>
        </w:sectPr>
      </w:pPr>
    </w:p>
    <w:p>
      <w:pPr>
        <w:pStyle w:val="BodyText"/>
        <w:spacing w:line="319" w:lineRule="auto" w:before="44"/>
        <w:ind w:left="181" w:right="-20"/>
        <w:jc w:val="left"/>
      </w:pPr>
      <w:r>
        <w:rPr/>
        <w:t>纳入评价范围单位资产总额占公司合并 财务报表资产总额的比例</w:t>
      </w:r>
    </w:p>
    <w:p>
      <w:pPr>
        <w:spacing w:line="240" w:lineRule="auto" w:before="5"/>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3242" w:space="5626"/>
            <w:col w:w="1082"/>
          </w:cols>
        </w:sectPr>
      </w:pPr>
    </w:p>
    <w:p>
      <w:pPr>
        <w:pStyle w:val="BodyText"/>
        <w:spacing w:line="319" w:lineRule="auto" w:before="106"/>
        <w:ind w:left="181" w:right="-20"/>
        <w:jc w:val="left"/>
      </w:pPr>
      <w:r>
        <w:rPr/>
        <w:t>纳入评价范围单位营业收入占公司合并 财务报表营业收入的比例</w:t>
      </w:r>
    </w:p>
    <w:p>
      <w:pPr>
        <w:spacing w:line="240" w:lineRule="auto" w:before="1"/>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2" w:equalWidth="0">
            <w:col w:w="3242" w:space="5626"/>
            <w:col w:w="1082"/>
          </w:cols>
        </w:sectPr>
      </w:pPr>
    </w:p>
    <w:p>
      <w:pPr>
        <w:pStyle w:val="BodyText"/>
        <w:spacing w:line="240" w:lineRule="auto" w:before="106"/>
        <w:ind w:left="1570" w:right="1639"/>
        <w:jc w:val="center"/>
      </w:pPr>
      <w:r>
        <w:rPr/>
        <w:t>缺陷认定标准</w:t>
      </w:r>
    </w:p>
    <w:p>
      <w:pPr>
        <w:spacing w:line="240" w:lineRule="auto" w:before="4"/>
        <w:rPr>
          <w:rFonts w:ascii="宋体" w:hAnsi="宋体" w:cs="宋体" w:eastAsia="宋体" w:hint="default"/>
          <w:sz w:val="9"/>
          <w:szCs w:val="9"/>
        </w:rPr>
      </w:pPr>
    </w:p>
    <w:p>
      <w:pPr>
        <w:pStyle w:val="BodyText"/>
        <w:tabs>
          <w:tab w:pos="4649" w:val="left" w:leader="none"/>
          <w:tab w:pos="7746" w:val="left" w:leader="none"/>
        </w:tabs>
        <w:spacing w:line="240" w:lineRule="auto" w:before="44"/>
        <w:ind w:left="1570" w:right="704"/>
        <w:jc w:val="left"/>
      </w:pPr>
      <w:r>
        <w:rPr/>
        <w:t>类别</w:t>
        <w:tab/>
        <w:t>财务报告</w:t>
        <w:tab/>
        <w:t>非财务报告</w:t>
      </w:r>
    </w:p>
    <w:p>
      <w:pPr>
        <w:spacing w:line="240" w:lineRule="auto" w:before="4"/>
        <w:rPr>
          <w:rFonts w:ascii="宋体" w:hAnsi="宋体" w:cs="宋体" w:eastAsia="宋体" w:hint="default"/>
          <w:sz w:val="9"/>
          <w:szCs w:val="9"/>
        </w:rPr>
      </w:pPr>
    </w:p>
    <w:p>
      <w:pPr>
        <w:pStyle w:val="BodyText"/>
        <w:spacing w:line="316" w:lineRule="auto" w:before="44"/>
        <w:ind w:left="3376" w:right="3236"/>
        <w:jc w:val="both"/>
      </w:pPr>
      <w:r>
        <w:rPr/>
        <w:t>公司确定的财务报告内部控制缺陷评价的 定性标准如下：</w:t>
      </w:r>
      <w:r>
        <w:rPr>
          <w:rFonts w:ascii="Times New Roman" w:hAnsi="Times New Roman" w:cs="Times New Roman" w:eastAsia="Times New Roman" w:hint="default"/>
        </w:rPr>
        <w:t>1</w:t>
      </w:r>
      <w:r>
        <w:rPr/>
        <w:t>、重大缺陷的认定标准：</w:t>
      </w:r>
    </w:p>
    <w:p>
      <w:pPr>
        <w:pStyle w:val="BodyText"/>
        <w:spacing w:line="316" w:lineRule="auto"/>
        <w:ind w:left="3376" w:right="3326"/>
        <w:jc w:val="both"/>
      </w:pPr>
      <w:r>
        <w:rPr/>
        <w:t>①公司高级管理人员舞弊；②公司更正已 公布的财务报告；③注册会计师发现当期 财务报告存在重大错报，而内部控制在运 行过程中未能发现该错报；④公司审计委</w:t>
      </w:r>
    </w:p>
    <w:p>
      <w:pPr>
        <w:pStyle w:val="BodyText"/>
        <w:spacing w:line="212" w:lineRule="exact" w:before="19"/>
        <w:ind w:left="1640" w:right="1593"/>
        <w:jc w:val="center"/>
      </w:pPr>
      <w:r>
        <w:rPr/>
        <w:t>员会和内部审计机构对内部控制的监督无</w:t>
      </w:r>
    </w:p>
    <w:p>
      <w:pPr>
        <w:spacing w:after="0" w:line="212" w:lineRule="exact"/>
        <w:jc w:val="cente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181" w:right="-20"/>
        <w:jc w:val="left"/>
      </w:pPr>
      <w:r>
        <w:rPr/>
        <w:t>定性标准</w:t>
      </w:r>
    </w:p>
    <w:p>
      <w:pPr>
        <w:pStyle w:val="BodyText"/>
        <w:spacing w:line="314" w:lineRule="auto" w:before="100"/>
        <w:ind w:left="181" w:right="-6"/>
        <w:jc w:val="left"/>
      </w:pPr>
      <w:r>
        <w:rPr>
          <w:spacing w:val="-4"/>
        </w:rPr>
        <w:br w:type="column"/>
      </w:r>
      <w:r>
        <w:rPr>
          <w:spacing w:val="-4"/>
        </w:rPr>
        <w:t>效。</w:t>
      </w:r>
      <w:r>
        <w:rPr>
          <w:rFonts w:ascii="Times New Roman" w:hAnsi="Times New Roman" w:cs="Times New Roman" w:eastAsia="Times New Roman" w:hint="default"/>
          <w:spacing w:val="-4"/>
        </w:rPr>
        <w:t>2</w:t>
      </w:r>
      <w:r>
        <w:rPr>
          <w:spacing w:val="-4"/>
        </w:rPr>
        <w:t>、重要缺陷的认定标准：①未依照公</w:t>
      </w:r>
      <w:r>
        <w:rPr>
          <w:spacing w:val="-78"/>
        </w:rPr>
        <w:t> </w:t>
      </w:r>
      <w:r>
        <w:rPr>
          <w:spacing w:val="-78"/>
        </w:rPr>
      </w:r>
      <w:r>
        <w:rPr/>
        <w:t>认会计准则选择和应用会计政策、未建立 反舞弊程序和控制措施；②对于非常规或 特殊交易的账务处理没有建立相应的控制 机制或没有实施且没有相应的补偿性控 制；③对于期末财务报告过程的控制存在 一项或多项缺陷且不能合理保证编制的财 </w:t>
      </w:r>
      <w:r>
        <w:rPr>
          <w:spacing w:val="-4"/>
        </w:rPr>
        <w:t>务报表达到真实、准确的目标。</w:t>
      </w:r>
      <w:r>
        <w:rPr>
          <w:rFonts w:ascii="Times New Roman" w:hAnsi="Times New Roman" w:cs="Times New Roman" w:eastAsia="Times New Roman" w:hint="default"/>
          <w:spacing w:val="-4"/>
        </w:rPr>
        <w:t>3</w:t>
      </w:r>
      <w:r>
        <w:rPr>
          <w:spacing w:val="-4"/>
        </w:rPr>
        <w:t>、财务报</w:t>
      </w:r>
      <w:r>
        <w:rPr>
          <w:spacing w:val="-79"/>
        </w:rPr>
        <w:t> </w:t>
      </w:r>
      <w:r>
        <w:rPr>
          <w:spacing w:val="-79"/>
        </w:rPr>
      </w:r>
      <w:r>
        <w:rPr/>
        <w:t>告一般缺陷是指除上述重大缺陷、重要缺 陷之外的其他控制缺陷。</w:t>
      </w:r>
    </w:p>
    <w:p>
      <w:pPr>
        <w:pStyle w:val="BodyText"/>
        <w:spacing w:line="180" w:lineRule="exact"/>
        <w:ind w:left="15" w:right="165"/>
        <w:jc w:val="left"/>
      </w:pPr>
      <w:r>
        <w:rPr/>
        <w:br w:type="column"/>
      </w:r>
      <w:r>
        <w:rPr/>
        <w:t>公司确定的非财务报告内部控制缺陷</w:t>
      </w:r>
    </w:p>
    <w:p>
      <w:pPr>
        <w:pStyle w:val="BodyText"/>
        <w:spacing w:line="319" w:lineRule="auto" w:before="76"/>
        <w:ind w:left="15" w:right="165"/>
        <w:jc w:val="left"/>
      </w:pPr>
      <w:r>
        <w:rPr>
          <w:spacing w:val="-4"/>
        </w:rPr>
        <w:t>评价的定量标准如下：非财务报告内部</w:t>
      </w:r>
      <w:r>
        <w:rPr>
          <w:spacing w:val="-87"/>
        </w:rPr>
        <w:t> </w:t>
      </w:r>
      <w:r>
        <w:rPr>
          <w:spacing w:val="-87"/>
        </w:rPr>
      </w:r>
      <w:r>
        <w:rPr/>
        <w:t>控制缺陷评价的定量标准参照财务报 告内部控制缺陷评价的定量标准执行。</w:t>
      </w:r>
    </w:p>
    <w:p>
      <w:pPr>
        <w:spacing w:after="0" w:line="319" w:lineRule="auto"/>
        <w:jc w:val="left"/>
        <w:sectPr>
          <w:type w:val="continuous"/>
          <w:pgSz w:w="11910" w:h="16840"/>
          <w:pgMar w:top="1060" w:bottom="1180" w:left="980" w:right="980"/>
          <w:cols w:num="3" w:equalWidth="0">
            <w:col w:w="902" w:space="2292"/>
            <w:col w:w="3450" w:space="40"/>
            <w:col w:w="3266"/>
          </w:cols>
        </w:sectPr>
      </w:pPr>
    </w:p>
    <w:p>
      <w:pPr>
        <w:pStyle w:val="BodyText"/>
        <w:spacing w:line="320" w:lineRule="atLeast" w:before="25"/>
        <w:ind w:left="3376" w:right="3218"/>
        <w:jc w:val="left"/>
      </w:pPr>
      <w:r>
        <w:rPr/>
        <w:pict>
          <v:shape style="position:absolute;margin-left:376.619385pt;margin-top:2.904679pt;width:158.25pt;height:236.05pt;mso-position-horizontal-relative:page;mso-position-vertical-relative:paragraph;z-index:-1142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t>公司确定的财务报告内部控制缺陷评价的 定量标准如下：</w:t>
      </w:r>
      <w:r>
        <w:rPr>
          <w:rFonts w:ascii="Times New Roman" w:hAnsi="Times New Roman" w:cs="Times New Roman" w:eastAsia="Times New Roman" w:hint="default"/>
        </w:rPr>
        <w:t>1</w:t>
      </w:r>
      <w:r>
        <w:rPr/>
        <w:t>、以资产总额指标衡量。</w:t>
      </w:r>
    </w:p>
    <w:p>
      <w:pPr>
        <w:pStyle w:val="BodyText"/>
        <w:spacing w:line="118" w:lineRule="exact"/>
        <w:ind w:left="0" w:right="363"/>
        <w:jc w:val="right"/>
      </w:pPr>
      <w:r>
        <w:rPr/>
        <w:t>公司确定的非财务报告内部控制缺陷</w:t>
      </w:r>
    </w:p>
    <w:p>
      <w:pPr>
        <w:spacing w:after="0" w:line="118" w:lineRule="exact"/>
        <w:jc w:val="right"/>
        <w:sectPr>
          <w:type w:val="continuous"/>
          <w:pgSz w:w="11910" w:h="16840"/>
          <w:pgMar w:top="1060" w:bottom="1180" w:left="980" w:right="980"/>
        </w:sectPr>
      </w:pPr>
    </w:p>
    <w:p>
      <w:pPr>
        <w:spacing w:line="240" w:lineRule="auto" w:before="0"/>
        <w:rPr>
          <w:rFonts w:ascii="宋体" w:hAnsi="宋体" w:cs="宋体" w:eastAsia="宋体" w:hint="default"/>
          <w:sz w:val="18"/>
          <w:szCs w:val="18"/>
        </w:rPr>
      </w:pPr>
      <w:r>
        <w:rPr/>
        <w:pict>
          <v:group style="position:absolute;margin-left:56.219978pt;margin-top:102.419952pt;width:479.35pt;height:659pt;mso-position-horizontal-relative:page;mso-position-vertical-relative:page;z-index:-1142824" coordorigin="1124,2048" coordsize="9587,13180">
            <v:group style="position:absolute;left:4300;top:2063;width:23;height:393" coordorigin="4300,2063" coordsize="23,393">
              <v:shape style="position:absolute;left:4300;top:2063;width:23;height:393" coordorigin="4300,2063" coordsize="23,393" path="m4300,2455l4322,2455,4322,2063,4300,2063,4300,2455xe" filled="true" fillcolor="#d3d3d3" stroked="false">
                <v:path arrowok="t"/>
                <v:fill type="solid"/>
              </v:shape>
            </v:group>
            <v:group style="position:absolute;left:1139;top:2063;width:23;height:393" coordorigin="1139,2063" coordsize="23,393">
              <v:shape style="position:absolute;left:1139;top:2063;width:23;height:393" coordorigin="1139,2063" coordsize="23,393" path="m1139,2455l1162,2455,1162,2063,1139,2063,1139,2455xe" filled="true" fillcolor="#d3d3d3" stroked="false">
                <v:path arrowok="t"/>
                <v:fill type="solid"/>
              </v:shape>
            </v:group>
            <v:group style="position:absolute;left:1162;top:2063;width:3138;height:393" coordorigin="1162,2063" coordsize="3138,393">
              <v:shape style="position:absolute;left:1162;top:2063;width:3138;height:393" coordorigin="1162,2063" coordsize="3138,393" path="m1162,2455l4300,2455,4300,2063,1162,2063,1162,2455xe" filled="true" fillcolor="#d3d3d3" stroked="false">
                <v:path arrowok="t"/>
                <v:fill type="solid"/>
              </v:shape>
            </v:group>
            <v:group style="position:absolute;left:1129;top:2058;width:9578;height:2" coordorigin="1129,2058" coordsize="9578,2">
              <v:shape style="position:absolute;left:1129;top:2058;width:9578;height:2" coordorigin="1129,2058" coordsize="9578,0" path="m1129,2058l10706,2058e" filled="false" stroked="true" strokeweight=".48004pt" strokecolor="#000000">
                <v:path arrowok="t"/>
              </v:shape>
            </v:group>
            <v:group style="position:absolute;left:4328;top:2063;width:2;height:393" coordorigin="4328,2063" coordsize="2,393">
              <v:shape style="position:absolute;left:4328;top:2063;width:2;height:393" coordorigin="4328,2063" coordsize="0,393" path="m4328,2063l4328,2455e" filled="false" stroked="true" strokeweight=".48pt" strokecolor="#000000">
                <v:path arrowok="t"/>
              </v:shape>
            </v:group>
            <v:group style="position:absolute;left:4300;top:2465;width:23;height:393" coordorigin="4300,2465" coordsize="23,393">
              <v:shape style="position:absolute;left:4300;top:2465;width:23;height:393" coordorigin="4300,2465" coordsize="23,393" path="m4300,2857l4322,2857,4322,2465,4300,2465,4300,2857xe" filled="true" fillcolor="#d3d3d3" stroked="false">
                <v:path arrowok="t"/>
                <v:fill type="solid"/>
              </v:shape>
            </v:group>
            <v:group style="position:absolute;left:1139;top:2465;width:23;height:393" coordorigin="1139,2465" coordsize="23,393">
              <v:shape style="position:absolute;left:1139;top:2465;width:23;height:393" coordorigin="1139,2465" coordsize="23,393" path="m1139,2857l1162,2857,1162,2465,1139,2465,1139,2857xe" filled="true" fillcolor="#d3d3d3" stroked="false">
                <v:path arrowok="t"/>
                <v:fill type="solid"/>
              </v:shape>
            </v:group>
            <v:group style="position:absolute;left:1162;top:2465;width:3138;height:393" coordorigin="1162,2465" coordsize="3138,393">
              <v:shape style="position:absolute;left:1162;top:2465;width:3138;height:393" coordorigin="1162,2465" coordsize="3138,393" path="m1162,2857l4300,2857,4300,2465,1162,2465,1162,2857xe" filled="true" fillcolor="#d3d3d3" stroked="false">
                <v:path arrowok="t"/>
                <v:fill type="solid"/>
              </v:shape>
            </v:group>
            <v:group style="position:absolute;left:1129;top:2460;width:9578;height:2" coordorigin="1129,2460" coordsize="9578,2">
              <v:shape style="position:absolute;left:1129;top:2460;width:9578;height:2" coordorigin="1129,2460" coordsize="9578,0" path="m1129,2460l10706,2460e" filled="false" stroked="true" strokeweight=".47998pt" strokecolor="#000000">
                <v:path arrowok="t"/>
              </v:shape>
            </v:group>
            <v:group style="position:absolute;left:4328;top:2465;width:2;height:393" coordorigin="4328,2465" coordsize="2,393">
              <v:shape style="position:absolute;left:4328;top:2465;width:2;height:393" coordorigin="4328,2465" coordsize="0,393" path="m4328,2465l4328,2857e" filled="false" stroked="true" strokeweight=".48pt" strokecolor="#000000">
                <v:path arrowok="t"/>
              </v:shape>
            </v:group>
            <v:group style="position:absolute;left:4300;top:3220;width:23;height:352" coordorigin="4300,3220" coordsize="23,352">
              <v:shape style="position:absolute;left:4300;top:3220;width:23;height:352" coordorigin="4300,3220" coordsize="23,352" path="m4300,3571l4322,3571,4322,3220,4300,3220,4300,3571xe" filled="true" fillcolor="#d3d3d3" stroked="false">
                <v:path arrowok="t"/>
                <v:fill type="solid"/>
              </v:shape>
            </v:group>
            <v:group style="position:absolute;left:1139;top:3220;width:23;height:352" coordorigin="1139,3220" coordsize="23,352">
              <v:shape style="position:absolute;left:1139;top:3220;width:23;height:352" coordorigin="1139,3220" coordsize="23,352" path="m1139,3571l1162,3571,1162,3220,1139,3220,1139,3571xe" filled="true" fillcolor="#d3d3d3" stroked="false">
                <v:path arrowok="t"/>
                <v:fill type="solid"/>
              </v:shape>
            </v:group>
            <v:group style="position:absolute;left:1162;top:2867;width:3138;height:353" coordorigin="1162,2867" coordsize="3138,353">
              <v:shape style="position:absolute;left:1162;top:2867;width:3138;height:353" coordorigin="1162,2867" coordsize="3138,353" path="m1162,3220l4300,3220,4300,2867,1162,2867,1162,3220xe" filled="true" fillcolor="#d3d3d3" stroked="false">
                <v:path arrowok="t"/>
                <v:fill type="solid"/>
              </v:shape>
            </v:group>
            <v:group style="position:absolute;left:1162;top:3220;width:3138;height:352" coordorigin="1162,3220" coordsize="3138,352">
              <v:shape style="position:absolute;left:1162;top:3220;width:3138;height:352" coordorigin="1162,3220" coordsize="3138,352" path="m1162,3571l4300,3571,4300,3220,1162,3220,1162,3571xe" filled="true" fillcolor="#d3d3d3" stroked="false">
                <v:path arrowok="t"/>
                <v:fill type="solid"/>
              </v:shape>
            </v:group>
            <v:group style="position:absolute;left:1129;top:2862;width:9578;height:2" coordorigin="1129,2862" coordsize="9578,2">
              <v:shape style="position:absolute;left:1129;top:2862;width:9578;height:2" coordorigin="1129,2862" coordsize="9578,0" path="m1129,2862l10706,2862e" filled="false" stroked="true" strokeweight=".47998pt" strokecolor="#000000">
                <v:path arrowok="t"/>
              </v:shape>
            </v:group>
            <v:group style="position:absolute;left:4328;top:2867;width:2;height:705" coordorigin="4328,2867" coordsize="2,705">
              <v:shape style="position:absolute;left:4328;top:2867;width:2;height:705" coordorigin="4328,2867" coordsize="0,705" path="m4328,2867l4328,3571e" filled="false" stroked="true" strokeweight=".48pt" strokecolor="#000000">
                <v:path arrowok="t"/>
              </v:shape>
            </v:group>
            <v:group style="position:absolute;left:4300;top:3934;width:23;height:352" coordorigin="4300,3934" coordsize="23,352">
              <v:shape style="position:absolute;left:4300;top:3934;width:23;height:352" coordorigin="4300,3934" coordsize="23,352" path="m4300,4285l4322,4285,4322,3934,4300,3934,4300,4285xe" filled="true" fillcolor="#d3d3d3" stroked="false">
                <v:path arrowok="t"/>
                <v:fill type="solid"/>
              </v:shape>
            </v:group>
            <v:group style="position:absolute;left:1139;top:3934;width:23;height:352" coordorigin="1139,3934" coordsize="23,352">
              <v:shape style="position:absolute;left:1139;top:3934;width:23;height:352" coordorigin="1139,3934" coordsize="23,352" path="m1139,4285l1162,4285,1162,3934,1139,3934,1139,4285xe" filled="true" fillcolor="#d3d3d3" stroked="false">
                <v:path arrowok="t"/>
                <v:fill type="solid"/>
              </v:shape>
            </v:group>
            <v:group style="position:absolute;left:1162;top:3581;width:3138;height:353" coordorigin="1162,3581" coordsize="3138,353">
              <v:shape style="position:absolute;left:1162;top:3581;width:3138;height:353" coordorigin="1162,3581" coordsize="3138,353" path="m1162,3934l4300,3934,4300,3581,1162,3581,1162,3934xe" filled="true" fillcolor="#d3d3d3" stroked="false">
                <v:path arrowok="t"/>
                <v:fill type="solid"/>
              </v:shape>
            </v:group>
            <v:group style="position:absolute;left:1162;top:3934;width:3138;height:352" coordorigin="1162,3934" coordsize="3138,352">
              <v:shape style="position:absolute;left:1162;top:3934;width:3138;height:352" coordorigin="1162,3934" coordsize="3138,352" path="m1162,4285l4300,4285,4300,3934,1162,3934,1162,4285xe" filled="true" fillcolor="#d3d3d3" stroked="false">
                <v:path arrowok="t"/>
                <v:fill type="solid"/>
              </v:shape>
            </v:group>
            <v:group style="position:absolute;left:1129;top:3576;width:9578;height:2" coordorigin="1129,3576" coordsize="9578,2">
              <v:shape style="position:absolute;left:1129;top:3576;width:9578;height:2" coordorigin="1129,3576" coordsize="9578,0" path="m1129,3576l10706,3576e" filled="false" stroked="true" strokeweight=".47998pt" strokecolor="#000000">
                <v:path arrowok="t"/>
              </v:shape>
            </v:group>
            <v:group style="position:absolute;left:4328;top:3581;width:2;height:705" coordorigin="4328,3581" coordsize="2,705">
              <v:shape style="position:absolute;left:4328;top:3581;width:2;height:705" coordorigin="4328,3581" coordsize="0,705" path="m4328,3581l4328,4285e" filled="false" stroked="true" strokeweight=".48pt" strokecolor="#000000">
                <v:path arrowok="t"/>
              </v:shape>
            </v:group>
            <v:group style="position:absolute;left:10674;top:4295;width:23;height:393" coordorigin="10674,4295" coordsize="23,393">
              <v:shape style="position:absolute;left:10674;top:4295;width:23;height:393" coordorigin="10674,4295" coordsize="23,393" path="m10674,4687l10697,4687,10697,4295,10674,4295,10674,4687xe" filled="true" fillcolor="#d3d3d3" stroked="false">
                <v:path arrowok="t"/>
                <v:fill type="solid"/>
              </v:shape>
            </v:group>
            <v:group style="position:absolute;left:1139;top:4295;width:23;height:393" coordorigin="1139,4295" coordsize="23,393">
              <v:shape style="position:absolute;left:1139;top:4295;width:23;height:393" coordorigin="1139,4295" coordsize="23,393" path="m1139,4687l1162,4687,1162,4295,1139,4295,1139,4687xe" filled="true" fillcolor="#d3d3d3" stroked="false">
                <v:path arrowok="t"/>
                <v:fill type="solid"/>
              </v:shape>
            </v:group>
            <v:group style="position:absolute;left:1162;top:4295;width:9513;height:393" coordorigin="1162,4295" coordsize="9513,393">
              <v:shape style="position:absolute;left:1162;top:4295;width:9513;height:393" coordorigin="1162,4295" coordsize="9513,393" path="m1162,4687l10674,4687,10674,4295,1162,4295,1162,4687xe" filled="true" fillcolor="#d3d3d3" stroked="false">
                <v:path arrowok="t"/>
                <v:fill type="solid"/>
              </v:shape>
            </v:group>
            <v:group style="position:absolute;left:1129;top:4290;width:9578;height:2" coordorigin="1129,4290" coordsize="9578,2">
              <v:shape style="position:absolute;left:1129;top:4290;width:9578;height:2" coordorigin="1129,4290" coordsize="9578,0" path="m1129,4290l10706,4290e" filled="false" stroked="true" strokeweight=".47998pt" strokecolor="#000000">
                <v:path arrowok="t"/>
              </v:shape>
            </v:group>
            <v:group style="position:absolute;left:4300;top:4697;width:23;height:393" coordorigin="4300,4697" coordsize="23,393">
              <v:shape style="position:absolute;left:4300;top:4697;width:23;height:393" coordorigin="4300,4697" coordsize="23,393" path="m4300,5089l4322,5089,4322,4697,4300,4697,4300,5089xe" filled="true" fillcolor="#d3d3d3" stroked="false">
                <v:path arrowok="t"/>
                <v:fill type="solid"/>
              </v:shape>
            </v:group>
            <v:group style="position:absolute;left:1139;top:4697;width:23;height:393" coordorigin="1139,4697" coordsize="23,393">
              <v:shape style="position:absolute;left:1139;top:4697;width:23;height:393" coordorigin="1139,4697" coordsize="23,393" path="m1139,5089l1162,5089,1162,4697,1139,4697,1139,5089xe" filled="true" fillcolor="#d3d3d3" stroked="false">
                <v:path arrowok="t"/>
                <v:fill type="solid"/>
              </v:shape>
            </v:group>
            <v:group style="position:absolute;left:1162;top:4697;width:3138;height:393" coordorigin="1162,4697" coordsize="3138,393">
              <v:shape style="position:absolute;left:1162;top:4697;width:3138;height:393" coordorigin="1162,4697" coordsize="3138,393" path="m1162,5089l4300,5089,4300,4697,1162,4697,1162,5089xe" filled="true" fillcolor="#d3d3d3" stroked="false">
                <v:path arrowok="t"/>
                <v:fill type="solid"/>
              </v:shape>
            </v:group>
            <v:group style="position:absolute;left:7622;top:4697;width:24;height:393" coordorigin="7622,4697" coordsize="24,393">
              <v:shape style="position:absolute;left:7622;top:4697;width:24;height:393" coordorigin="7622,4697" coordsize="24,393" path="m7622,5089l7646,5089,7646,4697,7622,4697,7622,5089xe" filled="true" fillcolor="#d3d3d3" stroked="false">
                <v:path arrowok="t"/>
                <v:fill type="solid"/>
              </v:shape>
            </v:group>
            <v:group style="position:absolute;left:4333;top:4697;width:23;height:393" coordorigin="4333,4697" coordsize="23,393">
              <v:shape style="position:absolute;left:4333;top:4697;width:23;height:393" coordorigin="4333,4697" coordsize="23,393" path="m4333,5089l4356,5089,4356,4697,4333,4697,4333,5089xe" filled="true" fillcolor="#d3d3d3" stroked="false">
                <v:path arrowok="t"/>
                <v:fill type="solid"/>
              </v:shape>
            </v:group>
            <v:group style="position:absolute;left:4356;top:4697;width:3267;height:393" coordorigin="4356,4697" coordsize="3267,393">
              <v:shape style="position:absolute;left:4356;top:4697;width:3267;height:393" coordorigin="4356,4697" coordsize="3267,393" path="m4356,5089l7622,5089,7622,4697,4356,4697,4356,5089xe" filled="true" fillcolor="#d3d3d3" stroked="false">
                <v:path arrowok="t"/>
                <v:fill type="solid"/>
              </v:shape>
            </v:group>
            <v:group style="position:absolute;left:10674;top:4697;width:23;height:393" coordorigin="10674,4697" coordsize="23,393">
              <v:shape style="position:absolute;left:10674;top:4697;width:23;height:393" coordorigin="10674,4697" coordsize="23,393" path="m10674,5089l10697,5089,10697,4697,10674,4697,10674,5089xe" filled="true" fillcolor="#d3d3d3" stroked="false">
                <v:path arrowok="t"/>
                <v:fill type="solid"/>
              </v:shape>
            </v:group>
            <v:group style="position:absolute;left:7656;top:4697;width:23;height:393" coordorigin="7656,4697" coordsize="23,393">
              <v:shape style="position:absolute;left:7656;top:4697;width:23;height:393" coordorigin="7656,4697" coordsize="23,393" path="m7656,5089l7679,5089,7679,4697,7656,4697,7656,5089xe" filled="true" fillcolor="#d3d3d3" stroked="false">
                <v:path arrowok="t"/>
                <v:fill type="solid"/>
              </v:shape>
            </v:group>
            <v:group style="position:absolute;left:7679;top:4697;width:2996;height:393" coordorigin="7679,4697" coordsize="2996,393">
              <v:shape style="position:absolute;left:7679;top:4697;width:2996;height:393" coordorigin="7679,4697" coordsize="2996,393" path="m7679,5089l10674,5089,10674,4697,7679,4697,7679,5089xe" filled="true" fillcolor="#d3d3d3" stroked="false">
                <v:path arrowok="t"/>
                <v:fill type="solid"/>
              </v:shape>
            </v:group>
            <v:group style="position:absolute;left:1129;top:4692;width:9578;height:2" coordorigin="1129,4692" coordsize="9578,2">
              <v:shape style="position:absolute;left:1129;top:4692;width:9578;height:2" coordorigin="1129,4692" coordsize="9578,0" path="m1129,4692l10706,4692e" filled="false" stroked="true" strokeweight=".48004pt" strokecolor="#000000">
                <v:path arrowok="t"/>
              </v:shape>
            </v:group>
            <v:group style="position:absolute;left:4328;top:4697;width:2;height:393" coordorigin="4328,4697" coordsize="2,393">
              <v:shape style="position:absolute;left:4328;top:4697;width:2;height:393" coordorigin="4328,4697" coordsize="0,393" path="m4328,4697l4328,5089e" filled="false" stroked="true" strokeweight=".48pt" strokecolor="#000000">
                <v:path arrowok="t"/>
              </v:shape>
            </v:group>
            <v:group style="position:absolute;left:7651;top:4697;width:2;height:393" coordorigin="7651,4697" coordsize="2,393">
              <v:shape style="position:absolute;left:7651;top:4697;width:2;height:393" coordorigin="7651,4697" coordsize="0,393" path="m7651,4697l7651,5089e" filled="false" stroked="true" strokeweight=".48001pt" strokecolor="#000000">
                <v:path arrowok="t"/>
              </v:shape>
            </v:group>
            <v:group style="position:absolute;left:1139;top:5099;width:3184;height:2496" coordorigin="1139,5099" coordsize="3184,2496">
              <v:shape style="position:absolute;left:1139;top:5099;width:3184;height:2496" coordorigin="1139,5099" coordsize="3184,2496" path="m1139,7595l4322,7595,4322,5099,1139,5099,1139,7595xe" filled="true" fillcolor="#d3d3d3" stroked="false">
                <v:path arrowok="t"/>
                <v:fill type="solid"/>
              </v:shape>
            </v:group>
            <v:group style="position:absolute;left:1139;top:7987;width:3184;height:2496" coordorigin="1139,7987" coordsize="3184,2496">
              <v:shape style="position:absolute;left:1139;top:7987;width:3184;height:2496" coordorigin="1139,7987" coordsize="3184,2496" path="m1139,10483l4322,10483,4322,7987,1139,7987,1139,10483xe" filled="true" fillcolor="#d3d3d3" stroked="false">
                <v:path arrowok="t"/>
                <v:fill type="solid"/>
              </v:shape>
            </v:group>
            <v:group style="position:absolute;left:1162;top:7595;width:3138;height:393" coordorigin="1162,7595" coordsize="3138,393">
              <v:shape style="position:absolute;left:1162;top:7595;width:3138;height:393" coordorigin="1162,7595" coordsize="3138,393" path="m1162,7987l4300,7987,4300,7595,1162,7595,1162,7987xe" filled="true" fillcolor="#d3d3d3" stroked="false">
                <v:path arrowok="t"/>
                <v:fill type="solid"/>
              </v:shape>
            </v:group>
            <v:group style="position:absolute;left:7656;top:5099;width:3041;height:2028" coordorigin="7656,5099" coordsize="3041,2028">
              <v:shape style="position:absolute;left:7656;top:5099;width:3041;height:2028" coordorigin="7656,5099" coordsize="3041,2028" path="m7656,7127l10697,7127,10697,5099,7656,5099,7656,7127xe" filled="true" fillcolor="#ffffff" stroked="false">
                <v:path arrowok="t"/>
                <v:fill type="solid"/>
              </v:shape>
            </v:group>
            <v:group style="position:absolute;left:7656;top:8455;width:3041;height:2028" coordorigin="7656,8455" coordsize="3041,2028">
              <v:shape style="position:absolute;left:7656;top:8455;width:3041;height:2028" coordorigin="7656,8455" coordsize="3041,2028" path="m7656,10483l10697,10483,10697,8455,7656,8455,7656,10483xe" filled="true" fillcolor="#ffffff" stroked="false">
                <v:path arrowok="t"/>
                <v:fill type="solid"/>
              </v:shape>
            </v:group>
            <v:group style="position:absolute;left:1129;top:5094;width:9578;height:2" coordorigin="1129,5094" coordsize="9578,2">
              <v:shape style="position:absolute;left:1129;top:5094;width:9578;height:2" coordorigin="1129,5094" coordsize="9578,0" path="m1129,5094l10706,5094e" filled="false" stroked="true" strokeweight=".48004pt" strokecolor="#000000">
                <v:path arrowok="t"/>
              </v:shape>
            </v:group>
            <v:group style="position:absolute;left:4328;top:5099;width:2;height:5385" coordorigin="4328,5099" coordsize="2,5385">
              <v:shape style="position:absolute;left:4328;top:5099;width:2;height:5385" coordorigin="4328,5099" coordsize="0,5385" path="m4328,5099l4328,10483e" filled="false" stroked="true" strokeweight=".48pt" strokecolor="#000000">
                <v:path arrowok="t"/>
              </v:shape>
            </v:group>
            <v:group style="position:absolute;left:7651;top:5099;width:2;height:5385" coordorigin="7651,5099" coordsize="2,5385">
              <v:shape style="position:absolute;left:7651;top:5099;width:2;height:5385" coordorigin="7651,5099" coordsize="0,5385" path="m7651,5099l7651,10483e" filled="false" stroked="true" strokeweight=".48001pt" strokecolor="#000000">
                <v:path arrowok="t"/>
              </v:shape>
            </v:group>
            <v:group style="position:absolute;left:1139;top:10493;width:3184;height:2165" coordorigin="1139,10493" coordsize="3184,2165">
              <v:shape style="position:absolute;left:1139;top:10493;width:3184;height:2165" coordorigin="1139,10493" coordsize="3184,2165" path="m1139,12658l4322,12658,4322,10493,1139,10493,1139,12658xe" filled="true" fillcolor="#d3d3d3" stroked="false">
                <v:path arrowok="t"/>
                <v:fill type="solid"/>
              </v:shape>
            </v:group>
            <v:group style="position:absolute;left:1139;top:13049;width:3184;height:2165" coordorigin="1139,13049" coordsize="3184,2165">
              <v:shape style="position:absolute;left:1139;top:13049;width:3184;height:2165" coordorigin="1139,13049" coordsize="3184,2165" path="m1139,15214l4322,15214,4322,13049,1139,13049,1139,15214xe" filled="true" fillcolor="#d3d3d3" stroked="false">
                <v:path arrowok="t"/>
                <v:fill type="solid"/>
              </v:shape>
            </v:group>
            <v:group style="position:absolute;left:1162;top:12658;width:3138;height:392" coordorigin="1162,12658" coordsize="3138,392">
              <v:shape style="position:absolute;left:1162;top:12658;width:3138;height:392" coordorigin="1162,12658" coordsize="3138,392" path="m1162,13049l4300,13049,4300,12658,1162,12658,1162,13049xe" filled="true" fillcolor="#d3d3d3" stroked="false">
                <v:path arrowok="t"/>
                <v:fill type="solid"/>
              </v:shape>
            </v:group>
            <v:group style="position:absolute;left:7656;top:10493;width:3041;height:449" coordorigin="7656,10493" coordsize="3041,449">
              <v:shape style="position:absolute;left:7656;top:10493;width:3041;height:449" coordorigin="7656,10493" coordsize="3041,449" path="m7656,10942l10697,10942,10697,10493,7656,10493,7656,10942xe" filled="true" fillcolor="#ffffff" stroked="false">
                <v:path arrowok="t"/>
                <v:fill type="solid"/>
              </v:shape>
            </v:group>
            <v:group style="position:absolute;left:7656;top:14765;width:3041;height:449" coordorigin="7656,14765" coordsize="3041,449">
              <v:shape style="position:absolute;left:7656;top:14765;width:3041;height:449" coordorigin="7656,14765" coordsize="3041,449" path="m7656,15214l10697,15214,10697,14765,7656,14765,7656,15214xe" filled="true" fillcolor="#ffffff" stroked="false">
                <v:path arrowok="t"/>
                <v:fill type="solid"/>
              </v:shape>
            </v:group>
            <v:group style="position:absolute;left:1129;top:10488;width:9578;height:2" coordorigin="1129,10488" coordsize="9578,2">
              <v:shape style="position:absolute;left:1129;top:10488;width:9578;height:2" coordorigin="1129,10488" coordsize="9578,0" path="m1129,10488l10706,10488e" filled="false" stroked="true" strokeweight=".47998pt" strokecolor="#000000">
                <v:path arrowok="t"/>
              </v:shape>
            </v:group>
            <v:group style="position:absolute;left:1134;top:2053;width:2;height:13170" coordorigin="1134,2053" coordsize="2,13170">
              <v:shape style="position:absolute;left:1134;top:2053;width:2;height:13170" coordorigin="1134,2053" coordsize="0,13170" path="m1134,2053l1134,15223e" filled="false" stroked="true" strokeweight=".48001pt" strokecolor="#000000">
                <v:path arrowok="t"/>
              </v:shape>
            </v:group>
            <v:group style="position:absolute;left:1129;top:15218;width:3195;height:2" coordorigin="1129,15218" coordsize="3195,2">
              <v:shape style="position:absolute;left:1129;top:15218;width:3195;height:2" coordorigin="1129,15218" coordsize="3195,0" path="m1129,15218l4324,15218e" filled="false" stroked="true" strokeweight=".48001pt" strokecolor="#000000">
                <v:path arrowok="t"/>
              </v:shape>
            </v:group>
            <v:group style="position:absolute;left:4328;top:10493;width:2;height:4731" coordorigin="4328,10493" coordsize="2,4731">
              <v:shape style="position:absolute;left:4328;top:10493;width:2;height:4731" coordorigin="4328,10493" coordsize="0,4731" path="m4328,10493l4328,15223e" filled="false" stroked="true" strokeweight=".48pt" strokecolor="#000000">
                <v:path arrowok="t"/>
              </v:shape>
            </v:group>
            <v:group style="position:absolute;left:4333;top:15218;width:3314;height:2" coordorigin="4333,15218" coordsize="3314,2">
              <v:shape style="position:absolute;left:4333;top:15218;width:3314;height:2" coordorigin="4333,15218" coordsize="3314,0" path="m4333,15218l7646,15218e" filled="false" stroked="true" strokeweight=".48001pt" strokecolor="#000000">
                <v:path arrowok="t"/>
              </v:shape>
            </v:group>
            <v:group style="position:absolute;left:7651;top:10493;width:2;height:4731" coordorigin="7651,10493" coordsize="2,4731">
              <v:shape style="position:absolute;left:7651;top:10493;width:2;height:4731" coordorigin="7651,10493" coordsize="0,4731" path="m7651,10493l7651,15223e" filled="false" stroked="true" strokeweight=".48001pt" strokecolor="#000000">
                <v:path arrowok="t"/>
              </v:shape>
            </v:group>
            <v:group style="position:absolute;left:7656;top:15218;width:3041;height:2" coordorigin="7656,15218" coordsize="3041,2">
              <v:shape style="position:absolute;left:7656;top:15218;width:3041;height:2" coordorigin="7656,15218" coordsize="3041,0" path="m7656,15218l10697,15218e" filled="false" stroked="true" strokeweight=".48001pt" strokecolor="#000000">
                <v:path arrowok="t"/>
              </v:shape>
            </v:group>
            <v:group style="position:absolute;left:10702;top:2053;width:2;height:13170" coordorigin="10702,2053" coordsize="2,13170">
              <v:shape style="position:absolute;left:10702;top:2053;width:2;height:13170" coordorigin="10702,2053" coordsize="0,13170" path="m10702,2053l10702,15223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240" w:lineRule="auto"/>
        <w:ind w:left="181" w:right="-20"/>
        <w:jc w:val="left"/>
      </w:pPr>
      <w:r>
        <w:rPr/>
        <w:t>定量标准</w:t>
      </w:r>
    </w:p>
    <w:p>
      <w:pPr>
        <w:pStyle w:val="BodyText"/>
        <w:spacing w:line="180" w:lineRule="exact"/>
        <w:ind w:left="181" w:right="-19"/>
        <w:jc w:val="left"/>
      </w:pPr>
      <w:r>
        <w:rPr/>
        <w:br w:type="column"/>
      </w:r>
      <w:r>
        <w:rPr/>
        <w:t>如果该缺陷单独或连同其他缺陷可能导致</w:t>
      </w:r>
    </w:p>
    <w:p>
      <w:pPr>
        <w:pStyle w:val="BodyText"/>
        <w:spacing w:line="307" w:lineRule="auto" w:before="76"/>
        <w:ind w:left="181" w:right="-19"/>
        <w:jc w:val="left"/>
      </w:pPr>
      <w:r>
        <w:rPr/>
        <w:t>财务报告错报金额小于资产总额的</w:t>
      </w:r>
      <w:r>
        <w:rPr>
          <w:spacing w:val="-46"/>
        </w:rPr>
        <w:t> </w:t>
      </w:r>
      <w:r>
        <w:rPr>
          <w:rFonts w:ascii="Times New Roman" w:hAnsi="Times New Roman" w:cs="Times New Roman" w:eastAsia="Times New Roman" w:hint="default"/>
        </w:rPr>
        <w:t>0.5%</w:t>
      </w:r>
      <w:r>
        <w:rPr/>
        <w:t>， 则认定为一般缺陷；如果超过资产总额的 </w:t>
      </w:r>
      <w:r>
        <w:rPr>
          <w:rFonts w:ascii="Times New Roman" w:hAnsi="Times New Roman" w:cs="Times New Roman" w:eastAsia="Times New Roman" w:hint="default"/>
        </w:rPr>
        <w:t>0.5%</w:t>
      </w:r>
      <w:r>
        <w:rPr/>
        <w:t>但小于</w:t>
      </w:r>
      <w:r>
        <w:rPr>
          <w:spacing w:val="-46"/>
        </w:rPr>
        <w:t> </w:t>
      </w:r>
      <w:r>
        <w:rPr>
          <w:rFonts w:ascii="Times New Roman" w:hAnsi="Times New Roman" w:cs="Times New Roman" w:eastAsia="Times New Roman" w:hint="default"/>
        </w:rPr>
        <w:t>1%</w:t>
      </w:r>
      <w:r>
        <w:rPr/>
        <w:t>，则认定为重要缺陷；如 果超过资产总额的</w:t>
      </w:r>
      <w:r>
        <w:rPr>
          <w:spacing w:val="-46"/>
        </w:rPr>
        <w:t> </w:t>
      </w:r>
      <w:r>
        <w:rPr>
          <w:rFonts w:ascii="Times New Roman" w:hAnsi="Times New Roman" w:cs="Times New Roman" w:eastAsia="Times New Roman" w:hint="default"/>
        </w:rPr>
        <w:t>1%</w:t>
      </w:r>
      <w:r>
        <w:rPr/>
        <w:t>，则认定为重大缺 </w:t>
      </w:r>
      <w:r>
        <w:rPr>
          <w:spacing w:val="-4"/>
        </w:rPr>
        <w:t>陷。</w:t>
      </w:r>
      <w:r>
        <w:rPr>
          <w:rFonts w:ascii="Times New Roman" w:hAnsi="Times New Roman" w:cs="Times New Roman" w:eastAsia="Times New Roman" w:hint="default"/>
          <w:spacing w:val="-4"/>
        </w:rPr>
        <w:t>2</w:t>
      </w:r>
      <w:r>
        <w:rPr>
          <w:spacing w:val="-4"/>
        </w:rPr>
        <w:t>、以营业收入指标衡量。如果该缺陷</w:t>
      </w:r>
      <w:r>
        <w:rPr>
          <w:spacing w:val="-78"/>
        </w:rPr>
        <w:t> </w:t>
      </w:r>
      <w:r>
        <w:rPr>
          <w:spacing w:val="-78"/>
        </w:rPr>
      </w:r>
      <w:r>
        <w:rPr/>
        <w:t>单独或连同其他缺陷可能导致财务报告错 报金额小于营业收入的</w:t>
      </w:r>
      <w:r>
        <w:rPr>
          <w:spacing w:val="-45"/>
        </w:rPr>
        <w:t> </w:t>
      </w:r>
      <w:r>
        <w:rPr>
          <w:rFonts w:ascii="Times New Roman" w:hAnsi="Times New Roman" w:cs="Times New Roman" w:eastAsia="Times New Roman" w:hint="default"/>
          <w:spacing w:val="-9"/>
        </w:rPr>
        <w:t>1%</w:t>
      </w:r>
      <w:r>
        <w:rPr>
          <w:spacing w:val="-9"/>
        </w:rPr>
        <w:t>，则认定为一般</w:t>
      </w:r>
      <w:r>
        <w:rPr/>
        <w:t> </w:t>
      </w:r>
      <w:r>
        <w:rPr>
          <w:spacing w:val="-8"/>
        </w:rPr>
        <w:t>缺陷；如果超过营业收入的</w:t>
      </w:r>
      <w:r>
        <w:rPr>
          <w:spacing w:val="-46"/>
        </w:rPr>
        <w:t> </w:t>
      </w:r>
      <w:r>
        <w:rPr>
          <w:rFonts w:ascii="Times New Roman" w:hAnsi="Times New Roman" w:cs="Times New Roman" w:eastAsia="Times New Roman" w:hint="default"/>
        </w:rPr>
        <w:t>1%</w:t>
      </w:r>
      <w:r>
        <w:rPr/>
        <w:t>但小于</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则认定为重要缺陷；如果超过营业收入的 </w:t>
      </w:r>
      <w:r>
        <w:rPr>
          <w:rFonts w:ascii="Times New Roman" w:hAnsi="Times New Roman" w:cs="Times New Roman" w:eastAsia="Times New Roman" w:hint="default"/>
        </w:rPr>
        <w:t>2%</w:t>
      </w:r>
      <w:r>
        <w:rPr/>
        <w:t>，则认定为重大缺陷。</w:t>
      </w:r>
      <w:r>
        <w:rPr>
          <w:rFonts w:ascii="Times New Roman" w:hAnsi="Times New Roman" w:cs="Times New Roman" w:eastAsia="Times New Roman" w:hint="default"/>
        </w:rPr>
        <w:t>3</w:t>
      </w:r>
      <w:r>
        <w:rPr/>
        <w:t>、以利润总额 指标衡量。如果该缺陷单独或连同其他缺 陷可能导致财务报告错报金额小于利润总</w:t>
      </w:r>
    </w:p>
    <w:p>
      <w:pPr>
        <w:pStyle w:val="BodyText"/>
        <w:spacing w:line="314" w:lineRule="auto" w:before="80"/>
        <w:ind w:left="-18" w:right="166"/>
        <w:jc w:val="left"/>
      </w:pPr>
      <w:r>
        <w:rPr/>
        <w:br w:type="column"/>
      </w:r>
      <w:r>
        <w:rPr/>
        <w:t>评价的定性标准如下：</w:t>
      </w:r>
      <w:r>
        <w:rPr>
          <w:rFonts w:ascii="Times New Roman" w:hAnsi="Times New Roman" w:cs="Times New Roman" w:eastAsia="Times New Roman" w:hint="default"/>
        </w:rPr>
        <w:t>1</w:t>
      </w:r>
      <w:r>
        <w:rPr/>
        <w:t>、重大缺陷的 </w:t>
      </w:r>
      <w:r>
        <w:rPr>
          <w:spacing w:val="-4"/>
        </w:rPr>
        <w:t>认定标准：①公司经营活动严重违反国</w:t>
      </w:r>
      <w:r>
        <w:rPr>
          <w:spacing w:val="-87"/>
        </w:rPr>
        <w:t> </w:t>
      </w:r>
      <w:r>
        <w:rPr>
          <w:spacing w:val="-87"/>
        </w:rPr>
      </w:r>
      <w:r>
        <w:rPr/>
        <w:t>家法律法规；②媒体负面新闻频频曝 </w:t>
      </w:r>
      <w:r>
        <w:rPr>
          <w:spacing w:val="-4"/>
        </w:rPr>
        <w:t>光，对公司声誉造成重大损害；③中高</w:t>
      </w:r>
      <w:r>
        <w:rPr>
          <w:spacing w:val="-88"/>
        </w:rPr>
        <w:t> </w:t>
      </w:r>
      <w:r>
        <w:rPr>
          <w:spacing w:val="-88"/>
        </w:rPr>
      </w:r>
      <w:r>
        <w:rPr/>
        <w:t>级管理人员和高级技术人员严重流失；</w:t>
      </w:r>
    </w:p>
    <w:p>
      <w:pPr>
        <w:pStyle w:val="BodyText"/>
        <w:spacing w:line="314" w:lineRule="auto" w:before="20"/>
        <w:ind w:left="-18" w:right="234"/>
        <w:jc w:val="left"/>
      </w:pPr>
      <w:r>
        <w:rPr/>
        <w:t>④重要业务缺乏制度控制或制度系统 </w:t>
      </w:r>
      <w:r>
        <w:rPr>
          <w:spacing w:val="-4"/>
        </w:rPr>
        <w:t>性失效；⑤内部控制评价的结果特别是</w:t>
      </w:r>
      <w:r>
        <w:rPr>
          <w:spacing w:val="-87"/>
        </w:rPr>
        <w:t> </w:t>
      </w:r>
      <w:r>
        <w:rPr>
          <w:spacing w:val="-87"/>
        </w:rPr>
      </w:r>
      <w:r>
        <w:rPr/>
        <w:t>重大缺陷或重要缺陷未得到整改。</w:t>
      </w:r>
      <w:r>
        <w:rPr>
          <w:rFonts w:ascii="Times New Roman" w:hAnsi="Times New Roman" w:cs="Times New Roman" w:eastAsia="Times New Roman" w:hint="default"/>
        </w:rPr>
        <w:t>2</w:t>
      </w:r>
      <w:r>
        <w:rPr/>
        <w:t>、 </w:t>
      </w:r>
      <w:r>
        <w:rPr>
          <w:spacing w:val="-4"/>
        </w:rPr>
        <w:t>重要缺陷的认定标准：①公司违反国家</w:t>
      </w:r>
      <w:r>
        <w:rPr>
          <w:spacing w:val="-87"/>
        </w:rPr>
        <w:t> </w:t>
      </w:r>
      <w:r>
        <w:rPr>
          <w:spacing w:val="-87"/>
        </w:rPr>
      </w:r>
      <w:r>
        <w:rPr>
          <w:spacing w:val="-4"/>
        </w:rPr>
        <w:t>法律法规受到轻微处罚；②关键岗位业</w:t>
      </w:r>
      <w:r>
        <w:rPr>
          <w:spacing w:val="-87"/>
        </w:rPr>
        <w:t> </w:t>
      </w:r>
      <w:r>
        <w:rPr>
          <w:spacing w:val="-87"/>
        </w:rPr>
      </w:r>
      <w:r>
        <w:rPr/>
        <w:t>务人员流失严重；③媒体出现负面新</w:t>
      </w:r>
    </w:p>
    <w:p>
      <w:pPr>
        <w:spacing w:after="0" w:line="314" w:lineRule="auto"/>
        <w:jc w:val="left"/>
        <w:sectPr>
          <w:type w:val="continuous"/>
          <w:pgSz w:w="11910" w:h="16840"/>
          <w:pgMar w:top="1060" w:bottom="1180" w:left="980" w:right="980"/>
          <w:cols w:num="3" w:equalWidth="0">
            <w:col w:w="902" w:space="2292"/>
            <w:col w:w="3482" w:space="40"/>
            <w:col w:w="3234"/>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，则认定为一般缺陷；如果超过利</w:t>
            </w:r>
            <w:r>
              <w:rPr>
                <w:rFonts w:ascii="宋体" w:hAnsi="宋体" w:cs="宋体" w:eastAsia="宋体" w:hint="default"/>
                <w:sz w:val="18"/>
                <w:szCs w:val="18"/>
              </w:rPr>
              <w:t> 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 </w:t>
            </w:r>
            <w:r>
              <w:rPr>
                <w:rFonts w:ascii="宋体" w:hAnsi="宋体" w:cs="宋体" w:eastAsia="宋体" w:hint="default"/>
                <w:spacing w:val="-4"/>
                <w:sz w:val="18"/>
                <w:szCs w:val="18"/>
              </w:rPr>
              <w:t>陷；如果超过利润总额的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w:t>
            </w:r>
            <w:r>
              <w:rPr>
                <w:rFonts w:ascii="宋体" w:hAnsi="宋体" w:cs="宋体" w:eastAsia="宋体" w:hint="default"/>
                <w:sz w:val="18"/>
                <w:szCs w:val="18"/>
              </w:rPr>
              <w:t> 大缺陷。</w:t>
            </w:r>
          </w:p>
        </w:tc>
        <w:tc>
          <w:tcPr>
            <w:tcW w:w="3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704"/>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我们认为，榕基软件公司于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704"/>
        <w:jc w:val="left"/>
      </w:pPr>
      <w:r>
        <w:rPr/>
        <w:t>会计师事务所是否出具非标准意见的内部控制鉴证报告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0"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351ZA0023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林庆瑜、陈连锋</w:t>
            </w:r>
          </w:p>
        </w:tc>
      </w:tr>
    </w:tbl>
    <w:p>
      <w:pPr>
        <w:pStyle w:val="BodyText"/>
        <w:spacing w:line="240" w:lineRule="auto" w:before="51"/>
        <w:ind w:left="3427" w:right="3464"/>
        <w:jc w:val="center"/>
      </w:pPr>
      <w:r>
        <w:rPr/>
        <w:t>审计报告正文</w:t>
      </w:r>
    </w:p>
    <w:p>
      <w:pPr>
        <w:spacing w:line="240" w:lineRule="auto" w:before="7"/>
        <w:rPr>
          <w:rFonts w:ascii="宋体" w:hAnsi="宋体" w:cs="宋体" w:eastAsia="宋体" w:hint="default"/>
          <w:sz w:val="11"/>
          <w:szCs w:val="11"/>
        </w:rPr>
      </w:pPr>
    </w:p>
    <w:p>
      <w:pPr>
        <w:pStyle w:val="Heading4"/>
        <w:spacing w:line="240" w:lineRule="auto" w:before="44"/>
        <w:ind w:left="154" w:right="0"/>
        <w:jc w:val="left"/>
        <w:rPr>
          <w:b w:val="0"/>
          <w:bCs w:val="0"/>
        </w:rPr>
      </w:pPr>
      <w:r>
        <w:rPr/>
        <w:t>福建榕基软件股份有限公司全体股东：</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90" w:firstLine="495"/>
        <w:jc w:val="left"/>
      </w:pPr>
      <w:r>
        <w:rPr>
          <w:spacing w:val="-1"/>
        </w:rPr>
        <w:t>我们审计了后附的福建榕基软件股份有限公司（以下简称榕基软件公司）财务报表，包括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w:t>
      </w:r>
      <w:r>
        <w:rPr/>
        <w:t> 司资产负债表，</w:t>
      </w:r>
      <w:r>
        <w:rPr>
          <w:rFonts w:ascii="Times New Roman" w:hAnsi="Times New Roman" w:cs="Times New Roman" w:eastAsia="Times New Roman" w:hint="default"/>
        </w:rPr>
        <w:t>2015</w:t>
      </w:r>
      <w:r>
        <w:rPr/>
        <w:t>年度的合并及公司利润表、合并及公司现金流量表、合并及公司股东权益变动表以及财务报表附注。</w:t>
      </w:r>
    </w:p>
    <w:p>
      <w:pPr>
        <w:pStyle w:val="Heading4"/>
        <w:spacing w:line="240" w:lineRule="auto"/>
        <w:ind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0" w:firstLine="495"/>
        <w:jc w:val="left"/>
      </w:pPr>
      <w:r>
        <w:rPr/>
        <w:t>编制和公允列报财务报表是榕基软件公司管理层的责任，这种责任包括：（</w:t>
      </w:r>
      <w:r>
        <w:rPr>
          <w:rFonts w:ascii="Times New Roman" w:hAnsi="Times New Roman" w:cs="Times New Roman" w:eastAsia="Times New Roman" w:hint="default"/>
        </w:rPr>
        <w:t>1</w:t>
      </w:r>
      <w:r>
        <w:rPr/>
        <w:t>）按照企业会计准则的规定编制财务报 </w:t>
      </w:r>
      <w:r>
        <w:rPr>
          <w:spacing w:val="-2"/>
        </w:rPr>
        <w:t>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p>
    <w:p>
      <w:pPr>
        <w:pStyle w:val="Heading4"/>
        <w:spacing w:line="240" w:lineRule="auto"/>
        <w:ind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91" w:firstLine="495"/>
        <w:jc w:val="both"/>
      </w:pPr>
      <w:r>
        <w:rPr>
          <w:spacing w:val="-1"/>
        </w:rPr>
        <w:t>我们的责任是在执行审计工作的基础上对财务报表发表审计意见。我们按照中国注册会计师审计准则的规定执行了审</w:t>
      </w:r>
      <w:r>
        <w:rPr/>
        <w:t>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39"/>
        <w:ind w:right="0" w:firstLine="495"/>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432" w:lineRule="exact" w:before="3"/>
        <w:ind w:left="634" w:right="3015" w:firstLine="15"/>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5"/>
        <w:ind w:left="153" w:right="271"/>
        <w:jc w:val="left"/>
      </w:pPr>
      <w:r>
        <w:rPr/>
        <w:t>我们认为，榕基软件公司财务报表在所有重大方面按照企业会计准则的规定编制，公允反映了榕基软件公司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日的合并及公司财务状况以及</w:t>
      </w:r>
      <w:r>
        <w:rPr>
          <w:rFonts w:ascii="Times New Roman" w:hAnsi="Times New Roman" w:cs="Times New Roman" w:eastAsia="Times New Roman" w:hint="default"/>
        </w:rPr>
        <w:t>2015</w:t>
      </w:r>
      <w:r>
        <w:rPr/>
        <w:t>年度的合并及公司经营成果和合并及公司现金流量。</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编制单位：福建榕基软件股份有限公司</w:t>
      </w:r>
    </w:p>
    <w:p>
      <w:pPr>
        <w:pStyle w:val="BodyText"/>
        <w:spacing w:line="240" w:lineRule="auto" w:before="116"/>
        <w:ind w:left="3427" w:right="3464"/>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cente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448,073,047.98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388,260,449.96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13,737,767.90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17,701,639.15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82,626,850.53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74,951,370.16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38,505,021.25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22,973,183.09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2,249,919.07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791,610.79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37,438,083.52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24,054,020.81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486,756,391.18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236,519,029.20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343,455,298.67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447,426,948.71</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1,452,842,380.10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1,212,678,251.87</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87,198,279.86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72,289,929.28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37,947,027.90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44,479,098.04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3,766,730.33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127,590,017.49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229,609,442.05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27,506,457.14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18,537,489.04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12,622,601.71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107,682,828.44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70,671,720.10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453,628,830.20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473,476,630.08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1,906,471,210.30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1,686,154,881.95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7,188,470.00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137,835,900.71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90,965,022.34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183,788,689.57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93,869,216.52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15,016,268.49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14,657,122.74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6,559,970.66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6,852,210.91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90,222.23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9,840,949.67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6,028,332.51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488,879,599.10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292,462,127.25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35,633,423.06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37,310,277.77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35,633,423.06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37,310,277.77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524,513,022.16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329,772,405.02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363,642,750.88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363,642,750.88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3,462,997.72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-1,495,486.17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54,730,315.23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53,377,956.18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323,259,682.08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318,114,413.56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1,367,295,745.91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1,355,839,634.45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14,662,442.23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542,842.48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1,381,958,188.14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1,356,382,476.93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1,906,471,210.30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1,686,154,881.95</w:t>
            </w:r>
          </w:p>
        </w:tc>
      </w:tr>
    </w:tbl>
    <w:p>
      <w:pPr>
        <w:spacing w:line="240" w:lineRule="auto" w:before="3"/>
        <w:rPr>
          <w:rFonts w:ascii="Times New Roman" w:hAnsi="Times New Roman" w:cs="Times New Roman" w:eastAsia="Times New Roman" w:hint="default"/>
          <w:sz w:val="23"/>
          <w:szCs w:val="23"/>
        </w:rPr>
      </w:pPr>
    </w:p>
    <w:p>
      <w:pPr>
        <w:pStyle w:val="BodyText"/>
        <w:tabs>
          <w:tab w:pos="3573" w:val="left" w:leader="none"/>
          <w:tab w:pos="7713" w:val="left" w:leader="none"/>
        </w:tabs>
        <w:spacing w:line="240" w:lineRule="auto" w:before="44"/>
        <w:ind w:right="0"/>
        <w:jc w:val="left"/>
      </w:pPr>
      <w:r>
        <w:rPr/>
        <w:t>法定代表人：鲁峰</w:t>
        <w:tab/>
        <w:t>主管会计工作负责人：侯伟</w:t>
        <w:tab/>
        <w:t>会计机构负责人：镇千金</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162,145,009.74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181,606,839.34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10,740,931.20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71,919,578.18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64,335,005.71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32,308,686.40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79,419,880.86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1,138,641.27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781,512.79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403,083,002.49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277,186,169.81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155,168,261.86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97,900,912.56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237,749,705.89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86,648,364.37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1,066,663,035.83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798,619,616.64</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698,376,537.29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754,576,537.29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31,368,995.38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37,973,697.44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56,602,419.32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67,372,897.61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18,232,625.91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13,075,000.00</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2,966,241.49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2,848,592.13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850,946,819.39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919,246,724.47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1,917,609,855.22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1,717,866,341.11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7,188,470.00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118,643,527.01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87,301,242.75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180,854,973.93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92,016,591.85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7,557,282.41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7,974,931.39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4,343,339.78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6,041,233.86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3,201,350.00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90,222.23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80,291,007.77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56,621,950.49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527,499,950.90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330,046,172.57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4,276,923.06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6,177,777.77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4,276,923.06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6,177,777.77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531,776,873.96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336,223,950.34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364,193,237.65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364,193,237.65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54,730,315.23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53,377,956.18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344,709,428.38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341,871,196.94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1,385,832,981.26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1,381,642,390.77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1,917,609,855.22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1,717,866,341.11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704"/>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623,602,054.84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598,305,165.28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623,602,054.84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598,305,165.28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651,933,237.01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621,662,911.80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418,038,362.25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424,922,378.38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2,244,366.01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2,653,123.49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41202pt;margin-top:380.579987pt;width:193.1pt;height:19.650pt;mso-position-horizontal-relative:page;mso-position-vertical-relative:page;z-index:-114280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0.960007pt;margin-top:259.980011pt;width:160pt;height:19.650pt;mso-position-horizontal-relative:page;mso-position-vertical-relative:page;z-index:-1142776" coordorigin="4219,5200" coordsize="3200,393">
            <v:group style="position:absolute;left:7396;top:5200;width:23;height:393" coordorigin="7396,5200" coordsize="23,393">
              <v:shape style="position:absolute;left:7396;top:5200;width:23;height:393" coordorigin="7396,5200" coordsize="23,393" path="m7396,5592l7418,5592,7418,5200,7396,5200,7396,5592xe" filled="true" fillcolor="#ffffff" stroked="false">
                <v:path arrowok="t"/>
                <v:fill type="solid"/>
              </v:shape>
            </v:group>
            <v:group style="position:absolute;left:4219;top:5200;width:23;height:393" coordorigin="4219,5200" coordsize="23,393">
              <v:shape style="position:absolute;left:4219;top:5200;width:23;height:393" coordorigin="4219,5200" coordsize="23,393" path="m4219,5592l4242,5592,4242,5200,4219,5200,4219,5592xe" filled="true" fillcolor="#ffffff" stroked="false">
                <v:path arrowok="t"/>
                <v:fill type="solid"/>
              </v:shape>
            </v:group>
            <v:group style="position:absolute;left:4242;top:5200;width:3154;height:393" coordorigin="4242,5200" coordsize="3154,393">
              <v:shape style="position:absolute;left:4242;top:5200;width:3154;height:393" coordorigin="4242,5200" coordsize="3154,393" path="m4242,5592l7396,5592,7396,5200,4242,5200,4242,55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46,922,095.29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47,129,006.27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180,929,641.25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149,368,927.43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2,388,015.88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-6,442,453.27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1,410,756.33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4,031,929.50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33,607,086.70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36,546,321.67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17,358,350.58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12,252,852.71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5,275,904.53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13,188,575.15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9,490,780.25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10,942,446.95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40,162.57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66,235.33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14,726,522.21</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24,064,786.77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-723,705.11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2,097,182.60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15,450,227.32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21,967,604.17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15,830,627.57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22,250,622.89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-380,400.25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-283,018.72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-1,006,031.48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4,958,483.89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-1,006,031.48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8"/>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4,958,483.89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-1,006,031.48</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-1,006,031.48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20,408,711.21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20,961,572.69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20,789,111.46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21,244,591.41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-380,400.25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-283,018.72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0.0358</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法定代表人：鲁峰</w:t>
        <w:tab/>
        <w:t>主管会计工作负责人：侯伟</w:t>
        <w:tab/>
        <w:t>会计机构负责人：镇千金</w:t>
      </w:r>
    </w:p>
    <w:p>
      <w:pPr>
        <w:pStyle w:val="Heading3"/>
        <w:spacing w:line="240" w:lineRule="auto" w:before="63"/>
        <w:ind w:right="704"/>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377,537,209.89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442,284,498.38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244,141,677.01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283,282,671.28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1,816,596.02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2,430,738.90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23,710,486.73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25,848,663.76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98,858,756.16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81,248,668.10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4,171,264.18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-3,808,008.74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265,183.69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2,680,352.69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6,273,911.53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6,571,531.11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10,847,157.63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57,172,943.50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6,864,988.48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10,775,863.25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118,286.45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52,135.08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17,683,671.51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67,830,520.30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4,160,081.02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6,423,999.87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13,523,590.49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61,406,520.43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（一）以后不能重分类进损益的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（二）以后将重分类进损益的其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13,523,590.49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61,406,520.43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790,415,759.63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662,006,244.69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3,667,981.18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6,283,848.87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12,633,231.09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35,271,155.32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806,716,971.90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703,561,248.88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547,974,740.59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518,987,970.92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72,573,962.69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71,439,431.95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22,659,231.12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25,556,808.55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145,506,874.57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130,733,177.63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788,714,808.97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746,717,389.05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18,002,162.93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-43,156,140.17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18,698,736.12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24,293,468.96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2,618,698,736.12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3,800,893,468.96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153,321,212.04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230,907,998.92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2,641,321,212.04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3,862,307,998.92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-22,622,475.92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-61,414,529.96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11,833,109.86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92,033,109.86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45,466,890.14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4,856,856.15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-1,006,031.48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45,703,433.30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-41,131,701.61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301,533,250.26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342,664,951.87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347,236,683.56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704"/>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512,685,501.31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487,901,906.13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1,743,533.05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6,283,848.87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30,723,048.71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143,559,965.38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545,152,083.07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637,745,720.38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261,494,742.49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396,910,421.98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31,461,047.00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27,160,848.88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17,018,474.55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22,888,964.26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181,047,380.82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258,420,947.60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491,021,644.86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705,381,182.72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54,130,438.21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-67,635,462.34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6,273,911.53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6,571,531.11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987,273,911.53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1,334,171,531.11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29,826,400.65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44,876,074.69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1,327,404,591.40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1,097,626,400.65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1,372,280,666.09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-110,352,489.12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-38,109,134.98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11,833,109.86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91,833,109.86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15,555,000.00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31,166,890.14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64,445,000.00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-25,055,160.77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-41,299,597.32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163,732,839.64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205,032,436.96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138,677,678.87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163,732,839.64</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-1,495,4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956.18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318,114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542,842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82,476.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-1,495,4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956.18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318,114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,413.56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542,842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82,476.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4,958,4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83.89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59.05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5,145,2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68.52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25,575,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711.21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4,958,4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83.89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15,830,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627.57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-380,40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20,408,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711.21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59.05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-10,685,</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359.05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59.05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622,20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363,642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3,462,9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54,730,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323,259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14,662,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1,381,9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97.72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315.23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,682.08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442.23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58,188.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bl>
    <w:p>
      <w:pPr>
        <w:pStyle w:val="BodyText"/>
        <w:spacing w:line="240" w:lineRule="auto" w:before="51"/>
        <w:ind w:right="704"/>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674,742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47,237,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317,559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,442.71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825,861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674,742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-489,45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47,237,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317,559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,442.71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825,861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75,904.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554,970</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8.72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5,406,5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72.69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-1,006,0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31.48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22,250,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622.89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8.72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20,961,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572.69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6,140,6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-21,695,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-15,555,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Times New Roman" w:hAnsi="Times New Roman" w:cs="Times New Roman" w:eastAsia="Times New Roman" w:hint="default"/>
                <w:sz w:val="18"/>
                <w:szCs w:val="18"/>
              </w:rPr>
            </w:pPr>
            <w:r>
              <w:rPr>
                <w:rFonts w:ascii="Times New Roman"/>
                <w:sz w:val="18"/>
              </w:rPr>
              <w:t>652.04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52.04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-15,555,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311,10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-1,495,4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956.18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318,114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,413.56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542,842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82,476.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t>本期金额</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53,377,95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341,871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,196.94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1,381,642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,390.77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53,377,95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341,871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,196.94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1,381,642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,390.77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2,838,2</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31.44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4,190,590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590.49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13,523,59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-10,685,</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359.05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-9,333,00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-1,352,3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59.05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-9,333,0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-9,333,00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54,730,31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344,709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,428.38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1,385,832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,981.26</w:t>
            </w:r>
          </w:p>
        </w:tc>
      </w:tr>
    </w:tbl>
    <w:p>
      <w:pPr>
        <w:pStyle w:val="BodyText"/>
        <w:spacing w:line="240" w:lineRule="auto" w:before="51"/>
        <w:ind w:right="704"/>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675,293,2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47,237,30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302,160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,328.55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1,335,790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,870.34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675,293,2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47,237,30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302,160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,328.55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1,335,790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,870.34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6,140,652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39,710,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868.39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45,851,52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520.43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61,406,52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6,140,652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-21,695,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652.04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-15,555,0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6,140,652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-6,140,6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52.04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-15,555,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-15,555,0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-311,100,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53,377,95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341,871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,196.94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1,381,642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,390.77</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（一）历史沿革</w:t>
      </w:r>
    </w:p>
    <w:p>
      <w:pPr>
        <w:spacing w:line="240" w:lineRule="auto" w:before="5"/>
        <w:rPr>
          <w:rFonts w:ascii="宋体" w:hAnsi="宋体" w:cs="宋体" w:eastAsia="宋体" w:hint="default"/>
          <w:sz w:val="22"/>
          <w:szCs w:val="22"/>
        </w:rPr>
      </w:pPr>
    </w:p>
    <w:p>
      <w:pPr>
        <w:pStyle w:val="BodyText"/>
        <w:spacing w:line="300" w:lineRule="auto"/>
        <w:ind w:right="149"/>
        <w:jc w:val="both"/>
      </w:pPr>
      <w:r>
        <w:rPr>
          <w:spacing w:val="-1"/>
        </w:rPr>
        <w:t>福建榕基软件股份有限公司（原名</w:t>
      </w:r>
      <w:r>
        <w:rPr>
          <w:rFonts w:ascii="Times New Roman" w:hAnsi="Times New Roman" w:cs="Times New Roman" w:eastAsia="Times New Roman" w:hint="default"/>
          <w:spacing w:val="-1"/>
        </w:rPr>
        <w:t>“</w:t>
      </w:r>
      <w:r>
        <w:rPr>
          <w:spacing w:val="-1"/>
        </w:rPr>
        <w:t>福建榕基软件开发有限公司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）原由刘启鄂、侯伟及宁金成等三个自</w:t>
      </w:r>
      <w:r>
        <w:rPr>
          <w:spacing w:val="-79"/>
        </w:rPr>
        <w:t> </w:t>
      </w:r>
      <w:r>
        <w:rPr>
          <w:spacing w:val="-79"/>
        </w:rPr>
      </w:r>
      <w:r>
        <w:rPr>
          <w:spacing w:val="-2"/>
        </w:rPr>
        <w:t>然人股东共同投资设立，于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日取得《企业法人营业执照》，</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日采取发起方式整体变更为福建榕基</w:t>
      </w:r>
      <w:r>
        <w:rPr>
          <w:spacing w:val="-50"/>
        </w:rPr>
        <w:t> </w:t>
      </w:r>
      <w:r>
        <w:rPr/>
        <w:t>软件股份有限公司，取得福建省工商行政管理局核发的</w:t>
      </w:r>
      <w:r>
        <w:rPr>
          <w:rFonts w:ascii="Times New Roman" w:hAnsi="Times New Roman" w:cs="Times New Roman" w:eastAsia="Times New Roman" w:hint="default"/>
        </w:rPr>
        <w:t>350000100001214</w:t>
      </w:r>
      <w:r>
        <w:rPr/>
        <w:t>号《企业法人营业执照》，注册资本变更为人民币</w:t>
      </w:r>
      <w:r>
        <w:rPr>
          <w:spacing w:val="-84"/>
        </w:rPr>
        <w:t> </w:t>
      </w:r>
      <w:r>
        <w:rPr>
          <w:spacing w:val="-84"/>
        </w:rPr>
      </w:r>
      <w:r>
        <w:rPr>
          <w:rFonts w:ascii="Times New Roman" w:hAnsi="Times New Roman" w:cs="Times New Roman" w:eastAsia="Times New Roman" w:hint="default"/>
        </w:rPr>
        <w:t>7,770</w:t>
      </w:r>
      <w:r>
        <w:rPr/>
        <w:t>万元，股本总额为</w:t>
      </w:r>
      <w:r>
        <w:rPr>
          <w:rFonts w:ascii="Times New Roman" w:hAnsi="Times New Roman" w:cs="Times New Roman" w:eastAsia="Times New Roman" w:hint="default"/>
        </w:rPr>
        <w:t>7,770</w:t>
      </w:r>
      <w:r>
        <w:rPr/>
        <w:t>万股，每股面值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[2010]1099</w:t>
      </w:r>
      <w:r>
        <w:rPr/>
        <w:t>号</w:t>
      </w:r>
      <w:r>
        <w:rPr>
          <w:rFonts w:ascii="Times New Roman" w:hAnsi="Times New Roman" w:cs="Times New Roman" w:eastAsia="Times New Roman" w:hint="default"/>
        </w:rPr>
        <w:t>”</w:t>
      </w:r>
      <w:r>
        <w:rPr/>
        <w:t>文</w:t>
      </w:r>
    </w:p>
    <w:p>
      <w:pPr>
        <w:pStyle w:val="BodyText"/>
        <w:spacing w:line="300" w:lineRule="auto" w:before="13"/>
        <w:ind w:left="153" w:right="149"/>
        <w:jc w:val="both"/>
      </w:pPr>
      <w:r>
        <w:rPr>
          <w:spacing w:val="-2"/>
        </w:rPr>
        <w:t>《关于核准福建榕基软件股份有限公司首次公开发行股票的批复》核准，本公司于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日首次向社会公开发行人民币</w:t>
      </w:r>
      <w:r>
        <w:rPr>
          <w:spacing w:val="-58"/>
        </w:rPr>
        <w:t> </w:t>
      </w:r>
      <w:r>
        <w:rPr/>
        <w:t>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2,600</w:t>
      </w:r>
      <w:r>
        <w:rPr/>
        <w:t>万股，每股面值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37.00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日，本公司向社会公开发行的</w:t>
      </w:r>
      <w:r>
        <w:rPr>
          <w:rFonts w:ascii="Times New Roman" w:hAnsi="Times New Roman" w:cs="Times New Roman" w:eastAsia="Times New Roman" w:hint="default"/>
        </w:rPr>
        <w:t>2,600</w:t>
      </w:r>
      <w:r>
        <w:rPr/>
        <w:t>万股人民</w:t>
      </w:r>
      <w:r>
        <w:rPr>
          <w:spacing w:val="-82"/>
        </w:rPr>
        <w:t> </w:t>
      </w:r>
      <w:r>
        <w:rPr>
          <w:spacing w:val="-82"/>
        </w:rPr>
      </w:r>
      <w:r>
        <w:rPr>
          <w:spacing w:val="-6"/>
        </w:rPr>
        <w:t>币普通股（</w:t>
      </w:r>
      <w:r>
        <w:rPr>
          <w:rFonts w:ascii="Times New Roman" w:hAnsi="Times New Roman" w:cs="Times New Roman" w:eastAsia="Times New Roman" w:hint="default"/>
          <w:spacing w:val="-6"/>
        </w:rPr>
        <w:t>A</w:t>
      </w:r>
      <w:r>
        <w:rPr>
          <w:spacing w:val="-6"/>
        </w:rPr>
        <w:t>股）在深圳证券交易所挂牌上市（股票简称：榕基软件，股票代码</w:t>
      </w:r>
      <w:r>
        <w:rPr>
          <w:rFonts w:ascii="Times New Roman" w:hAnsi="Times New Roman" w:cs="Times New Roman" w:eastAsia="Times New Roman" w:hint="default"/>
          <w:spacing w:val="-6"/>
        </w:rPr>
        <w:t>002474</w:t>
      </w:r>
      <w:r>
        <w:rPr>
          <w:spacing w:val="-6"/>
        </w:rPr>
        <w:t>），发行后注册资本变更为人民币</w:t>
      </w:r>
      <w:r>
        <w:rPr>
          <w:rFonts w:ascii="Times New Roman" w:hAnsi="Times New Roman" w:cs="Times New Roman" w:eastAsia="Times New Roman" w:hint="default"/>
          <w:spacing w:val="-6"/>
        </w:rPr>
        <w:t>10,370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万元。</w:t>
      </w:r>
    </w:p>
    <w:p>
      <w:pPr>
        <w:spacing w:line="240" w:lineRule="auto" w:before="12"/>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日，本公司办理完成相关工商登记变更手续，注册资本和实收资本均由</w:t>
      </w:r>
      <w:r>
        <w:rPr>
          <w:rFonts w:ascii="Times New Roman" w:hAnsi="Times New Roman" w:cs="Times New Roman" w:eastAsia="Times New Roman" w:hint="default"/>
        </w:rPr>
        <w:t>7,770</w:t>
      </w:r>
      <w:r>
        <w:rPr/>
        <w:t>万元变更为</w:t>
      </w:r>
      <w:r>
        <w:rPr>
          <w:rFonts w:ascii="Times New Roman" w:hAnsi="Times New Roman" w:cs="Times New Roman" w:eastAsia="Times New Roman" w:hint="default"/>
        </w:rPr>
        <w:t>10,370</w:t>
      </w:r>
      <w:r>
        <w:rPr/>
        <w:t>万元。</w:t>
      </w:r>
    </w:p>
    <w:p>
      <w:pPr>
        <w:spacing w:line="240" w:lineRule="auto" w:before="4"/>
        <w:rPr>
          <w:rFonts w:ascii="宋体" w:hAnsi="宋体" w:cs="宋体" w:eastAsia="宋体" w:hint="default"/>
          <w:sz w:val="21"/>
          <w:szCs w:val="21"/>
        </w:rPr>
      </w:pPr>
    </w:p>
    <w:p>
      <w:pPr>
        <w:pStyle w:val="BodyText"/>
        <w:spacing w:line="300" w:lineRule="auto"/>
        <w:ind w:left="153" w:right="15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日，本公司将资本公积</w:t>
      </w:r>
      <w:r>
        <w:rPr>
          <w:rFonts w:ascii="Times New Roman" w:hAnsi="Times New Roman" w:cs="Times New Roman" w:eastAsia="Times New Roman" w:hint="default"/>
        </w:rPr>
        <w:t>10,370</w:t>
      </w:r>
      <w:r>
        <w:rPr/>
        <w:t>万元转增资本，转增后注册资本变更为人民币</w:t>
      </w:r>
      <w:r>
        <w:rPr>
          <w:rFonts w:ascii="Times New Roman" w:hAnsi="Times New Roman" w:cs="Times New Roman" w:eastAsia="Times New Roman" w:hint="default"/>
        </w:rPr>
        <w:t>20,740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w:t>
      </w:r>
      <w:r>
        <w:rPr>
          <w:spacing w:val="-85"/>
        </w:rPr>
        <w:t> </w:t>
      </w:r>
      <w:r>
        <w:rPr>
          <w:spacing w:val="-85"/>
        </w:rPr>
      </w:r>
      <w:r>
        <w:rPr/>
        <w:t>司办理完成相关工商登记变更手续，注册资本和实收资本均由</w:t>
      </w:r>
      <w:r>
        <w:rPr>
          <w:rFonts w:ascii="Times New Roman" w:hAnsi="Times New Roman" w:cs="Times New Roman" w:eastAsia="Times New Roman" w:hint="default"/>
        </w:rPr>
        <w:t>10,370</w:t>
      </w:r>
      <w:r>
        <w:rPr/>
        <w:t>万元变更为</w:t>
      </w:r>
      <w:r>
        <w:rPr>
          <w:rFonts w:ascii="Times New Roman" w:hAnsi="Times New Roman" w:cs="Times New Roman" w:eastAsia="Times New Roman" w:hint="default"/>
        </w:rPr>
        <w:t>20,740</w:t>
      </w:r>
      <w:r>
        <w:rPr/>
        <w:t>万元。</w:t>
      </w:r>
    </w:p>
    <w:p>
      <w:pPr>
        <w:spacing w:line="240" w:lineRule="auto" w:before="7"/>
        <w:rPr>
          <w:rFonts w:ascii="宋体" w:hAnsi="宋体" w:cs="宋体" w:eastAsia="宋体" w:hint="default"/>
          <w:sz w:val="17"/>
          <w:szCs w:val="17"/>
        </w:rPr>
      </w:pPr>
    </w:p>
    <w:p>
      <w:pPr>
        <w:pStyle w:val="BodyText"/>
        <w:spacing w:line="300" w:lineRule="auto"/>
        <w:ind w:right="151"/>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日，本公司将资本公积</w:t>
      </w:r>
      <w:r>
        <w:rPr>
          <w:rFonts w:ascii="Times New Roman" w:hAnsi="Times New Roman" w:cs="Times New Roman" w:eastAsia="Times New Roman" w:hint="default"/>
          <w:spacing w:val="-2"/>
        </w:rPr>
        <w:t>10,370</w:t>
      </w:r>
      <w:r>
        <w:rPr>
          <w:spacing w:val="-2"/>
        </w:rPr>
        <w:t>万元转增资本，转增后注册资本变更为</w:t>
      </w:r>
      <w:r>
        <w:rPr>
          <w:rFonts w:ascii="Times New Roman" w:hAnsi="Times New Roman" w:cs="Times New Roman" w:eastAsia="Times New Roman" w:hint="default"/>
          <w:spacing w:val="-2"/>
        </w:rPr>
        <w:t>31,110</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日，本公司办理完</w:t>
      </w:r>
      <w:r>
        <w:rPr>
          <w:spacing w:val="-44"/>
        </w:rPr>
        <w:t> </w:t>
      </w:r>
      <w:r>
        <w:rPr>
          <w:spacing w:val="-44"/>
        </w:rPr>
      </w:r>
      <w:r>
        <w:rPr/>
        <w:t>成相关工商登记变更手续，注册资本和实收资本均由</w:t>
      </w:r>
      <w:r>
        <w:rPr>
          <w:rFonts w:ascii="Times New Roman" w:hAnsi="Times New Roman" w:cs="Times New Roman" w:eastAsia="Times New Roman" w:hint="default"/>
        </w:rPr>
        <w:t>20,740</w:t>
      </w:r>
      <w:r>
        <w:rPr/>
        <w:t>万元变更为</w:t>
      </w:r>
      <w:r>
        <w:rPr>
          <w:rFonts w:ascii="Times New Roman" w:hAnsi="Times New Roman" w:cs="Times New Roman" w:eastAsia="Times New Roman" w:hint="default"/>
        </w:rPr>
        <w:t>31,110</w:t>
      </w:r>
      <w:r>
        <w:rPr/>
        <w:t>万元。</w:t>
      </w:r>
    </w:p>
    <w:p>
      <w:pPr>
        <w:spacing w:line="240" w:lineRule="auto" w:before="7"/>
        <w:rPr>
          <w:rFonts w:ascii="宋体" w:hAnsi="宋体" w:cs="宋体" w:eastAsia="宋体" w:hint="default"/>
          <w:sz w:val="17"/>
          <w:szCs w:val="17"/>
        </w:rPr>
      </w:pPr>
    </w:p>
    <w:p>
      <w:pPr>
        <w:pStyle w:val="BodyText"/>
        <w:spacing w:line="300" w:lineRule="auto"/>
        <w:ind w:right="149"/>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日，本公司将资本公积</w:t>
      </w:r>
      <w:r>
        <w:rPr>
          <w:rFonts w:ascii="Times New Roman" w:hAnsi="Times New Roman" w:cs="Times New Roman" w:eastAsia="Times New Roman" w:hint="default"/>
          <w:spacing w:val="-2"/>
        </w:rPr>
        <w:t>31,110</w:t>
      </w:r>
      <w:r>
        <w:rPr>
          <w:spacing w:val="-2"/>
        </w:rPr>
        <w:t>万元转增资本，转增后注册资本变更为</w:t>
      </w:r>
      <w:r>
        <w:rPr>
          <w:rFonts w:ascii="Times New Roman" w:hAnsi="Times New Roman" w:cs="Times New Roman" w:eastAsia="Times New Roman" w:hint="default"/>
          <w:spacing w:val="-2"/>
        </w:rPr>
        <w:t>62,220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日，本公司办理完</w:t>
      </w:r>
      <w:r>
        <w:rPr>
          <w:spacing w:val="-44"/>
        </w:rPr>
        <w:t> </w:t>
      </w:r>
      <w:r>
        <w:rPr>
          <w:spacing w:val="-44"/>
        </w:rPr>
      </w:r>
      <w:r>
        <w:rPr/>
        <w:t>成相关工商登记变更手续，注册资本和实收资本均由</w:t>
      </w:r>
      <w:r>
        <w:rPr>
          <w:rFonts w:ascii="Times New Roman" w:hAnsi="Times New Roman" w:cs="Times New Roman" w:eastAsia="Times New Roman" w:hint="default"/>
        </w:rPr>
        <w:t>31,110</w:t>
      </w:r>
      <w:r>
        <w:rPr/>
        <w:t>万元变更为</w:t>
      </w:r>
      <w:r>
        <w:rPr>
          <w:rFonts w:ascii="Times New Roman" w:hAnsi="Times New Roman" w:cs="Times New Roman" w:eastAsia="Times New Roman" w:hint="default"/>
        </w:rPr>
        <w:t>62,220</w:t>
      </w:r>
      <w:r>
        <w:rPr/>
        <w:t>万元。</w:t>
      </w:r>
    </w:p>
    <w:p>
      <w:pPr>
        <w:spacing w:line="240" w:lineRule="auto" w:before="7"/>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日，本公司向福建省工商行政管理局申请并完成了</w:t>
      </w:r>
      <w:r>
        <w:rPr>
          <w:rFonts w:ascii="Times New Roman" w:hAnsi="Times New Roman" w:cs="Times New Roman" w:eastAsia="Times New Roman" w:hint="default"/>
        </w:rPr>
        <w:t>“</w:t>
      </w:r>
      <w:r>
        <w:rPr/>
        <w:t>三证合一</w:t>
      </w:r>
      <w:r>
        <w:rPr>
          <w:rFonts w:ascii="Times New Roman" w:hAnsi="Times New Roman" w:cs="Times New Roman" w:eastAsia="Times New Roman" w:hint="default"/>
        </w:rPr>
        <w:t>”</w:t>
      </w:r>
      <w:r>
        <w:rPr/>
        <w:t>的工商变更登记，新取得的《营业执照》统一社</w:t>
      </w:r>
    </w:p>
    <w:p>
      <w:pPr>
        <w:spacing w:after="0" w:line="24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会信用代码为</w:t>
      </w:r>
      <w:r>
        <w:rPr>
          <w:rFonts w:ascii="Times New Roman" w:hAnsi="Times New Roman" w:cs="Times New Roman" w:eastAsia="Times New Roman" w:hint="default"/>
        </w:rPr>
        <w:t>913500006285075795</w:t>
      </w:r>
      <w:r>
        <w:rPr/>
        <w:t>。</w:t>
      </w:r>
    </w:p>
    <w:p>
      <w:pPr>
        <w:spacing w:line="240" w:lineRule="auto" w:before="4"/>
        <w:rPr>
          <w:rFonts w:ascii="宋体" w:hAnsi="宋体" w:cs="宋体" w:eastAsia="宋体" w:hint="default"/>
          <w:sz w:val="21"/>
          <w:szCs w:val="21"/>
        </w:rPr>
      </w:pPr>
    </w:p>
    <w:p>
      <w:pPr>
        <w:pStyle w:val="BodyText"/>
        <w:spacing w:line="537" w:lineRule="auto"/>
        <w:ind w:left="153" w:right="3151"/>
        <w:jc w:val="left"/>
      </w:pPr>
      <w:r>
        <w:rPr/>
        <w:t>（二）法人代表及公司地址 本公司法定代表人为鲁峰，本公司住址为福州市鼓楼区铜盘路福州软件园产业基地。</w:t>
      </w:r>
    </w:p>
    <w:p>
      <w:pPr>
        <w:pStyle w:val="BodyText"/>
        <w:spacing w:line="240" w:lineRule="auto" w:before="69"/>
        <w:ind w:left="153" w:right="0"/>
        <w:jc w:val="both"/>
      </w:pPr>
      <w:r>
        <w:rPr/>
        <w:t>（三）组织架构</w:t>
      </w:r>
    </w:p>
    <w:p>
      <w:pPr>
        <w:spacing w:line="240" w:lineRule="auto" w:before="5"/>
        <w:rPr>
          <w:rFonts w:ascii="宋体" w:hAnsi="宋体" w:cs="宋体" w:eastAsia="宋体" w:hint="default"/>
          <w:sz w:val="22"/>
          <w:szCs w:val="22"/>
        </w:rPr>
      </w:pPr>
    </w:p>
    <w:p>
      <w:pPr>
        <w:pStyle w:val="BodyText"/>
        <w:spacing w:line="316" w:lineRule="auto"/>
        <w:ind w:left="153" w:right="191"/>
        <w:jc w:val="both"/>
      </w:pPr>
      <w:r>
        <w:rPr>
          <w:spacing w:val="-2"/>
        </w:rPr>
        <w:t>本公司建立了股东大会、董事会、监事会的法人治理结构，目前设总裁办公室、研发部、财务部、证券部、人力资源部等部</w:t>
      </w:r>
      <w:r>
        <w:rPr>
          <w:spacing w:val="-65"/>
        </w:rPr>
        <w:t> </w:t>
      </w:r>
      <w:r>
        <w:rPr>
          <w:spacing w:val="-65"/>
        </w:rPr>
      </w:r>
      <w:r>
        <w:rPr/>
        <w:t>门，拥有浙江榕基信息技术有限公司、榕基五一（北京）信息技术有限公司等</w:t>
      </w:r>
      <w:r>
        <w:rPr>
          <w:rFonts w:ascii="Times New Roman" w:hAnsi="Times New Roman" w:cs="Times New Roman" w:eastAsia="Times New Roman" w:hint="default"/>
        </w:rPr>
        <w:t>14</w:t>
      </w:r>
      <w:r>
        <w:rPr/>
        <w:t>家子公司及</w:t>
      </w:r>
      <w:r>
        <w:rPr>
          <w:rFonts w:ascii="Times New Roman" w:hAnsi="Times New Roman" w:cs="Times New Roman" w:eastAsia="Times New Roman" w:hint="default"/>
        </w:rPr>
        <w:t>5</w:t>
      </w:r>
      <w:r>
        <w:rPr/>
        <w:t>家孙公司。</w:t>
      </w:r>
    </w:p>
    <w:p>
      <w:pPr>
        <w:spacing w:line="240" w:lineRule="auto" w:before="6"/>
        <w:rPr>
          <w:rFonts w:ascii="宋体" w:hAnsi="宋体" w:cs="宋体" w:eastAsia="宋体" w:hint="default"/>
          <w:sz w:val="16"/>
          <w:szCs w:val="16"/>
        </w:rPr>
      </w:pPr>
    </w:p>
    <w:p>
      <w:pPr>
        <w:pStyle w:val="BodyText"/>
        <w:spacing w:line="240" w:lineRule="auto"/>
        <w:ind w:left="153" w:right="0"/>
        <w:jc w:val="both"/>
      </w:pPr>
      <w:r>
        <w:rPr/>
        <w:t>（四）行业性质及经营范围</w:t>
      </w:r>
    </w:p>
    <w:p>
      <w:pPr>
        <w:spacing w:line="240" w:lineRule="auto" w:before="5"/>
        <w:rPr>
          <w:rFonts w:ascii="宋体" w:hAnsi="宋体" w:cs="宋体" w:eastAsia="宋体" w:hint="default"/>
          <w:sz w:val="22"/>
          <w:szCs w:val="22"/>
        </w:rPr>
      </w:pPr>
    </w:p>
    <w:p>
      <w:pPr>
        <w:pStyle w:val="BodyText"/>
        <w:spacing w:line="309" w:lineRule="auto"/>
        <w:ind w:left="153" w:right="191"/>
        <w:jc w:val="both"/>
      </w:pPr>
      <w:r>
        <w:rPr>
          <w:spacing w:val="-2"/>
        </w:rPr>
        <w:t>本公司及其子公司（以下简称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）所处行业主要为信息技术行业，本公司经营范围主要包括：计算机及网络软件开发</w:t>
      </w:r>
      <w:r>
        <w:rPr>
          <w:spacing w:val="-45"/>
        </w:rPr>
        <w:t> </w:t>
      </w:r>
      <w:r>
        <w:rPr>
          <w:spacing w:val="-45"/>
        </w:rPr>
      </w:r>
      <w:r>
        <w:rPr>
          <w:spacing w:val="-2"/>
        </w:rPr>
        <w:t>服务、计算机硬件技术服务、电子计算机及配件的批发零售、对外贸易、建筑智能化工程的设计与施工、安防工程的设计与</w:t>
      </w:r>
      <w:r>
        <w:rPr>
          <w:spacing w:val="-66"/>
        </w:rPr>
        <w:t> </w:t>
      </w:r>
      <w:r>
        <w:rPr>
          <w:spacing w:val="-66"/>
        </w:rPr>
      </w:r>
      <w:r>
        <w:rPr/>
        <w:t>施工等。</w:t>
      </w:r>
    </w:p>
    <w:p>
      <w:pPr>
        <w:spacing w:line="240" w:lineRule="auto" w:before="5"/>
        <w:rPr>
          <w:rFonts w:ascii="宋体" w:hAnsi="宋体" w:cs="宋体" w:eastAsia="宋体" w:hint="default"/>
          <w:sz w:val="18"/>
          <w:szCs w:val="18"/>
        </w:rPr>
      </w:pPr>
    </w:p>
    <w:p>
      <w:pPr>
        <w:pStyle w:val="BodyText"/>
        <w:spacing w:line="240" w:lineRule="auto"/>
        <w:ind w:left="153" w:right="0"/>
        <w:jc w:val="both"/>
      </w:pPr>
      <w:r>
        <w:rPr/>
        <w:t>本财务报表及财务报表附注业经本公司第三届董事会第二十一次会议于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日批准。</w:t>
      </w:r>
    </w:p>
    <w:p>
      <w:pPr>
        <w:spacing w:line="240" w:lineRule="auto" w:before="4"/>
        <w:rPr>
          <w:rFonts w:ascii="宋体" w:hAnsi="宋体" w:cs="宋体" w:eastAsia="宋体" w:hint="default"/>
          <w:sz w:val="21"/>
          <w:szCs w:val="21"/>
        </w:rPr>
      </w:pPr>
    </w:p>
    <w:p>
      <w:pPr>
        <w:pStyle w:val="BodyText"/>
        <w:spacing w:line="300" w:lineRule="auto"/>
        <w:ind w:left="153" w:right="188"/>
        <w:jc w:val="both"/>
      </w:pPr>
      <w:r>
        <w:rPr/>
        <w:t>本集团</w:t>
      </w:r>
      <w:r>
        <w:rPr>
          <w:rFonts w:ascii="Times New Roman" w:hAnsi="Times New Roman" w:cs="Times New Roman" w:eastAsia="Times New Roman" w:hint="default"/>
        </w:rPr>
        <w:t>2015</w:t>
      </w:r>
      <w:r>
        <w:rPr/>
        <w:t>年度纳入合并范围的子公司</w:t>
      </w:r>
      <w:r>
        <w:rPr>
          <w:rFonts w:ascii="Times New Roman" w:hAnsi="Times New Roman" w:cs="Times New Roman" w:eastAsia="Times New Roman" w:hint="default"/>
        </w:rPr>
        <w:t>14</w:t>
      </w:r>
      <w:r>
        <w:rPr/>
        <w:t>家、孙公司</w:t>
      </w:r>
      <w:r>
        <w:rPr>
          <w:rFonts w:ascii="Times New Roman" w:hAnsi="Times New Roman" w:cs="Times New Roman" w:eastAsia="Times New Roman" w:hint="default"/>
        </w:rPr>
        <w:t>5</w:t>
      </w:r>
      <w:r>
        <w:rPr/>
        <w:t>家，各家子、孙公司情况详见附注七、在其他主体中的权益披露。本</w:t>
      </w:r>
      <w:r>
        <w:rPr>
          <w:spacing w:val="-83"/>
        </w:rPr>
        <w:t> </w:t>
      </w:r>
      <w:r>
        <w:rPr>
          <w:spacing w:val="-83"/>
        </w:rPr>
      </w:r>
      <w:r>
        <w:rPr/>
        <w:t>公司本年度合并范围比上年度增加</w:t>
      </w:r>
      <w:r>
        <w:rPr>
          <w:rFonts w:ascii="Times New Roman" w:hAnsi="Times New Roman" w:cs="Times New Roman" w:eastAsia="Times New Roman" w:hint="default"/>
        </w:rPr>
        <w:t>4</w:t>
      </w:r>
      <w:r>
        <w:rPr/>
        <w:t>家，新纳入合并范围的子、孙公司情况详见附注六、合并范围的变动。</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）编制。此外，本集</w:t>
      </w:r>
      <w:r>
        <w:rPr>
          <w:spacing w:val="-42"/>
        </w:rPr>
        <w:t> </w:t>
      </w:r>
      <w:r>
        <w:rPr>
          <w:spacing w:val="-42"/>
        </w:rPr>
      </w: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59"/>
        </w:rPr>
        <w:t> </w:t>
      </w:r>
      <w:r>
        <w:rPr>
          <w:spacing w:val="-59"/>
        </w:rPr>
      </w:r>
      <w:r>
        <w:rPr/>
        <w:t>信息。</w:t>
      </w:r>
    </w:p>
    <w:p>
      <w:pPr>
        <w:spacing w:line="240" w:lineRule="auto" w:before="12"/>
        <w:rPr>
          <w:rFonts w:ascii="宋体" w:hAnsi="宋体" w:cs="宋体" w:eastAsia="宋体" w:hint="default"/>
          <w:sz w:val="18"/>
          <w:szCs w:val="18"/>
        </w:rPr>
      </w:pPr>
    </w:p>
    <w:p>
      <w:pPr>
        <w:pStyle w:val="BodyText"/>
        <w:spacing w:line="240" w:lineRule="auto"/>
        <w:ind w:right="0"/>
        <w:jc w:val="both"/>
      </w:pPr>
      <w:r>
        <w:rPr/>
        <w:t>本财务报表以持续经营为基础列报。</w:t>
      </w:r>
    </w:p>
    <w:p>
      <w:pPr>
        <w:spacing w:line="240" w:lineRule="auto" w:before="5"/>
        <w:rPr>
          <w:rFonts w:ascii="宋体" w:hAnsi="宋体" w:cs="宋体" w:eastAsia="宋体" w:hint="default"/>
          <w:sz w:val="22"/>
          <w:szCs w:val="22"/>
        </w:rPr>
      </w:pPr>
    </w:p>
    <w:p>
      <w:pPr>
        <w:pStyle w:val="BodyText"/>
        <w:spacing w:line="316" w:lineRule="auto"/>
        <w:ind w:right="189"/>
        <w:jc w:val="both"/>
      </w:pP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公司不存在自报告期末起</w:t>
      </w:r>
      <w:r>
        <w:rPr>
          <w:rFonts w:ascii="Times New Roman" w:hAnsi="Times New Roman" w:cs="Times New Roman" w:eastAsia="Times New Roman" w:hint="default"/>
        </w:rPr>
        <w:t>12</w:t>
      </w:r>
      <w:r>
        <w:rPr/>
        <w:t>个月的无法持续经营的情况。</w:t>
      </w:r>
    </w:p>
    <w:p>
      <w:pPr>
        <w:spacing w:line="240" w:lineRule="auto" w:before="1"/>
        <w:rPr>
          <w:rFonts w:ascii="宋体" w:hAnsi="宋体" w:cs="宋体" w:eastAsia="宋体" w:hint="default"/>
          <w:sz w:val="24"/>
          <w:szCs w:val="24"/>
        </w:rPr>
      </w:pPr>
    </w:p>
    <w:p>
      <w:pPr>
        <w:pStyle w:val="Heading2"/>
        <w:spacing w:line="240" w:lineRule="auto"/>
        <w:ind w:left="153"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108"/>
        <w:jc w:val="both"/>
      </w:pPr>
      <w:r>
        <w:rPr/>
        <w:t>具体会计政策和会计估计提示： 本集团根据自身生产经营特点，确定研发费用资本化条件以及收入确认政策，具体会计政策参见附注三、</w:t>
      </w:r>
      <w:r>
        <w:rPr>
          <w:rFonts w:ascii="Times New Roman" w:hAnsi="Times New Roman" w:cs="Times New Roman" w:eastAsia="Times New Roman" w:hint="default"/>
        </w:rPr>
        <w:t>17</w:t>
      </w:r>
      <w:r>
        <w:rPr/>
        <w:t>和附注三、</w:t>
      </w:r>
      <w:r>
        <w:rPr>
          <w:rFonts w:ascii="Times New Roman" w:hAnsi="Times New Roman" w:cs="Times New Roman" w:eastAsia="Times New Roman" w:hint="default"/>
        </w:rPr>
        <w:t>20</w:t>
      </w:r>
      <w:r>
        <w:rPr/>
        <w:t>。</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91"/>
        <w:jc w:val="both"/>
      </w:pPr>
      <w:r>
        <w:rPr>
          <w:spacing w:val="-2"/>
        </w:rPr>
        <w:t>本财务报表符合企业会计准则的要求，真实、完整地反映了本公司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w:t>
      </w:r>
      <w:r>
        <w:rPr>
          <w:spacing w:val="-52"/>
        </w:rPr>
        <w:t> </w:t>
      </w:r>
      <w:r>
        <w:rPr/>
        <w:t>并及公司经营成果和合并及公司现金流量等有关信息。</w:t>
      </w:r>
    </w:p>
    <w:p>
      <w:pPr>
        <w:spacing w:after="0" w:line="300" w:lineRule="auto"/>
        <w:jc w:val="both"/>
        <w:sectPr>
          <w:footerReference w:type="default" r:id="rId20"/>
          <w:pgSz w:w="11910" w:h="16840"/>
          <w:pgMar w:footer="982" w:header="747" w:top="1060" w:bottom="1180" w:left="980" w:right="940"/>
          <w:pgNumType w:start="91"/>
        </w:sectPr>
      </w:pPr>
    </w:p>
    <w:p>
      <w:pPr>
        <w:spacing w:line="240" w:lineRule="auto" w:before="10"/>
        <w:rPr>
          <w:rFonts w:ascii="宋体" w:hAnsi="宋体" w:cs="宋体" w:eastAsia="宋体" w:hint="default"/>
          <w:sz w:val="24"/>
          <w:szCs w:val="24"/>
        </w:rPr>
      </w:pPr>
    </w:p>
    <w:p>
      <w:pPr>
        <w:spacing w:line="547" w:lineRule="auto" w:before="35"/>
        <w:ind w:left="154" w:right="45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本集团会计期间采用公历年度，即每年自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本集团的营业周期为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jc w:val="left"/>
      </w:pPr>
      <w:r>
        <w:rPr>
          <w:spacing w:val="-2"/>
        </w:rPr>
        <w:t>本公司及境内子公司以人民币为记账本位币。本公司之境外子公司根据其经营所处的主要经济环境中的货币确定港币为其记</w:t>
      </w:r>
      <w:r>
        <w:rPr>
          <w:spacing w:val="-64"/>
        </w:rPr>
        <w:t> </w:t>
      </w:r>
      <w:r>
        <w:rPr>
          <w:spacing w:val="-64"/>
        </w:rPr>
      </w:r>
      <w:r>
        <w:rPr/>
        <w:t>账本位币。本集团编制本财务报表时所采用的货币为人民币。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89" w:firstLine="360"/>
        <w:jc w:val="both"/>
      </w:pPr>
      <w:r>
        <w:rPr>
          <w:spacing w:val="-2"/>
        </w:rPr>
        <w:t>对于同一控制下的企业合并，合并方在合并中取得的被合并方的资产、负债，除因会计政策不同而进行的调整以外，按</w:t>
      </w:r>
      <w:r>
        <w:rPr/>
        <w:t> </w:t>
      </w:r>
      <w:r>
        <w:rPr>
          <w:spacing w:val="-2"/>
        </w:rPr>
        <w:t>合并日被合并方在最终控制方合并财务报表中的账面价值计量。合并对价的账面价值与合并中取得的净资产账面价值的差额</w:t>
      </w:r>
      <w:r>
        <w:rPr>
          <w:spacing w:val="-64"/>
        </w:rPr>
        <w:t> </w:t>
      </w:r>
      <w:r>
        <w:rPr>
          <w:spacing w:val="-64"/>
        </w:rPr>
      </w:r>
      <w:r>
        <w:rPr/>
        <w:t>调整资本公积（股本溢价），资本公积（股本溢价）不足冲减的，调整留存收益。</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为进行企业合并发生的直接相关费用于发生时计入当期损益。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对于非同一控制下的企业合并，合并成本为本公司在购买日为取得对被购买方的控制权而付出的资产、发生或承担的负</w:t>
      </w:r>
      <w:r>
        <w:rPr/>
        <w:t> 债以及发行的权益性证券的公允价值。在购买日，本公司取得的被购买方的资产、负债及或有负债按公允价值确认。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right="189" w:firstLine="360"/>
        <w:jc w:val="both"/>
      </w:pPr>
      <w:r>
        <w:rPr>
          <w:spacing w:val="-2"/>
        </w:rPr>
        <w:t>为进行企业合并发生的审计、法律服务、评估咨询等中介费用以及其他相关管理费用，于发生时计入当期损益。作为合</w:t>
      </w:r>
      <w:r>
        <w:rPr/>
        <w:t> 并对价发行的权益性证券或债务性证券的交易费用，计入权益性证券或债务性证券的初始确认金额。</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本公司对合并成本大于合并中取得的被购买方可辨认净资产公允价值份额的差额，确认为商誉，按成本扣除累计减值准</w:t>
      </w:r>
      <w:r>
        <w:rPr/>
        <w:t> 备进行后续计量；对合并成本小于合并中取得的被购买方可辨认净资产公允价值份额的差额，经复核后计入当期损益。</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通过多次交易分步实现非同一控制下的企业合并的，在合并财务报表中，合并成本为购买日支付的对价与购买日之前已</w:t>
      </w:r>
      <w:r>
        <w:rPr/>
        <w:t> </w:t>
      </w:r>
      <w:r>
        <w:rPr>
          <w:spacing w:val="-2"/>
        </w:rPr>
        <w:t>经持有的被购买方的股权在购买日的公允价值之和。对于购买日之前已经持有的被购买方的股权，按照购买日的公允价值进</w:t>
      </w:r>
      <w:r>
        <w:rPr>
          <w:spacing w:val="-64"/>
        </w:rPr>
        <w:t> </w:t>
      </w:r>
      <w:r>
        <w:rPr>
          <w:spacing w:val="-64"/>
        </w:rPr>
      </w:r>
      <w:r>
        <w:rPr>
          <w:spacing w:val="-2"/>
        </w:rPr>
        <w:t>行重新计量，公允价值与其账面价值之间的差额计入当期投资收益；购买日之前已经持有的被购买方的股权涉及其他综合收</w:t>
      </w:r>
      <w:r>
        <w:rPr>
          <w:spacing w:val="-64"/>
        </w:rPr>
        <w:t> </w:t>
      </w:r>
      <w:r>
        <w:rPr>
          <w:spacing w:val="-64"/>
        </w:rPr>
      </w:r>
      <w:r>
        <w:rPr/>
        <w:t>益的，与其相关的其他综合收益转为购买日当期投资收益。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）合并范围</w:t>
      </w:r>
    </w:p>
    <w:p>
      <w:pPr>
        <w:spacing w:line="240" w:lineRule="auto" w:before="4"/>
        <w:rPr>
          <w:rFonts w:ascii="宋体" w:hAnsi="宋体" w:cs="宋体" w:eastAsia="宋体" w:hint="default"/>
          <w:sz w:val="21"/>
          <w:szCs w:val="21"/>
        </w:rPr>
      </w:pPr>
    </w:p>
    <w:p>
      <w:pPr>
        <w:pStyle w:val="BodyText"/>
        <w:spacing w:line="316" w:lineRule="auto"/>
        <w:ind w:right="90"/>
        <w:jc w:val="left"/>
      </w:pPr>
      <w:r>
        <w:rPr>
          <w:spacing w:val="-2"/>
        </w:rPr>
        <w:t>合并财务报表的合并范围以控制为基础予以确定。控制，是指本公司拥有对被投资单位的权力，通过参与被投资单位的相关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w:t>
      </w:r>
      <w:r>
        <w:rPr>
          <w:rFonts w:ascii="Times New Roman" w:hAnsi="Times New Roman" w:cs="Times New Roman" w:eastAsia="Times New Roman" w:hint="default"/>
        </w:rPr>
        <w:t>2</w:t>
      </w:r>
      <w:r>
        <w:rPr/>
        <w:t>）合并财务报表的编制方法</w:t>
      </w:r>
    </w:p>
    <w:p>
      <w:pPr>
        <w:spacing w:line="240" w:lineRule="auto" w:before="4"/>
        <w:rPr>
          <w:rFonts w:ascii="宋体" w:hAnsi="宋体" w:cs="宋体" w:eastAsia="宋体" w:hint="default"/>
          <w:sz w:val="21"/>
          <w:szCs w:val="21"/>
        </w:rPr>
      </w:pPr>
    </w:p>
    <w:p>
      <w:pPr>
        <w:pStyle w:val="BodyText"/>
        <w:spacing w:line="316" w:lineRule="auto"/>
        <w:ind w:left="153" w:right="151"/>
        <w:jc w:val="both"/>
      </w:pPr>
      <w:r>
        <w:rPr>
          <w:spacing w:val="-2"/>
        </w:rPr>
        <w:t>合并财务报表以本公司和子公司的财务报表为基础，根据其他有关资料，由本公司编制。在编制合并财务报表时，本公司和</w:t>
      </w:r>
      <w:r>
        <w:rPr>
          <w:spacing w:val="-66"/>
        </w:rPr>
        <w:t> </w:t>
      </w:r>
      <w:r>
        <w:rPr>
          <w:spacing w:val="-66"/>
        </w:rPr>
      </w:r>
      <w:r>
        <w:rPr/>
        <w:t>子公司的会计政策和会计期间要求保持一致，公司间的重大交易和往来余额予以抵销。</w:t>
      </w:r>
    </w:p>
    <w:p>
      <w:pPr>
        <w:spacing w:line="240" w:lineRule="auto" w:before="12"/>
        <w:rPr>
          <w:rFonts w:ascii="宋体" w:hAnsi="宋体" w:cs="宋体" w:eastAsia="宋体" w:hint="default"/>
          <w:sz w:val="17"/>
          <w:szCs w:val="17"/>
        </w:rPr>
      </w:pPr>
    </w:p>
    <w:p>
      <w:pPr>
        <w:pStyle w:val="BodyText"/>
        <w:spacing w:line="316" w:lineRule="auto"/>
        <w:ind w:left="153" w:right="150"/>
        <w:jc w:val="both"/>
      </w:pP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w:t>
      </w:r>
    </w:p>
    <w:p>
      <w:pPr>
        <w:spacing w:line="240" w:lineRule="auto" w:before="12"/>
        <w:rPr>
          <w:rFonts w:ascii="宋体" w:hAnsi="宋体" w:cs="宋体" w:eastAsia="宋体" w:hint="default"/>
          <w:sz w:val="17"/>
          <w:szCs w:val="17"/>
        </w:rPr>
      </w:pPr>
    </w:p>
    <w:p>
      <w:pPr>
        <w:pStyle w:val="BodyText"/>
        <w:spacing w:line="309" w:lineRule="auto"/>
        <w:ind w:left="153" w:right="151"/>
        <w:jc w:val="both"/>
      </w:pPr>
      <w:r>
        <w:rPr>
          <w:spacing w:val="-2"/>
        </w:rPr>
        <w:t>子公司的股东权益中不属于本公司所拥有的部分，作为少数股东权益在合并资产负债表中股东权益项下单独列示；子公司当</w:t>
      </w:r>
      <w:r>
        <w:rPr>
          <w:spacing w:val="-64"/>
        </w:rPr>
        <w:t> </w:t>
      </w:r>
      <w:r>
        <w:rPr>
          <w:spacing w:val="-64"/>
        </w:rPr>
      </w: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r>
        <w:rPr>
          <w:spacing w:val="-44"/>
        </w:rPr>
        <w:t> </w:t>
      </w:r>
      <w:r>
        <w:rPr>
          <w:spacing w:val="-44"/>
        </w:rPr>
      </w:r>
      <w:r>
        <w:rPr/>
        <w:t>亏损超过了少数股东在该子公司期初所有者权益中所享有的份额，其余额仍冲减少数股东权益。</w:t>
      </w:r>
    </w:p>
    <w:p>
      <w:pPr>
        <w:spacing w:line="240" w:lineRule="auto" w:before="5"/>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3</w:t>
      </w:r>
      <w:r>
        <w:rPr/>
        <w:t>）购买子公司少数股东股权</w:t>
      </w:r>
    </w:p>
    <w:p>
      <w:pPr>
        <w:spacing w:line="240" w:lineRule="auto" w:before="4"/>
        <w:rPr>
          <w:rFonts w:ascii="宋体" w:hAnsi="宋体" w:cs="宋体" w:eastAsia="宋体" w:hint="default"/>
          <w:sz w:val="21"/>
          <w:szCs w:val="21"/>
        </w:rPr>
      </w:pPr>
    </w:p>
    <w:p>
      <w:pPr>
        <w:pStyle w:val="BodyText"/>
        <w:spacing w:line="316" w:lineRule="auto"/>
        <w:ind w:right="151"/>
        <w:jc w:val="both"/>
      </w:pPr>
      <w:r>
        <w:rPr/>
        <w:t>因购买少数股权新取得的长期股权投资成本与按照新增持股比例计算应享有子公司自购买日或合并日开始持续计算的净资</w:t>
      </w:r>
      <w:r>
        <w:rPr>
          <w:spacing w:val="-9"/>
        </w:rPr>
        <w:t> </w:t>
      </w:r>
      <w:r>
        <w:rPr>
          <w:spacing w:val="-9"/>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spacing w:val="-2"/>
        </w:rPr>
        <w:t>对应享有子公司自购买日或合并日开始持续计算的净资产份额之间的差额，均调整合并资产负债表中的资本公积，资本公积</w:t>
      </w:r>
      <w:r>
        <w:rPr>
          <w:spacing w:val="-64"/>
        </w:rPr>
        <w:t> </w:t>
      </w:r>
      <w:r>
        <w:rPr>
          <w:spacing w:val="-64"/>
        </w:rPr>
      </w:r>
      <w:r>
        <w:rPr/>
        <w:t>不足冲减的，调整留存收益。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jc w:val="both"/>
      </w:pPr>
      <w:r>
        <w:rPr>
          <w:spacing w:val="-2"/>
        </w:rPr>
        <w:t>现金是指库存现金以及可以随时用于支付的存款。现金等价物，是指本集团持有的期限短、流动性强、易于转换为已知金额</w:t>
      </w:r>
      <w:r>
        <w:rPr>
          <w:spacing w:val="-66"/>
        </w:rPr>
        <w:t> </w:t>
      </w:r>
      <w:r>
        <w:rPr>
          <w:spacing w:val="-66"/>
        </w:rPr>
      </w:r>
      <w:r>
        <w:rPr/>
        <w:t>现金、价值变动风险很小的投资。 </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080"/>
        <w:jc w:val="left"/>
      </w:pPr>
      <w:r>
        <w:rPr/>
        <w:t>（1）外币业务 本集团发生外币业务，按交易发生日的即期汇率折算为记账本位币金额。 </w:t>
      </w:r>
    </w:p>
    <w:p>
      <w:pPr>
        <w:pStyle w:val="BodyText"/>
        <w:spacing w:line="316" w:lineRule="auto" w:before="19"/>
        <w:ind w:right="151"/>
        <w:jc w:val="both"/>
      </w:pPr>
      <w:r>
        <w:rPr>
          <w:spacing w:val="-2"/>
        </w:rPr>
        <w:t>资产负债表日，对外币货币性项目，采用资产负债表日即期汇率折算。因资产负债表日即期汇率与初始确认时或者前一资产</w:t>
      </w:r>
      <w:r>
        <w:rPr>
          <w:spacing w:val="-66"/>
        </w:rPr>
        <w:t> </w:t>
      </w:r>
      <w:r>
        <w:rPr>
          <w:spacing w:val="-66"/>
        </w:rPr>
      </w:r>
      <w:r>
        <w:rPr>
          <w:spacing w:val="-2"/>
        </w:rPr>
        <w:t>负债表日即期汇率不同而产生的汇兑差额，计入当期损益；对以历史成本计量的外币非货币性项目，仍采用交易发生日的即</w:t>
      </w:r>
      <w:r>
        <w:rPr>
          <w:spacing w:val="-66"/>
        </w:rPr>
        <w:t> </w:t>
      </w:r>
      <w:r>
        <w:rPr>
          <w:spacing w:val="-66"/>
        </w:rPr>
      </w:r>
      <w:r>
        <w:rPr>
          <w:spacing w:val="-2"/>
        </w:rPr>
        <w:t>期汇率折算；对以公允价值计量的外币非货币性项目，采用公允价值确定日的即期汇率折算，折算后的记账本位币金额与原</w:t>
      </w:r>
      <w:r>
        <w:rPr>
          <w:spacing w:val="-66"/>
        </w:rPr>
        <w:t> </w:t>
      </w:r>
      <w:r>
        <w:rPr>
          <w:spacing w:val="-66"/>
        </w:rPr>
      </w:r>
      <w:r>
        <w:rPr/>
        <w:t>记账本位币金额的差额，计入当期损益。 </w:t>
      </w:r>
    </w:p>
    <w:p>
      <w:pPr>
        <w:pStyle w:val="BodyText"/>
        <w:spacing w:line="316" w:lineRule="auto" w:before="19"/>
        <w:ind w:right="0"/>
        <w:jc w:val="left"/>
      </w:pPr>
      <w:r>
        <w:rPr/>
        <w:t>（2）外币财务报表的折算 </w:t>
      </w:r>
      <w:r>
        <w:rPr>
          <w:spacing w:val="-2"/>
        </w:rPr>
        <w:t>资产负债表日，对境外子公司外币财务报表进行折算时，资产负债表中的资产和负债项目，采用资产负债表日的即期汇率折</w:t>
      </w:r>
      <w:r>
        <w:rPr>
          <w:spacing w:val="-66"/>
        </w:rPr>
        <w:t> </w:t>
      </w:r>
      <w:r>
        <w:rPr>
          <w:spacing w:val="-66"/>
        </w:rPr>
      </w:r>
      <w:r>
        <w:rPr/>
        <w:t>算，股东权益项目除“未分配利润”外，其他项目采用发生日的即期汇率折算。 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现金流量表所有项目均按照系统合理的方法确定的、与现金流量发生日即期汇率近似的汇率折算。汇率变动对现金的影响额</w:t>
      </w:r>
      <w:r>
        <w:rPr>
          <w:spacing w:val="-64"/>
        </w:rPr>
        <w:t> </w:t>
      </w:r>
      <w:r>
        <w:rPr>
          <w:spacing w:val="-64"/>
        </w:rPr>
      </w:r>
      <w:r>
        <w:rPr/>
        <w:t>作为调节项目，在现金流量表中单独列示“汇率变动对现金及现金等价物的影响” 项目反映。 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spacing w:after="0" w:line="316"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金融工具是指形成一个企业的金融资产，并形成其他单位的金融负债或权益工具的合同。 </w:t>
      </w:r>
    </w:p>
    <w:p>
      <w:pPr>
        <w:pStyle w:val="BodyText"/>
        <w:spacing w:line="316" w:lineRule="auto" w:before="76"/>
        <w:ind w:right="2791"/>
        <w:jc w:val="left"/>
      </w:pPr>
      <w:r>
        <w:rPr/>
        <w:t>（1）金融工具的确认和终止确认 本集团于成为金融工具合同的一方时确认一项金融资产或金融负债。 金融资产满足下列条件之一的，终止确认： </w:t>
      </w:r>
    </w:p>
    <w:p>
      <w:pPr>
        <w:pStyle w:val="BodyText"/>
        <w:spacing w:line="240" w:lineRule="auto" w:before="19"/>
        <w:ind w:right="0"/>
        <w:jc w:val="left"/>
      </w:pPr>
      <w:r>
        <w:rPr/>
        <w:t>① 收取该金融资产现金流量的合同权利终止； </w:t>
      </w:r>
    </w:p>
    <w:p>
      <w:pPr>
        <w:pStyle w:val="BodyText"/>
        <w:spacing w:line="316" w:lineRule="auto" w:before="76"/>
        <w:ind w:left="153" w:right="91"/>
        <w:jc w:val="left"/>
      </w:pPr>
      <w:r>
        <w:rPr/>
        <w:t>② 该金融资产已转移，且符合下述金融资产转移的终止确认条件。 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 </w:t>
      </w:r>
    </w:p>
    <w:p>
      <w:pPr>
        <w:pStyle w:val="BodyText"/>
        <w:spacing w:line="240" w:lineRule="auto" w:before="19"/>
        <w:ind w:left="153" w:right="0"/>
        <w:jc w:val="left"/>
      </w:pPr>
      <w:r>
        <w:rPr/>
        <w:t>以常规方式买卖金融资产，按交易日进行会计确认和终止确认。 </w:t>
      </w:r>
    </w:p>
    <w:p>
      <w:pPr>
        <w:pStyle w:val="BodyText"/>
        <w:spacing w:line="316" w:lineRule="auto" w:before="76"/>
        <w:ind w:left="153" w:right="0"/>
        <w:jc w:val="left"/>
      </w:pPr>
      <w:r>
        <w:rPr/>
        <w:t>（2）金融资产分类和计量 </w:t>
      </w:r>
      <w:r>
        <w:rPr>
          <w:spacing w:val="-2"/>
        </w:rPr>
        <w:t>本集团的金融资产于初始确认时分为以下两类：应收款项、可供出售金融资产。金融资产在初始确认时以公允价值计量，相</w:t>
      </w:r>
      <w:r>
        <w:rPr>
          <w:spacing w:val="-66"/>
        </w:rPr>
        <w:t> </w:t>
      </w:r>
      <w:r>
        <w:rPr>
          <w:spacing w:val="-66"/>
        </w:rPr>
      </w:r>
      <w:r>
        <w:rPr/>
        <w:t>关交易费用计入其初始确认金额。 </w:t>
      </w:r>
    </w:p>
    <w:p>
      <w:pPr>
        <w:pStyle w:val="BodyText"/>
        <w:spacing w:line="316" w:lineRule="auto" w:before="19"/>
        <w:ind w:left="153" w:right="0"/>
        <w:jc w:val="left"/>
      </w:pPr>
      <w:r>
        <w:rPr/>
        <w:t>应收款项 </w:t>
      </w:r>
      <w:r>
        <w:rPr>
          <w:spacing w:val="-4"/>
        </w:rPr>
        <w:t>应收款项，是指在活跃市场中没有报价、回收金额固定或可确定的非衍生金融资产，包括应收账款和其他应收款等（附注三、</w:t>
      </w:r>
      <w:r>
        <w:rPr>
          <w:spacing w:val="-46"/>
        </w:rPr>
        <w:t> </w:t>
      </w:r>
      <w:r>
        <w:rPr>
          <w:spacing w:val="-46"/>
        </w:rPr>
      </w:r>
      <w:r>
        <w:rPr>
          <w:spacing w:val="-2"/>
        </w:rPr>
        <w:t>11）。应收款项采用实际利率法，按摊余成本进行后续计量，在终止确认、发生减值或摊销时产生的利得或损失，计入当期</w:t>
      </w:r>
      <w:r>
        <w:rPr>
          <w:spacing w:val="-66"/>
        </w:rPr>
        <w:t> </w:t>
      </w:r>
      <w:r>
        <w:rPr>
          <w:spacing w:val="-66"/>
        </w:rPr>
      </w:r>
      <w:r>
        <w:rPr/>
        <w:t>损益。 </w:t>
      </w:r>
    </w:p>
    <w:p>
      <w:pPr>
        <w:pStyle w:val="BodyText"/>
        <w:spacing w:line="316" w:lineRule="auto" w:before="19"/>
        <w:ind w:left="153" w:right="0"/>
        <w:jc w:val="left"/>
      </w:pPr>
      <w:r>
        <w:rPr/>
        <w:t>可供出售金融资产 </w:t>
      </w:r>
      <w:r>
        <w:rPr>
          <w:spacing w:val="-2"/>
        </w:rPr>
        <w:t>可供出售金融资产，是指初始确认时即指定为可供出售的非衍生金融资产，以及除上述金融资产类别以外的金融资产。可供</w:t>
      </w:r>
      <w:r>
        <w:rPr>
          <w:spacing w:val="-66"/>
        </w:rPr>
        <w:t> </w:t>
      </w:r>
      <w:r>
        <w:rPr>
          <w:spacing w:val="-66"/>
        </w:rPr>
      </w:r>
      <w:r>
        <w:rPr>
          <w:spacing w:val="-2"/>
        </w:rPr>
        <w:t>出售金融资产采用公允价值进行后续计量，其折溢价采用实际利率法摊销并确认为利息收入。除减值损失及外币货币性金融</w:t>
      </w:r>
      <w:r>
        <w:rPr>
          <w:spacing w:val="-64"/>
        </w:rPr>
        <w:t> </w:t>
      </w:r>
      <w:r>
        <w:rPr>
          <w:spacing w:val="-64"/>
        </w:rPr>
      </w:r>
      <w:r>
        <w:rPr>
          <w:spacing w:val="-4"/>
        </w:rPr>
        <w:t>资产的汇兑差额确认为当期损益外，可供出售金融资产的公允价值变动确认为其他综合收益，在该金融资产终止确认时转出，</w:t>
      </w:r>
      <w:r>
        <w:rPr>
          <w:spacing w:val="-44"/>
        </w:rPr>
        <w:t> </w:t>
      </w:r>
      <w:r>
        <w:rPr>
          <w:spacing w:val="-44"/>
        </w:rPr>
      </w:r>
      <w:r>
        <w:rPr/>
        <w:t>计入当期损益。与可供出售金融资产相关的股利或利息收入，计入当期损益。 </w:t>
      </w:r>
      <w:r>
        <w:rPr>
          <w:spacing w:val="-2"/>
        </w:rPr>
        <w:t>对于在活跃市场中没有报价且其公允价值不能可靠计量的权益工具投资，以及与该权益工具挂钩并须通过交付该权益工具结</w:t>
      </w:r>
      <w:r>
        <w:rPr>
          <w:spacing w:val="-64"/>
        </w:rPr>
        <w:t> </w:t>
      </w:r>
      <w:r>
        <w:rPr>
          <w:spacing w:val="-64"/>
        </w:rPr>
      </w:r>
      <w:r>
        <w:rPr/>
        <w:t>算的衍生金融资产，按成本计量。 </w:t>
      </w:r>
    </w:p>
    <w:p>
      <w:pPr>
        <w:pStyle w:val="BodyText"/>
        <w:spacing w:line="316" w:lineRule="auto" w:before="19"/>
        <w:ind w:left="153" w:right="0"/>
        <w:jc w:val="left"/>
      </w:pPr>
      <w:r>
        <w:rPr/>
        <w:t>（3）金融负债分类和计量 </w:t>
      </w:r>
      <w:r>
        <w:rPr>
          <w:spacing w:val="-2"/>
        </w:rPr>
        <w:t>本集团的金融负债于初始确认时分类为其他金融负债，对于未划分为以公允价值计量且其变动计入当期损益的金融负债，相</w:t>
      </w:r>
      <w:r>
        <w:rPr>
          <w:spacing w:val="-64"/>
        </w:rPr>
        <w:t> </w:t>
      </w:r>
      <w:r>
        <w:rPr>
          <w:spacing w:val="-64"/>
        </w:rPr>
      </w:r>
      <w:r>
        <w:rPr/>
        <w:t>关交易费用计入其初始确认金额。 </w:t>
      </w:r>
    </w:p>
    <w:p>
      <w:pPr>
        <w:pStyle w:val="BodyText"/>
        <w:spacing w:line="316" w:lineRule="auto" w:before="19"/>
        <w:ind w:left="153" w:right="4590"/>
        <w:jc w:val="left"/>
      </w:pPr>
      <w:r>
        <w:rPr/>
        <w:t>（4）金融工具的公允价值 金融资产和金融负债的公允价值确定方法见附注三、10。 </w:t>
      </w:r>
    </w:p>
    <w:p>
      <w:pPr>
        <w:pStyle w:val="BodyText"/>
        <w:spacing w:line="316" w:lineRule="auto" w:before="19"/>
        <w:ind w:left="153" w:right="0"/>
        <w:jc w:val="left"/>
      </w:pPr>
      <w:r>
        <w:rPr/>
        <w:t>（5）金融资产减值 </w:t>
      </w:r>
      <w:r>
        <w:rPr>
          <w:spacing w:val="-2"/>
        </w:rPr>
        <w:t>除了以公允价值计量且其变动计入当期损益的金融资产外，本集团于资产负债表日对其他金融资产的账面价值进行检查，有</w:t>
      </w:r>
      <w:r>
        <w:rPr>
          <w:spacing w:val="-64"/>
        </w:rPr>
        <w:t> </w:t>
      </w:r>
      <w:r>
        <w:rPr>
          <w:spacing w:val="-64"/>
        </w:rPr>
      </w:r>
      <w:r>
        <w:rPr>
          <w:spacing w:val="-2"/>
        </w:rPr>
        <w:t>客观证据表明该金融资产发生减值的，计提减值准备。表明金融资产发生减值的客观证据，是指金融资产初始确认后实际发</w:t>
      </w:r>
      <w:r>
        <w:rPr>
          <w:spacing w:val="-66"/>
        </w:rPr>
        <w:t> </w:t>
      </w:r>
      <w:r>
        <w:rPr>
          <w:spacing w:val="-66"/>
        </w:rPr>
      </w:r>
      <w:r>
        <w:rPr/>
        <w:t>生的、对该金融资产的预计未来现金流量有影响，且企业能够对该影响进行可靠计量的事项。 金融资产发生减值的客观证据，包括下列可观察到的情形： </w:t>
      </w:r>
    </w:p>
    <w:p>
      <w:pPr>
        <w:pStyle w:val="BodyText"/>
        <w:spacing w:line="240" w:lineRule="auto" w:before="19"/>
        <w:ind w:left="153" w:right="0"/>
        <w:jc w:val="left"/>
      </w:pPr>
      <w:r>
        <w:rPr/>
        <w:t>①发行方或债务人发生严重财务困难； </w:t>
      </w:r>
    </w:p>
    <w:p>
      <w:pPr>
        <w:pStyle w:val="BodyText"/>
        <w:spacing w:line="240" w:lineRule="auto" w:before="76"/>
        <w:ind w:left="153" w:right="0"/>
        <w:jc w:val="left"/>
      </w:pPr>
      <w:r>
        <w:rPr/>
        <w:t>②债务人违反了合同条款，如偿付利息或本金发生违约或逾期等； </w:t>
      </w:r>
    </w:p>
    <w:p>
      <w:pPr>
        <w:pStyle w:val="BodyText"/>
        <w:spacing w:line="240" w:lineRule="auto" w:before="76"/>
        <w:ind w:left="153" w:right="0"/>
        <w:jc w:val="left"/>
      </w:pPr>
      <w:r>
        <w:rPr/>
        <w:t>③本集团出于经济或法律等方面因素的考虑，对发生财务困难的债务人作出让步； </w:t>
      </w:r>
    </w:p>
    <w:p>
      <w:pPr>
        <w:pStyle w:val="BodyText"/>
        <w:spacing w:line="240" w:lineRule="auto" w:before="76"/>
        <w:ind w:left="153" w:right="0"/>
        <w:jc w:val="left"/>
      </w:pPr>
      <w:r>
        <w:rPr/>
        <w:t>④债务人很可能倒闭或者进行其他财务重组； </w:t>
      </w:r>
    </w:p>
    <w:p>
      <w:pPr>
        <w:pStyle w:val="BodyText"/>
        <w:spacing w:line="240" w:lineRule="auto" w:before="76"/>
        <w:ind w:left="153" w:right="0"/>
        <w:jc w:val="left"/>
      </w:pPr>
      <w:r>
        <w:rPr/>
        <w:t>⑤因发行方发生重大财务困难，导致金融资产无法在活跃市场继续交易； </w:t>
      </w:r>
    </w:p>
    <w:p>
      <w:pPr>
        <w:pStyle w:val="BodyText"/>
        <w:spacing w:line="316" w:lineRule="auto" w:before="76"/>
        <w:ind w:left="153" w:right="0"/>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产自初始确认以来的预计未来现金流量确已减少且可计量，包括： </w:t>
      </w:r>
    </w:p>
    <w:p>
      <w:pPr>
        <w:pStyle w:val="BodyText"/>
        <w:tabs>
          <w:tab w:pos="573" w:val="left" w:leader="none"/>
        </w:tabs>
        <w:spacing w:line="240" w:lineRule="auto" w:before="19"/>
        <w:ind w:left="153" w:right="0"/>
        <w:jc w:val="left"/>
      </w:pPr>
      <w:r>
        <w:rPr/>
        <w:t> </w:t>
        <w:tab/>
        <w:t>- 该组金融资产的债务人支付能力逐步恶化； </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tabs>
          <w:tab w:pos="573" w:val="left" w:leader="none"/>
        </w:tabs>
        <w:spacing w:line="240" w:lineRule="auto" w:before="44"/>
        <w:ind w:left="153" w:right="0"/>
        <w:jc w:val="left"/>
      </w:pPr>
      <w:r>
        <w:rPr/>
        <w:t> </w:t>
        <w:tab/>
        <w:t>- 债务人所在国家或地区经济出现了可能导致该组金融资产无法支付的状况； </w:t>
      </w:r>
    </w:p>
    <w:p>
      <w:pPr>
        <w:pStyle w:val="BodyText"/>
        <w:spacing w:line="240" w:lineRule="auto" w:before="76"/>
        <w:ind w:left="153" w:right="0"/>
        <w:jc w:val="left"/>
      </w:pPr>
      <w:r>
        <w:rPr/>
        <w:t>⑦债务人经营所处的技术、市场、经济或法律环境等发生重大不利变化，使权益工具投资人可能无法收回投资成本； </w:t>
      </w:r>
    </w:p>
    <w:p>
      <w:pPr>
        <w:pStyle w:val="BodyText"/>
        <w:spacing w:line="316" w:lineRule="auto" w:before="76"/>
        <w:ind w:left="153" w:right="0"/>
        <w:jc w:val="left"/>
      </w:pPr>
      <w:r>
        <w:rPr>
          <w:spacing w:val="-2"/>
        </w:rPr>
        <w:t>⑧权益工具投资的公允价值发生严重或非暂时性下跌，如权益工具投资于资产负债表日的公允价值低于其初始投资成本超过</w:t>
      </w:r>
      <w:r>
        <w:rPr>
          <w:spacing w:val="-64"/>
        </w:rPr>
        <w:t> </w:t>
      </w:r>
      <w:r>
        <w:rPr>
          <w:spacing w:val="-64"/>
        </w:rPr>
      </w:r>
      <w:r>
        <w:rPr/>
        <w:t>50%（含50%）或低于其初始投资成本持续时间超过12个月（含12个月）。 </w:t>
      </w:r>
      <w:r>
        <w:rPr>
          <w:spacing w:val="-2"/>
        </w:rPr>
        <w:t>低于其初始投资成本持续时间超过12个月（含12个月）是指，权益工具投资公允价值月度均值连续12个月均低于其初始投资</w:t>
      </w:r>
      <w:r>
        <w:rPr>
          <w:spacing w:val="-60"/>
        </w:rPr>
        <w:t> </w:t>
      </w:r>
      <w:r>
        <w:rPr>
          <w:spacing w:val="-60"/>
        </w:rPr>
      </w:r>
      <w:r>
        <w:rPr/>
        <w:t>成本。 </w:t>
      </w:r>
    </w:p>
    <w:p>
      <w:pPr>
        <w:pStyle w:val="BodyText"/>
        <w:spacing w:line="316" w:lineRule="auto" w:before="19"/>
        <w:ind w:left="153" w:right="4590"/>
        <w:jc w:val="left"/>
      </w:pPr>
      <w:r>
        <w:rPr/>
        <w:t>⑨其他表明金融资产发生减值的客观证据。 以摊余成本计量的金融资产 </w:t>
      </w:r>
    </w:p>
    <w:p>
      <w:pPr>
        <w:pStyle w:val="BodyText"/>
        <w:spacing w:line="316" w:lineRule="auto" w:before="19"/>
        <w:ind w:left="153" w:right="0"/>
        <w:jc w:val="left"/>
      </w:pPr>
      <w:r>
        <w:rPr>
          <w:spacing w:val="-2"/>
        </w:rPr>
        <w:t>如果有客观证据表明该金融资产发生减值，则将该金融资产的账面价值减记至预计未来现金流量（不包括尚未发生的未来信</w:t>
      </w:r>
      <w:r>
        <w:rPr>
          <w:spacing w:val="-64"/>
        </w:rPr>
        <w:t> </w:t>
      </w:r>
      <w:r>
        <w:rPr>
          <w:spacing w:val="-64"/>
        </w:rPr>
      </w:r>
      <w:r>
        <w:rPr>
          <w:spacing w:val="-2"/>
        </w:rPr>
        <w:t>用损失）现值，减记金额计入当期损益。预计未来现金流量现值，按照该金融资产原实际利率折现确定，并考虑相关担保物</w:t>
      </w:r>
      <w:r>
        <w:rPr>
          <w:spacing w:val="-66"/>
        </w:rPr>
        <w:t> </w:t>
      </w:r>
      <w:r>
        <w:rPr>
          <w:spacing w:val="-66"/>
        </w:rPr>
      </w:r>
      <w:r>
        <w:rPr/>
        <w:t>的价值。 </w:t>
      </w:r>
      <w:r>
        <w:rPr>
          <w:spacing w:val="-2"/>
        </w:rPr>
        <w:t>对单项金额重大的金融资产单独进行减值测试，如有客观证据表明其已发生减值，确认减值损失，计入当期损益。对单项金</w:t>
      </w:r>
      <w:r>
        <w:rPr>
          <w:spacing w:val="-66"/>
        </w:rPr>
        <w:t> </w:t>
      </w:r>
      <w:r>
        <w:rPr>
          <w:spacing w:val="-66"/>
        </w:rPr>
      </w:r>
      <w:r>
        <w:rPr>
          <w:spacing w:val="-2"/>
        </w:rPr>
        <w:t>额不重大的金融资产，包括在具有类似信用风险特征的金融资产组合中进行减值测试。单独测试未发生减值的金融资产（包</w:t>
      </w:r>
      <w:r>
        <w:rPr>
          <w:spacing w:val="-66"/>
        </w:rPr>
        <w:t> </w:t>
      </w:r>
      <w:r>
        <w:rPr>
          <w:spacing w:val="-66"/>
        </w:rPr>
      </w:r>
      <w:r>
        <w:rPr>
          <w:spacing w:val="-2"/>
        </w:rPr>
        <w:t>括单项金额重大和不重大的金融资产），包括在具有类似信用风险特征的金融资产组合中再进行减值测试。已单项确认减值</w:t>
      </w:r>
      <w:r>
        <w:rPr>
          <w:spacing w:val="-66"/>
        </w:rPr>
        <w:t> </w:t>
      </w:r>
      <w:r>
        <w:rPr>
          <w:spacing w:val="-66"/>
        </w:rPr>
      </w:r>
      <w:r>
        <w:rPr/>
        <w:t>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 </w:t>
      </w:r>
    </w:p>
    <w:p>
      <w:pPr>
        <w:pStyle w:val="BodyText"/>
        <w:spacing w:line="316" w:lineRule="auto" w:before="19"/>
        <w:ind w:left="153" w:right="0"/>
        <w:jc w:val="left"/>
      </w:pPr>
      <w:r>
        <w:rPr/>
        <w:t>可供出售金融资产 </w:t>
      </w:r>
      <w:r>
        <w:rPr>
          <w:spacing w:val="-2"/>
        </w:rPr>
        <w:t>如果有客观证据表明该金融资产发生减值，原直接计入其他综合收益的因公允价值下降形成的累计损失，予以转出，计入当</w:t>
      </w:r>
      <w:r>
        <w:rPr>
          <w:spacing w:val="-66"/>
        </w:rPr>
        <w:t> </w:t>
      </w:r>
      <w:r>
        <w:rPr>
          <w:spacing w:val="-66"/>
        </w:rPr>
      </w:r>
      <w:r>
        <w:rPr>
          <w:spacing w:val="-2"/>
        </w:rPr>
        <w:t>期损益。该转出的累计损失，为可供出售金融资产的初始取得成本扣除已收回本金和已摊销金额、当前公允价值和原已计入</w:t>
      </w:r>
      <w:r>
        <w:rPr>
          <w:spacing w:val="-66"/>
        </w:rPr>
        <w:t> </w:t>
      </w:r>
      <w:r>
        <w:rPr>
          <w:spacing w:val="-66"/>
        </w:rPr>
      </w:r>
      <w:r>
        <w:rPr/>
        <w:t>损益的减值损失后的余额。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有关的，原确认的减值损失予以转回，计入当期损益。可供出售权益工具投资发生的减值损失，不通过损益转回。 以成本计量的金融资产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spacing w:val="-2"/>
        </w:rPr>
        <w:t>生金融资产发生减值时，将该金融资产的账面价值，与按照类似金融资产当时市场收益率对未来现金流量折现确定的现值之</w:t>
      </w:r>
      <w:r>
        <w:rPr>
          <w:spacing w:val="-64"/>
        </w:rPr>
        <w:t> </w:t>
      </w:r>
      <w:r>
        <w:rPr>
          <w:spacing w:val="-64"/>
        </w:rPr>
      </w:r>
      <w:r>
        <w:rPr/>
        <w:t>间的差额，确认为减值损失，计入当期损益。发生的减值损失一经确认，不得转回。 </w:t>
      </w:r>
    </w:p>
    <w:p>
      <w:pPr>
        <w:pStyle w:val="BodyText"/>
        <w:spacing w:line="316" w:lineRule="auto" w:before="19"/>
        <w:ind w:left="153" w:right="1121"/>
        <w:jc w:val="left"/>
      </w:pPr>
      <w:r>
        <w:rPr/>
        <w:t>（6）金融资产转移 金融资产转移，是指将金融资产让与或交付给该金融资产发行方以外的另一方（转入方）。 </w:t>
      </w:r>
    </w:p>
    <w:p>
      <w:pPr>
        <w:pStyle w:val="BodyText"/>
        <w:spacing w:line="316" w:lineRule="auto" w:before="19"/>
        <w:ind w:left="153" w:right="0"/>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 </w:t>
      </w:r>
    </w:p>
    <w:p>
      <w:pPr>
        <w:pStyle w:val="BodyText"/>
        <w:spacing w:line="316" w:lineRule="auto" w:before="19"/>
        <w:ind w:left="153" w:right="0"/>
        <w:jc w:val="left"/>
      </w:pPr>
      <w:r>
        <w:rPr/>
        <w:t>（7）金融资产和金融负债的抵销 </w:t>
      </w: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 项金额重大的应收款项。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704"/>
        <w:jc w:val="left"/>
      </w:pPr>
      <w:r>
        <w:rPr/>
        <w:t>组合中，采用账龄分析法计提坏账准备的：</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704"/>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630"/>
        <w:jc w:val="left"/>
      </w:pPr>
      <w:r>
        <w:rPr/>
        <w:t>（</w:t>
      </w:r>
      <w:r>
        <w:rPr>
          <w:rFonts w:ascii="Times New Roman" w:hAnsi="Times New Roman" w:cs="Times New Roman" w:eastAsia="Times New Roman" w:hint="default"/>
        </w:rPr>
        <w:t>1</w:t>
      </w:r>
      <w:r>
        <w:rPr/>
        <w:t>）存货的分类 本集团存货分为库存商品、发出商品、开发成本等。</w:t>
      </w:r>
    </w:p>
    <w:p>
      <w:pPr>
        <w:pStyle w:val="BodyText"/>
        <w:spacing w:line="338" w:lineRule="auto" w:before="43"/>
        <w:ind w:left="153" w:right="2751"/>
        <w:jc w:val="left"/>
      </w:pPr>
      <w:r>
        <w:rPr/>
        <w:t>（</w:t>
      </w:r>
      <w:r>
        <w:rPr>
          <w:rFonts w:ascii="Times New Roman" w:hAnsi="Times New Roman" w:cs="Times New Roman" w:eastAsia="Times New Roman" w:hint="default"/>
        </w:rPr>
        <w:t>2</w:t>
      </w:r>
      <w:r>
        <w:rPr/>
        <w:t>）发出存货的计价方法 本集团存货取得时按实际成本计价。库存商品、发出商品等发出时采用加权平均法计价。</w:t>
      </w:r>
    </w:p>
    <w:p>
      <w:pPr>
        <w:spacing w:after="0" w:line="33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开发产品的实际成本包括土地出让金、基础配套设施支出、建筑安装工程支出、开发项目完工之前所发生的借款费用及开发</w:t>
      </w:r>
      <w:r>
        <w:rPr>
          <w:spacing w:val="-66"/>
        </w:rPr>
        <w:t> </w:t>
      </w:r>
      <w:r>
        <w:rPr>
          <w:spacing w:val="-66"/>
        </w:rPr>
      </w:r>
      <w:r>
        <w:rPr/>
        <w:t>过程中的其他相关费用。开发产品发出时，采用个别计价法确定其实际成本。</w:t>
      </w:r>
    </w:p>
    <w:p>
      <w:pPr>
        <w:pStyle w:val="BodyText"/>
        <w:spacing w:line="333" w:lineRule="auto" w:before="56"/>
        <w:ind w:left="153" w:right="0"/>
        <w:jc w:val="left"/>
      </w:pPr>
      <w:r>
        <w:rPr/>
        <w:t>（</w:t>
      </w:r>
      <w:r>
        <w:rPr>
          <w:rFonts w:ascii="Times New Roman" w:hAnsi="Times New Roman" w:cs="Times New Roman" w:eastAsia="Times New Roman"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 </w:t>
      </w:r>
      <w:r>
        <w:rPr>
          <w:spacing w:val="-2"/>
        </w:rPr>
        <w:t>资产负债表日，存货成本高于其可变现净值的，计提存货跌价准备。本集团通常按照单个存货项目计提存货跌价准备，资产</w:t>
      </w:r>
      <w:r>
        <w:rPr>
          <w:spacing w:val="-66"/>
        </w:rPr>
        <w:t> </w:t>
      </w:r>
      <w:r>
        <w:rPr>
          <w:spacing w:val="-66"/>
        </w:rPr>
      </w:r>
      <w:r>
        <w:rPr/>
        <w:t>负债表日，以前减记存货价值的影响因素已经消失的，存货跌价准备在原已计提的金额内转回。</w:t>
      </w:r>
    </w:p>
    <w:p>
      <w:pPr>
        <w:pStyle w:val="BodyText"/>
        <w:spacing w:line="340" w:lineRule="auto" w:before="46"/>
        <w:ind w:left="153" w:right="6711"/>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38" w:lineRule="auto" w:before="40"/>
        <w:ind w:left="153" w:right="5991"/>
        <w:jc w:val="left"/>
      </w:pPr>
      <w:r>
        <w:rPr/>
        <w:t>（</w:t>
      </w:r>
      <w:r>
        <w:rPr>
          <w:rFonts w:ascii="Times New Roman" w:hAnsi="Times New Roman" w:cs="Times New Roman" w:eastAsia="Times New Roman" w:hint="default"/>
        </w:rPr>
        <w:t>5</w:t>
      </w:r>
      <w:r>
        <w:rPr/>
        <w:t>）低值易耗品的摊销方法 本集团低值易耗品领用时采用一次转销法摊销。</w:t>
      </w:r>
    </w:p>
    <w:p>
      <w:pPr>
        <w:spacing w:line="240" w:lineRule="auto" w:before="2"/>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长期股权投资包括对子公司、合营企业和联营企业的权益性投资。本公司能够对被投资单位施加重大影响的，为本公司的联</w:t>
      </w:r>
      <w:r>
        <w:rPr>
          <w:spacing w:val="-66"/>
        </w:rPr>
        <w:t> </w:t>
      </w:r>
      <w:r>
        <w:rPr>
          <w:spacing w:val="-66"/>
        </w:rPr>
      </w:r>
      <w:r>
        <w:rPr/>
        <w:t>营企业。</w:t>
      </w:r>
    </w:p>
    <w:p>
      <w:pPr>
        <w:pStyle w:val="BodyText"/>
        <w:spacing w:line="324" w:lineRule="auto" w:before="58"/>
        <w:ind w:left="153" w:right="0"/>
        <w:jc w:val="left"/>
      </w:pPr>
      <w:r>
        <w:rPr/>
        <w:t>（</w:t>
      </w:r>
      <w:r>
        <w:rPr>
          <w:rFonts w:ascii="Times New Roman" w:hAnsi="Times New Roman" w:cs="Times New Roman" w:eastAsia="Times New Roman" w:hint="default"/>
        </w:rPr>
        <w:t>1</w:t>
      </w:r>
      <w:r>
        <w:rPr/>
        <w:t>）初始投资成本确定 </w:t>
      </w: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pStyle w:val="BodyText"/>
        <w:spacing w:line="319" w:lineRule="auto" w:before="52"/>
        <w:ind w:left="153" w:right="0"/>
        <w:jc w:val="left"/>
      </w:pPr>
      <w:r>
        <w:rPr>
          <w:spacing w:val="-2"/>
        </w:rPr>
        <w:t>对于其他方式取得的长期股权投资：支付现金取得的长期股权投资，按照实际支付的购买价款作为初始投资成本；发行权益</w:t>
      </w:r>
      <w:r>
        <w:rPr>
          <w:spacing w:val="-66"/>
        </w:rPr>
        <w:t> </w:t>
      </w:r>
      <w:r>
        <w:rPr>
          <w:spacing w:val="-66"/>
        </w:rPr>
      </w:r>
      <w:r>
        <w:rPr/>
        <w:t>性证券取得的长期股权投资，以发行权益性证券的公允价值作为初始投资成本。</w:t>
      </w:r>
    </w:p>
    <w:p>
      <w:pPr>
        <w:pStyle w:val="BodyText"/>
        <w:spacing w:line="348" w:lineRule="auto" w:before="58"/>
        <w:ind w:left="153" w:right="137"/>
        <w:jc w:val="left"/>
      </w:pPr>
      <w:r>
        <w:rPr/>
        <w:t>（</w:t>
      </w:r>
      <w:r>
        <w:rPr>
          <w:rFonts w:ascii="Times New Roman" w:hAnsi="Times New Roman" w:cs="Times New Roman" w:eastAsia="Times New Roman" w:hint="default"/>
        </w:rPr>
        <w:t>2</w:t>
      </w:r>
      <w:r>
        <w:rPr/>
        <w:t>）后续计量及损益确认方法 本公司对子公司的投资，采用成本法核算；对联营企业和合营企业的投资，采用权益法核算。 </w:t>
      </w:r>
      <w:r>
        <w:rPr>
          <w:spacing w:val="-2"/>
        </w:rPr>
        <w:t>采用成本法核算的长期股权投资，除取得投资时实际支付的价款或对价中包含的已宣告但尚未发放的现金股利或利润外，被</w:t>
      </w:r>
    </w:p>
    <w:p>
      <w:pPr>
        <w:pStyle w:val="BodyText"/>
        <w:spacing w:line="338" w:lineRule="auto"/>
        <w:ind w:left="153" w:right="0"/>
        <w:jc w:val="left"/>
      </w:pPr>
      <w:r>
        <w:rPr/>
        <w:t>投资单位宣告分派的现金股利或利润，确认为投资收益计入当期损益。 </w:t>
      </w:r>
      <w:r>
        <w:rPr>
          <w:spacing w:val="-2"/>
        </w:rPr>
        <w:t>采用权益法核算的长期股权投资，初始投资成本大于投资时应享有被投资单位可辨认净资产公允价值份额的，不调整长期股</w:t>
      </w:r>
      <w:r>
        <w:rPr>
          <w:spacing w:val="-64"/>
        </w:rPr>
        <w:t> </w:t>
      </w:r>
      <w:r>
        <w:rPr>
          <w:spacing w:val="-64"/>
        </w:rPr>
      </w:r>
      <w:r>
        <w:rPr>
          <w:spacing w:val="-2"/>
        </w:rPr>
        <w:t>权投资的投资成本；初始投资成本小于投资时应享有被投资单位可辨认净资产公允价值份额的，对长期股权投资的账面价值</w:t>
      </w:r>
    </w:p>
    <w:p>
      <w:pPr>
        <w:pStyle w:val="BodyText"/>
        <w:spacing w:line="338" w:lineRule="auto" w:before="4"/>
        <w:ind w:left="153" w:right="0"/>
        <w:jc w:val="left"/>
      </w:pPr>
      <w:r>
        <w:rPr/>
        <w:t>进行调整，差额计入投资当期的损益。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pStyle w:val="BodyText"/>
        <w:spacing w:line="319" w:lineRule="auto" w:before="2"/>
        <w:ind w:left="153" w:right="150"/>
        <w:jc w:val="both"/>
      </w:pPr>
      <w:r>
        <w:rPr>
          <w:spacing w:val="-2"/>
        </w:rPr>
        <w:t>权投资的账面价值；被投资单位除净损益、其他综合收益和利润分配以外所有者权益的其他变动，调整长期股权投资的账面</w:t>
      </w:r>
      <w:r>
        <w:rPr>
          <w:spacing w:val="-66"/>
        </w:rPr>
        <w:t> </w:t>
      </w:r>
      <w:r>
        <w:rPr>
          <w:spacing w:val="-66"/>
        </w:rPr>
      </w:r>
      <w:r>
        <w:rPr>
          <w:spacing w:val="-2"/>
        </w:rPr>
        <w:t>价值并计入资本公积（其他资本公积）。在确认应享有被投资单位净损益的份额时，以取得投资时被投资单位各项可辨认资</w:t>
      </w:r>
      <w:r>
        <w:rPr>
          <w:spacing w:val="-72"/>
        </w:rPr>
        <w:t> </w:t>
      </w:r>
      <w:r>
        <w:rPr>
          <w:spacing w:val="-72"/>
        </w:rPr>
      </w:r>
      <w:r>
        <w:rPr/>
        <w:t>产等的公允价值为基础，并按照本公司的会计政策及会计期间，对被投资单位的净利润进行调整后确认。</w:t>
      </w:r>
    </w:p>
    <w:p>
      <w:pPr>
        <w:pStyle w:val="BodyText"/>
        <w:spacing w:line="319" w:lineRule="auto" w:before="55"/>
        <w:ind w:left="153" w:right="151"/>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6"/>
        </w:rPr>
        <w:t> </w:t>
      </w:r>
      <w:r>
        <w:rPr>
          <w:spacing w:val="-66"/>
        </w:rPr>
      </w:r>
      <w:r>
        <w:rPr/>
        <w:t>其他综合收益的累计公允价值变动转入改按权益法核算的当期损益。</w:t>
      </w:r>
    </w:p>
    <w:p>
      <w:pPr>
        <w:pStyle w:val="BodyText"/>
        <w:spacing w:line="240" w:lineRule="auto" w:before="56"/>
        <w:ind w:left="153" w:right="0"/>
        <w:jc w:val="left"/>
      </w:pPr>
      <w:r>
        <w:rPr/>
        <w:t>因处置部分股权投资等原因丧失了对被投资单位的共同控制或重大影响的</w:t>
      </w:r>
      <w:r>
        <w:rPr>
          <w:spacing w:val="-82"/>
        </w:rPr>
        <w:t>，</w:t>
      </w:r>
      <w:r>
        <w:rPr/>
        <w:t>处置后的剩余股权在丧失共同控制或重大影响之</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9" w:lineRule="auto" w:before="44"/>
        <w:ind w:left="153" w:right="150"/>
        <w:jc w:val="both"/>
      </w:pPr>
      <w:r>
        <w:rPr/>
        <w:t>日改按《企业会计准则第</w:t>
      </w:r>
      <w:r>
        <w:rPr>
          <w:spacing w:val="-46"/>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金融工具确认和计量》进行会计处理，公允价值与账面价值之间的差额计入当期损益。原 </w:t>
      </w:r>
      <w:r>
        <w:rPr>
          <w:spacing w:val="-2"/>
        </w:rPr>
        <w:t>股权投资因采用权益法核算而确认的其他综合收益，在终止采用权益法核算时采用与被投资单位直接处置相关资产或负债相</w:t>
      </w:r>
      <w:r>
        <w:rPr>
          <w:spacing w:val="-64"/>
        </w:rPr>
        <w:t> </w:t>
      </w:r>
      <w:r>
        <w:rPr>
          <w:spacing w:val="-64"/>
        </w:rPr>
      </w:r>
      <w:r>
        <w:rPr/>
        <w:t>同的基础进行会计处理；原股权投资相关的其他所有者权益变动转入当期损益。</w:t>
      </w:r>
    </w:p>
    <w:p>
      <w:pPr>
        <w:pStyle w:val="BodyText"/>
        <w:spacing w:line="312" w:lineRule="auto" w:before="62"/>
        <w:ind w:left="153" w:right="150"/>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6"/>
        </w:rPr>
        <w:t> </w:t>
      </w:r>
      <w:r>
        <w:rPr>
          <w:spacing w:val="-66"/>
        </w:rPr>
      </w:r>
      <w:r>
        <w:rPr/>
        <w:t>施共同控制或施加重大影响的，改按《企业会计准则第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金融工具确认和计量》的有关规定进行会计处理，其在丧失 控制之日的公允价值与账面价值之间的差额计入当期损益。</w:t>
      </w:r>
    </w:p>
    <w:p>
      <w:pPr>
        <w:pStyle w:val="BodyText"/>
        <w:spacing w:line="319" w:lineRule="auto" w:before="62"/>
        <w:ind w:right="151"/>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pStyle w:val="BodyText"/>
        <w:spacing w:line="319" w:lineRule="auto" w:before="55"/>
        <w:ind w:right="0"/>
        <w:jc w:val="left"/>
      </w:pPr>
      <w:r>
        <w:rPr>
          <w:spacing w:val="-2"/>
        </w:rPr>
        <w:t>本公司与联营企业及合营企业之间发生的未实现内部交易损益按照持股比例计算归属于本公司的部分，在抵销基础上确认投</w:t>
      </w:r>
      <w:r>
        <w:rPr>
          <w:spacing w:val="-64"/>
        </w:rPr>
        <w:t> </w:t>
      </w:r>
      <w:r>
        <w:rPr>
          <w:spacing w:val="-64"/>
        </w:rPr>
      </w:r>
      <w:r>
        <w:rPr/>
        <w:t>资损益。但本公司与被投资单位发生的未实现内部交易损失，属于所转让资产减值损失的，不予以抵销。</w:t>
      </w:r>
    </w:p>
    <w:p>
      <w:pPr>
        <w:pStyle w:val="BodyText"/>
        <w:spacing w:line="324" w:lineRule="auto" w:before="56"/>
        <w:ind w:right="0"/>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6"/>
        </w:rPr>
        <w:t> </w:t>
      </w:r>
      <w:r>
        <w:rPr>
          <w:spacing w:val="-66"/>
        </w:rPr>
      </w:r>
      <w:r>
        <w:rPr>
          <w:spacing w:val="-2"/>
        </w:rPr>
        <w:t>动的决策是否必须经过这些集体控制该安排的参与方一致同意。如果所有参与方或一组参与方必须一致行动才能决定某项安</w:t>
      </w:r>
      <w:r>
        <w:rPr>
          <w:spacing w:val="-64"/>
        </w:rPr>
        <w:t> </w:t>
      </w:r>
      <w:r>
        <w:rPr>
          <w:spacing w:val="-64"/>
        </w:rPr>
      </w:r>
      <w:r>
        <w:rPr>
          <w:spacing w:val="-2"/>
        </w:rPr>
        <w:t>排的相关活动，则认为所有参与方或一组参与方集体控制该安排；如果存在两个或两个以上的参与方组合能够集体控制某项</w:t>
      </w:r>
    </w:p>
    <w:p>
      <w:pPr>
        <w:pStyle w:val="BodyText"/>
        <w:spacing w:line="338" w:lineRule="auto" w:before="14"/>
        <w:ind w:right="0"/>
        <w:jc w:val="left"/>
      </w:pPr>
      <w:r>
        <w:rPr/>
        <w:t>安排的，不构成共同控制。判断是否存在共同控制时，不考虑享有的保护性权利。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p>
    <w:p>
      <w:pPr>
        <w:pStyle w:val="BodyText"/>
        <w:spacing w:line="319" w:lineRule="auto" w:before="2"/>
        <w:ind w:right="0"/>
        <w:jc w:val="left"/>
      </w:pPr>
      <w:r>
        <w:rPr>
          <w:spacing w:val="-2"/>
        </w:rPr>
        <w:t>其他方持有的当期可执行潜在表决权在假定转换为对被投资方单位的股权后产生的影响，包括被投资单位发行的当期可转换</w:t>
      </w:r>
      <w:r>
        <w:rPr>
          <w:spacing w:val="-64"/>
        </w:rPr>
        <w:t> </w:t>
      </w:r>
      <w:r>
        <w:rPr>
          <w:spacing w:val="-64"/>
        </w:rPr>
      </w:r>
      <w:r>
        <w:rPr/>
        <w:t>的认股权证、股份期权及可转换公司债券等的影响。</w:t>
      </w:r>
    </w:p>
    <w:p>
      <w:pPr>
        <w:pStyle w:val="BodyText"/>
        <w:spacing w:line="307" w:lineRule="auto" w:before="55"/>
        <w:ind w:right="0"/>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6"/>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的表决权股份时，一般认为对被投资单位 </w:t>
      </w:r>
      <w:r>
        <w:rPr>
          <w:spacing w:val="-2"/>
        </w:rPr>
        <w:t>具有重大影响，除非有明确证据表明该种情况下不能参与被投资单位的生产经营决策，不形成重大影响；本公司拥有被投资</w:t>
      </w:r>
      <w:r>
        <w:rPr>
          <w:spacing w:val="-66"/>
        </w:rPr>
        <w:t> </w:t>
      </w:r>
      <w:r>
        <w:rPr>
          <w:spacing w:val="-66"/>
        </w:rPr>
      </w:r>
      <w:r>
        <w:rPr/>
        <w:t>单位</w:t>
      </w:r>
      <w:r>
        <w:rPr>
          <w:spacing w:val="-46"/>
        </w:rPr>
        <w:t> </w:t>
      </w:r>
      <w:r>
        <w:rPr>
          <w:rFonts w:ascii="Times New Roman" w:hAnsi="Times New Roman" w:cs="Times New Roman" w:eastAsia="Times New Roman" w:hint="default"/>
        </w:rPr>
        <w:t>20%</w:t>
      </w:r>
      <w:r>
        <w:rPr/>
        <w:t>（不含）以下的表决权股份时，一般不认为对被投资单位具有重大影响，除非有明确证据表明该种情况下能够参 与被投资单位的生产经营决策，形成重大影响。</w:t>
      </w:r>
    </w:p>
    <w:p>
      <w:pPr>
        <w:pStyle w:val="BodyText"/>
        <w:spacing w:line="338" w:lineRule="auto" w:before="67"/>
        <w:ind w:right="3110"/>
        <w:jc w:val="left"/>
      </w:pPr>
      <w:r>
        <w:rPr/>
        <w:t>（</w:t>
      </w:r>
      <w:r>
        <w:rPr>
          <w:rFonts w:ascii="Times New Roman" w:hAnsi="Times New Roman" w:cs="Times New Roman" w:eastAsia="Times New Roman" w:hint="default"/>
        </w:rPr>
        <w:t>4</w:t>
      </w:r>
      <w:r>
        <w:rPr/>
        <w:t>）减值测试方法及减值准备计提方法 对子公司、联营企业及合营企业的投资，本公司计提资产减值的方法见附注三、</w:t>
      </w:r>
      <w:r>
        <w:rPr>
          <w:rFonts w:ascii="Times New Roman" w:hAnsi="Times New Roman" w:cs="Times New Roman" w:eastAsia="Times New Roman" w:hint="default"/>
        </w:rPr>
        <w:t>19</w:t>
      </w:r>
      <w:r>
        <w:rPr/>
        <w:t>。</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971"/>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jc w:val="both"/>
      </w:pPr>
      <w:r>
        <w:rPr>
          <w:spacing w:val="-2"/>
        </w:rPr>
        <w:t>本集团固定资产是指为生产商品、提供劳务、出租或经营管理而持有的，使用寿命超过一个会计年度的有形资产。与该固定</w:t>
      </w:r>
      <w:r>
        <w:rPr>
          <w:spacing w:val="-66"/>
        </w:rPr>
        <w:t> </w:t>
      </w:r>
      <w:r>
        <w:rPr>
          <w:spacing w:val="-66"/>
        </w:rPr>
      </w:r>
      <w:r>
        <w:rPr>
          <w:spacing w:val="-2"/>
        </w:rPr>
        <w:t>资产有关的经济利益很可能流入企业，并且该固定资产的成本能够可靠地计量时，固定资产才能予以确认。本集团固定资产</w:t>
      </w:r>
      <w:r>
        <w:rPr>
          <w:spacing w:val="-66"/>
        </w:rPr>
        <w:t> </w:t>
      </w:r>
      <w:r>
        <w:rPr>
          <w:spacing w:val="-66"/>
        </w:rPr>
      </w:r>
      <w:r>
        <w:rPr/>
        <w:t>按照取得时的实际成本进行初始计量。</w:t>
      </w:r>
    </w:p>
    <w:p>
      <w:pPr>
        <w:spacing w:after="0" w:line="319"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4371"/>
        <w:jc w:val="left"/>
      </w:pPr>
      <w:r>
        <w:rPr/>
        <w:t>（</w:t>
      </w:r>
      <w:r>
        <w:rPr>
          <w:rFonts w:ascii="Times New Roman" w:hAnsi="Times New Roman" w:cs="Times New Roman" w:eastAsia="Times New Roman" w:hint="default"/>
        </w:rPr>
        <w:t>1</w:t>
      </w:r>
      <w:r>
        <w:rPr/>
        <w:t>）在建工程计价 本公司的在建工程按工程项目分别核算，在建工程按实际成本计价。</w:t>
      </w:r>
    </w:p>
    <w:p>
      <w:pPr>
        <w:pStyle w:val="BodyText"/>
        <w:spacing w:line="309" w:lineRule="auto" w:before="31"/>
        <w:ind w:left="153" w:right="0"/>
        <w:jc w:val="left"/>
      </w:pPr>
      <w:r>
        <w:rPr/>
        <w:t>（</w:t>
      </w:r>
      <w:r>
        <w:rPr>
          <w:rFonts w:ascii="Times New Roman" w:hAnsi="Times New Roman" w:cs="Times New Roman" w:eastAsia="Times New Roman" w:hint="default"/>
        </w:rPr>
        <w:t>2</w:t>
      </w:r>
      <w:r>
        <w:rPr/>
        <w:t>）在建工程结转为固定资产的时点 </w:t>
      </w:r>
      <w:r>
        <w:rPr>
          <w:spacing w:val="-2"/>
        </w:rPr>
        <w:t>在建工程达到预定可使用状态时，按工程实际成本转入固定资产。对已达到预定可使用状态但尚未办理竣工决算手续的固定</w:t>
      </w:r>
      <w:r>
        <w:rPr>
          <w:spacing w:val="-64"/>
        </w:rPr>
        <w:t> </w:t>
      </w:r>
      <w:r>
        <w:rPr>
          <w:spacing w:val="-64"/>
        </w:rPr>
      </w:r>
      <w:r>
        <w:rPr/>
        <w:t>资产，按估计价值记账，待确定实际价值后，再进行调整。</w:t>
      </w:r>
    </w:p>
    <w:p>
      <w:pPr>
        <w:spacing w:line="240" w:lineRule="auto" w:before="12"/>
        <w:rPr>
          <w:rFonts w:ascii="宋体" w:hAnsi="宋体" w:cs="宋体" w:eastAsia="宋体" w:hint="default"/>
          <w:sz w:val="22"/>
          <w:szCs w:val="22"/>
        </w:rPr>
      </w:pPr>
    </w:p>
    <w:p>
      <w:pPr>
        <w:pStyle w:val="Heading3"/>
        <w:spacing w:line="240" w:lineRule="auto"/>
        <w:ind w:right="70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left="153" w:right="0"/>
        <w:jc w:val="left"/>
      </w:pPr>
      <w:r>
        <w:rPr>
          <w:spacing w:val="-2"/>
        </w:rPr>
        <w:t>本集团发生的借款费用，可直接归属于符合资本化条件的资产的购建或者生产的，予以资本化，计入相关资产成本；其他借</w:t>
      </w:r>
      <w:r>
        <w:rPr>
          <w:spacing w:val="-66"/>
        </w:rPr>
        <w:t> </w:t>
      </w:r>
      <w:r>
        <w:rPr>
          <w:spacing w:val="-66"/>
        </w:rPr>
      </w:r>
      <w:r>
        <w:rPr/>
        <w:t>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left="153" w:right="141"/>
        <w:jc w:val="left"/>
      </w:pPr>
      <w:r>
        <w:rPr/>
        <w:t>① 资产支出已经发生，资产支出包括为购建或者生产符合资本化条件的资产而以支付现金、转移非现金资产或者承担带息</w:t>
      </w:r>
      <w:r>
        <w:rPr>
          <w:spacing w:val="-89"/>
        </w:rPr>
        <w:t> </w:t>
      </w:r>
      <w:r>
        <w:rPr>
          <w:spacing w:val="-89"/>
        </w:rPr>
      </w:r>
      <w:r>
        <w:rPr/>
        <w:t>债务形式发生的支出；</w:t>
      </w:r>
    </w:p>
    <w:p>
      <w:pPr>
        <w:spacing w:line="240" w:lineRule="auto" w:before="12"/>
        <w:rPr>
          <w:rFonts w:ascii="宋体" w:hAnsi="宋体" w:cs="宋体" w:eastAsia="宋体" w:hint="default"/>
          <w:sz w:val="17"/>
          <w:szCs w:val="17"/>
        </w:rPr>
      </w:pPr>
    </w:p>
    <w:p>
      <w:pPr>
        <w:pStyle w:val="BodyText"/>
        <w:spacing w:line="240" w:lineRule="auto"/>
        <w:ind w:left="153" w:right="704"/>
        <w:jc w:val="left"/>
      </w:pPr>
      <w:r>
        <w:rPr/>
        <w:t>②</w:t>
      </w:r>
      <w:r>
        <w:rPr>
          <w:spacing w:val="-19"/>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right="704"/>
        <w:jc w:val="left"/>
      </w:pPr>
      <w:r>
        <w:rPr/>
        <w:t>③</w:t>
      </w:r>
      <w:r>
        <w:rPr>
          <w:spacing w:val="-19"/>
        </w:rPr>
        <w:t> </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left="153" w:right="704"/>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left="153" w:right="0"/>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2"/>
        <w:rPr>
          <w:rFonts w:ascii="宋体" w:hAnsi="宋体" w:cs="宋体" w:eastAsia="宋体" w:hint="default"/>
          <w:sz w:val="17"/>
          <w:szCs w:val="17"/>
        </w:rPr>
      </w:pPr>
    </w:p>
    <w:p>
      <w:pPr>
        <w:pStyle w:val="BodyText"/>
        <w:spacing w:line="300" w:lineRule="auto"/>
        <w:ind w:left="153" w:right="141"/>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4"/>
        </w:rPr>
        <w:t> </w:t>
      </w:r>
      <w:r>
        <w:rPr>
          <w:spacing w:val="-84"/>
        </w:rPr>
      </w:r>
      <w:r>
        <w:rPr/>
        <w:t>常中断期间的借款费用继续资本化。</w:t>
      </w:r>
    </w:p>
    <w:p>
      <w:pPr>
        <w:spacing w:line="240" w:lineRule="auto" w:before="12"/>
        <w:rPr>
          <w:rFonts w:ascii="宋体" w:hAnsi="宋体" w:cs="宋体" w:eastAsia="宋体" w:hint="default"/>
          <w:sz w:val="18"/>
          <w:szCs w:val="18"/>
        </w:rPr>
      </w:pPr>
    </w:p>
    <w:p>
      <w:pPr>
        <w:pStyle w:val="BodyText"/>
        <w:spacing w:line="508" w:lineRule="auto"/>
        <w:ind w:left="153" w:right="0"/>
        <w:jc w:val="left"/>
      </w:pPr>
      <w:r>
        <w:rPr/>
        <w:t>（</w:t>
      </w:r>
      <w:r>
        <w:rPr>
          <w:rFonts w:ascii="Times New Roman" w:hAnsi="Times New Roman" w:cs="Times New Roman" w:eastAsia="Times New Roman"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专门借款当期实际发生的利息费用，减去尚未动用的借款资金存入银行取得的利息收入或进行暂时性投资取得的投资收益后</w:t>
      </w:r>
    </w:p>
    <w:p>
      <w:pPr>
        <w:spacing w:after="0" w:line="50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1"/>
        <w:jc w:val="left"/>
      </w:pP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left="153" w:right="0"/>
        <w:jc w:val="both"/>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本集团无形资产包括土地使用权、计算机软件、自行开发的非专利技术等。</w:t>
      </w:r>
    </w:p>
    <w:p>
      <w:pPr>
        <w:spacing w:line="240" w:lineRule="auto" w:before="5"/>
        <w:rPr>
          <w:rFonts w:ascii="宋体" w:hAnsi="宋体" w:cs="宋体" w:eastAsia="宋体" w:hint="default"/>
          <w:sz w:val="22"/>
          <w:szCs w:val="22"/>
        </w:rPr>
      </w:pPr>
    </w:p>
    <w:p>
      <w:pPr>
        <w:pStyle w:val="BodyText"/>
        <w:spacing w:line="316" w:lineRule="auto"/>
        <w:ind w:left="153" w:right="101"/>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line="240" w:lineRule="auto" w:before="12"/>
        <w:rPr>
          <w:rFonts w:ascii="宋体" w:hAnsi="宋体" w:cs="宋体" w:eastAsia="宋体" w:hint="default"/>
          <w:sz w:val="17"/>
          <w:szCs w:val="17"/>
        </w:rPr>
      </w:pPr>
    </w:p>
    <w:p>
      <w:pPr>
        <w:pStyle w:val="BodyText"/>
        <w:spacing w:line="240" w:lineRule="auto"/>
        <w:ind w:left="153" w:right="0"/>
        <w:jc w:val="both"/>
      </w:pPr>
      <w:r>
        <w:rPr/>
        <w:t>使用寿命有限的无形资产摊销方法如下：</w:t>
      </w:r>
    </w:p>
    <w:p>
      <w:pPr>
        <w:spacing w:line="240" w:lineRule="auto" w:before="7"/>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3040"/>
        <w:gridCol w:w="2018"/>
        <w:gridCol w:w="2365"/>
        <w:gridCol w:w="1858"/>
      </w:tblGrid>
      <w:tr>
        <w:trPr>
          <w:trHeight w:val="347" w:hRule="exact"/>
        </w:trPr>
        <w:tc>
          <w:tcPr>
            <w:tcW w:w="3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41"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23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8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自行开发的非专利技术</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40-70</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6"/>
          <w:szCs w:val="6"/>
        </w:rPr>
      </w:pPr>
    </w:p>
    <w:p>
      <w:pPr>
        <w:pStyle w:val="BodyText"/>
        <w:spacing w:line="316" w:lineRule="auto" w:before="44"/>
        <w:ind w:left="153" w:right="0"/>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2"/>
        <w:rPr>
          <w:rFonts w:ascii="宋体" w:hAnsi="宋体" w:cs="宋体" w:eastAsia="宋体" w:hint="default"/>
          <w:sz w:val="17"/>
          <w:szCs w:val="17"/>
        </w:rPr>
      </w:pPr>
    </w:p>
    <w:p>
      <w:pPr>
        <w:pStyle w:val="BodyText"/>
        <w:spacing w:line="537" w:lineRule="auto"/>
        <w:ind w:right="450"/>
        <w:jc w:val="left"/>
      </w:pPr>
      <w:r>
        <w:rPr/>
        <w:t>资产负债表日预计某项无形资产已经不能给企业带来未来经济利益的，将该项无形资产的账面价值全部转入当期损益。 无形资产计提资产减值方法见附注三、</w:t>
      </w:r>
      <w:r>
        <w:rPr>
          <w:rFonts w:ascii="Times New Roman" w:hAnsi="Times New Roman" w:cs="Times New Roman" w:eastAsia="Times New Roman" w:hint="default"/>
        </w:rPr>
        <w:t>19</w:t>
      </w:r>
      <w:r>
        <w:rPr/>
        <w:t>。</w:t>
      </w:r>
    </w:p>
    <w:p>
      <w:pPr>
        <w:spacing w:line="532" w:lineRule="auto" w:before="91"/>
        <w:ind w:left="154" w:right="2791"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 </w:t>
      </w:r>
    </w:p>
    <w:p>
      <w:pPr>
        <w:pStyle w:val="BodyText"/>
        <w:spacing w:line="316" w:lineRule="auto" w:before="73"/>
        <w:ind w:right="0"/>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6"/>
        </w:rPr>
        <w:t> </w:t>
      </w:r>
      <w:r>
        <w:rPr>
          <w:spacing w:val="-66"/>
        </w:rPr>
      </w:r>
      <w:r>
        <w:rPr>
          <w:spacing w:val="-2"/>
        </w:rPr>
        <w:t>完成该无形资产的开发，并有能力使用或出售该无形资产；归属于该无形资产开发阶段的支出能够可靠地计量。不满足上述</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537" w:lineRule="auto" w:before="44"/>
        <w:ind w:left="153" w:right="0"/>
        <w:jc w:val="left"/>
      </w:pPr>
      <w:r>
        <w:rPr/>
        <w:t>条件的开发支出计入当期损益。 本集团研究开发项目在满足上述条件，通过技术可行性及经济可行性研究，形成项目立项后，进入开发阶段。 已资本化的开发阶段的支出在资产负债表上列示为开发支出，自该项目达到预定可使用状态之日转为无形资产。 具体研发项目的资本化条件： </w:t>
      </w:r>
    </w:p>
    <w:p>
      <w:pPr>
        <w:pStyle w:val="BodyText"/>
        <w:spacing w:line="316" w:lineRule="auto" w:before="69"/>
        <w:ind w:left="153" w:right="188"/>
        <w:jc w:val="both"/>
      </w:pPr>
      <w:r>
        <w:rPr/>
        <w:t>（1）公司目前资本化的研发支出项目中，项目均在研发测试阶段，公司完成该无形资产以使其能够使用或者出售在技术上</w:t>
      </w:r>
      <w:r>
        <w:rPr>
          <w:spacing w:val="-83"/>
        </w:rPr>
        <w:t> </w:t>
      </w:r>
      <w:r>
        <w:rPr>
          <w:spacing w:val="-83"/>
        </w:rPr>
      </w:r>
      <w:r>
        <w:rPr/>
        <w:t>具有可行性； </w:t>
      </w:r>
    </w:p>
    <w:p>
      <w:pPr>
        <w:spacing w:line="240" w:lineRule="auto" w:before="12"/>
        <w:rPr>
          <w:rFonts w:ascii="宋体" w:hAnsi="宋体" w:cs="宋体" w:eastAsia="宋体" w:hint="default"/>
          <w:sz w:val="17"/>
          <w:szCs w:val="17"/>
        </w:rPr>
      </w:pPr>
    </w:p>
    <w:p>
      <w:pPr>
        <w:pStyle w:val="BodyText"/>
        <w:spacing w:line="316" w:lineRule="auto"/>
        <w:ind w:left="153" w:right="188"/>
        <w:jc w:val="both"/>
      </w:pPr>
      <w:r>
        <w:rPr/>
        <w:t>（2）公司所有研发支出项目均是针对特定市场需求进行相关开发，以备将来出售，具有完成该无形资产并使用或出售的意</w:t>
      </w:r>
      <w:r>
        <w:rPr>
          <w:spacing w:val="-83"/>
        </w:rPr>
        <w:t> </w:t>
      </w:r>
      <w:r>
        <w:rPr>
          <w:spacing w:val="-83"/>
        </w:rPr>
      </w:r>
      <w:r>
        <w:rPr/>
        <w:t>图； </w:t>
      </w:r>
    </w:p>
    <w:p>
      <w:pPr>
        <w:spacing w:line="240" w:lineRule="auto" w:before="12"/>
        <w:rPr>
          <w:rFonts w:ascii="宋体" w:hAnsi="宋体" w:cs="宋体" w:eastAsia="宋体" w:hint="default"/>
          <w:sz w:val="17"/>
          <w:szCs w:val="17"/>
        </w:rPr>
      </w:pPr>
    </w:p>
    <w:p>
      <w:pPr>
        <w:pStyle w:val="BodyText"/>
        <w:spacing w:line="316" w:lineRule="auto"/>
        <w:ind w:left="153" w:right="188"/>
        <w:jc w:val="both"/>
      </w:pPr>
      <w:r>
        <w:rPr/>
        <w:t>（3）公司所有研发支出资本化项目均会形成测试版软件，表明公司运用该无形资产生产的产品存在市场或无形资产自身存</w:t>
      </w:r>
      <w:r>
        <w:rPr>
          <w:spacing w:val="-83"/>
        </w:rPr>
        <w:t> </w:t>
      </w:r>
      <w:r>
        <w:rPr>
          <w:spacing w:val="-83"/>
        </w:rPr>
      </w:r>
      <w:r>
        <w:rPr/>
        <w:t>在市场； </w:t>
      </w:r>
    </w:p>
    <w:p>
      <w:pPr>
        <w:spacing w:line="240" w:lineRule="auto" w:before="12"/>
        <w:rPr>
          <w:rFonts w:ascii="宋体" w:hAnsi="宋体" w:cs="宋体" w:eastAsia="宋体" w:hint="default"/>
          <w:sz w:val="17"/>
          <w:szCs w:val="17"/>
        </w:rPr>
      </w:pPr>
    </w:p>
    <w:p>
      <w:pPr>
        <w:pStyle w:val="BodyText"/>
        <w:spacing w:line="316" w:lineRule="auto"/>
        <w:ind w:left="153" w:right="188"/>
        <w:jc w:val="both"/>
      </w:pPr>
      <w:r>
        <w:rPr/>
        <w:t>（4）公司掌握研发支出资本化项目的核心技术，有能力完成相关无形资产的研发，表明公司有足够的技术、财务资源和其</w:t>
      </w:r>
      <w:r>
        <w:rPr>
          <w:spacing w:val="-83"/>
        </w:rPr>
        <w:t> </w:t>
      </w:r>
      <w:r>
        <w:rPr>
          <w:spacing w:val="-83"/>
        </w:rPr>
      </w:r>
      <w:r>
        <w:rPr/>
        <w:t>他资源支持，以完成该无形资产的开发，并有能力出售该无形资产； </w:t>
      </w:r>
    </w:p>
    <w:p>
      <w:pPr>
        <w:spacing w:line="240" w:lineRule="auto" w:before="12"/>
        <w:rPr>
          <w:rFonts w:ascii="宋体" w:hAnsi="宋体" w:cs="宋体" w:eastAsia="宋体" w:hint="default"/>
          <w:sz w:val="17"/>
          <w:szCs w:val="17"/>
        </w:rPr>
      </w:pPr>
    </w:p>
    <w:p>
      <w:pPr>
        <w:pStyle w:val="BodyText"/>
        <w:spacing w:line="240" w:lineRule="auto"/>
        <w:ind w:left="153" w:right="0"/>
        <w:jc w:val="both"/>
      </w:pPr>
      <w:r>
        <w:rPr/>
        <w:t>（5）公司资本化研发支出分部门按项目统计相关支出，归属于该无形资产开发阶段的支出能够可靠地计量。</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jc w:val="both"/>
      </w:pPr>
      <w:r>
        <w:rPr>
          <w:spacing w:val="-2"/>
        </w:rPr>
        <w:t>对子公司、联营企业的长期股权投资、固定资产、在建工程、无形资产等（存货、递延所得税资产、金融资产除外）的资产</w:t>
      </w:r>
      <w:r>
        <w:rPr>
          <w:spacing w:val="-67"/>
        </w:rPr>
        <w:t> </w:t>
      </w:r>
      <w:r>
        <w:rPr>
          <w:spacing w:val="-67"/>
        </w:rPr>
      </w:r>
      <w:r>
        <w:rPr/>
        <w:t>减值，按以下方法确定： </w:t>
      </w:r>
    </w:p>
    <w:p>
      <w:pPr>
        <w:spacing w:line="240" w:lineRule="auto" w:before="12"/>
        <w:rPr>
          <w:rFonts w:ascii="宋体" w:hAnsi="宋体" w:cs="宋体" w:eastAsia="宋体" w:hint="default"/>
          <w:sz w:val="17"/>
          <w:szCs w:val="17"/>
        </w:rPr>
      </w:pPr>
    </w:p>
    <w:p>
      <w:pPr>
        <w:pStyle w:val="BodyText"/>
        <w:spacing w:line="316" w:lineRule="auto"/>
        <w:ind w:right="189"/>
        <w:jc w:val="both"/>
      </w:pPr>
      <w:r>
        <w:rPr>
          <w:spacing w:val="-2"/>
        </w:rPr>
        <w:t>于资产负债表日判断资产是否存在可能发生减值的迹象，存在减值迹象的，本集团将估计其可收回金额，进行减值测试。对</w:t>
      </w:r>
      <w:r>
        <w:rPr>
          <w:spacing w:val="-66"/>
        </w:rPr>
        <w:t> </w:t>
      </w:r>
      <w:r>
        <w:rPr>
          <w:spacing w:val="-66"/>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 </w:t>
      </w:r>
    </w:p>
    <w:p>
      <w:pPr>
        <w:spacing w:line="240" w:lineRule="auto" w:before="12"/>
        <w:rPr>
          <w:rFonts w:ascii="宋体" w:hAnsi="宋体" w:cs="宋体" w:eastAsia="宋体" w:hint="default"/>
          <w:sz w:val="17"/>
          <w:szCs w:val="17"/>
        </w:rPr>
      </w:pPr>
    </w:p>
    <w:p>
      <w:pPr>
        <w:pStyle w:val="BodyText"/>
        <w:spacing w:line="316" w:lineRule="auto"/>
        <w:ind w:left="153" w:right="191"/>
        <w:jc w:val="both"/>
      </w:pP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p>
    <w:p>
      <w:pPr>
        <w:spacing w:line="240" w:lineRule="auto" w:before="12"/>
        <w:rPr>
          <w:rFonts w:ascii="宋体" w:hAnsi="宋体" w:cs="宋体" w:eastAsia="宋体" w:hint="default"/>
          <w:sz w:val="17"/>
          <w:szCs w:val="17"/>
        </w:rPr>
      </w:pPr>
    </w:p>
    <w:p>
      <w:pPr>
        <w:pStyle w:val="BodyText"/>
        <w:spacing w:line="316" w:lineRule="auto"/>
        <w:ind w:left="153" w:right="191"/>
        <w:jc w:val="both"/>
      </w:pPr>
      <w:r>
        <w:rPr>
          <w:spacing w:val="-2"/>
        </w:rPr>
        <w:t>当资产或资产组的可收回金额低于其账面价值时，本集团将其账面价值减记至可收回金额，减记的金额计入当期损益，同时</w:t>
      </w:r>
      <w:r>
        <w:rPr>
          <w:spacing w:val="-66"/>
        </w:rPr>
        <w:t> </w:t>
      </w:r>
      <w:r>
        <w:rPr>
          <w:spacing w:val="-66"/>
        </w:rPr>
      </w:r>
      <w:r>
        <w:rPr/>
        <w:t>计提相应的资产减值准备。 </w:t>
      </w:r>
    </w:p>
    <w:p>
      <w:pPr>
        <w:spacing w:line="240" w:lineRule="auto" w:before="12"/>
        <w:rPr>
          <w:rFonts w:ascii="宋体" w:hAnsi="宋体" w:cs="宋体" w:eastAsia="宋体" w:hint="default"/>
          <w:sz w:val="17"/>
          <w:szCs w:val="17"/>
        </w:rPr>
      </w:pPr>
    </w:p>
    <w:p>
      <w:pPr>
        <w:pStyle w:val="BodyText"/>
        <w:spacing w:line="240" w:lineRule="auto"/>
        <w:ind w:left="153" w:right="0"/>
        <w:jc w:val="both"/>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1"/>
        <w:jc w:val="both"/>
      </w:pPr>
      <w:r>
        <w:rPr>
          <w:spacing w:val="-4"/>
        </w:rPr>
        <w:t>本集团发生的长期待摊费用按实际成本计价，并按预计受益期限平均摊销。对不能使以后会计期间受益的长期待摊费用项目，</w:t>
      </w:r>
      <w:r>
        <w:rPr>
          <w:spacing w:val="-44"/>
        </w:rPr>
        <w:t> </w:t>
      </w:r>
      <w:r>
        <w:rPr>
          <w:spacing w:val="-44"/>
        </w:rPr>
      </w:r>
      <w:r>
        <w:rPr/>
        <w:t>其摊余价值全部计入当期损益。</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jc w:val="both"/>
      </w:pPr>
      <w:r>
        <w:rPr>
          <w:spacing w:val="-2"/>
        </w:rPr>
        <w:t>本集团在职工提供服务的会计期间，将实际发生的职工工资、奖金、按规定的基准和比例为职工缴纳的医疗保险费、工伤保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险费和生育保险费等社会保险费和住房公积金，确认为负债，并计入当期损益或相关资产成本。如果该负债预期在职工提供</w:t>
      </w:r>
      <w:r>
        <w:rPr>
          <w:spacing w:val="-66"/>
        </w:rPr>
        <w:t> </w:t>
      </w:r>
      <w:r>
        <w:rPr>
          <w:spacing w:val="-66"/>
        </w:rPr>
      </w:r>
      <w:r>
        <w:rPr/>
        <w:t>相关服务的年度报告期结束后十二个月内不能完全支付，且财务影响重大的，则该负债将以折现后的金额计量。 </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担进一步支付义务的离职后福利计划；本集团无设定受益计划。 </w:t>
      </w:r>
    </w:p>
    <w:p>
      <w:pPr>
        <w:spacing w:line="240" w:lineRule="auto" w:before="12"/>
        <w:rPr>
          <w:rFonts w:ascii="宋体" w:hAnsi="宋体" w:cs="宋体" w:eastAsia="宋体" w:hint="default"/>
          <w:sz w:val="17"/>
          <w:szCs w:val="17"/>
        </w:rPr>
      </w:pPr>
    </w:p>
    <w:p>
      <w:pPr>
        <w:pStyle w:val="BodyText"/>
        <w:spacing w:line="537" w:lineRule="auto"/>
        <w:ind w:right="5810"/>
        <w:jc w:val="left"/>
      </w:pPr>
      <w:r>
        <w:rPr/>
        <w:t>设定提存计划 设定提存计划包括基本养老保险、失业保险等。 </w:t>
      </w:r>
    </w:p>
    <w:p>
      <w:pPr>
        <w:pStyle w:val="BodyText"/>
        <w:spacing w:line="240" w:lineRule="auto" w:before="69"/>
        <w:ind w:right="0"/>
        <w:jc w:val="both"/>
      </w:pPr>
      <w:r>
        <w:rPr/>
        <w:t>在职工提供服务的会计期间，根据设定提存计划计算的应缴存金额确认为负债，并计入当期损益或相关资产成本。 </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本集团向职工提供辞退福利的，在下列两者孰早日确认辞退福利产生的职工薪酬负债，并计入当期损益：本集团不能单方面</w:t>
      </w:r>
      <w:r>
        <w:rPr>
          <w:spacing w:val="-66"/>
        </w:rPr>
        <w:t> </w:t>
      </w:r>
      <w:r>
        <w:rPr>
          <w:spacing w:val="-66"/>
        </w:rPr>
      </w:r>
      <w:r>
        <w:rPr/>
        <w:t>撤回因解除劳动关系计划或裁减建议所提供的辞退福利时；本集团确认与涉及支付辞退福利的重组相关的成本或费用时。 </w:t>
      </w:r>
    </w:p>
    <w:p>
      <w:pPr>
        <w:spacing w:line="240" w:lineRule="auto" w:before="12"/>
        <w:rPr>
          <w:rFonts w:ascii="宋体" w:hAnsi="宋体" w:cs="宋体" w:eastAsia="宋体" w:hint="default"/>
          <w:sz w:val="17"/>
          <w:szCs w:val="17"/>
        </w:rPr>
      </w:pPr>
    </w:p>
    <w:p>
      <w:pPr>
        <w:pStyle w:val="BodyText"/>
        <w:spacing w:line="316" w:lineRule="auto"/>
        <w:ind w:right="149"/>
        <w:jc w:val="both"/>
      </w:pPr>
      <w:r>
        <w:rPr>
          <w:spacing w:val="-2"/>
        </w:rPr>
        <w:t>实行职工内部退休计划的，在正式退休日之前的经济补偿，属于辞退福利，自职工停止提供服务日至正常退休日期间，拟支</w:t>
      </w:r>
      <w:r>
        <w:rPr>
          <w:spacing w:val="-66"/>
        </w:rPr>
        <w:t> </w:t>
      </w:r>
      <w:r>
        <w:rPr>
          <w:spacing w:val="-66"/>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 </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704"/>
        <w:jc w:val="left"/>
      </w:pPr>
      <w:r>
        <w:rPr/>
        <w:t>如果与或有事项相关的义务同时符合以下条件，本集团将其确认为预计负债：</w:t>
      </w:r>
    </w:p>
    <w:p>
      <w:pPr>
        <w:spacing w:line="240" w:lineRule="auto" w:before="5"/>
        <w:rPr>
          <w:rFonts w:ascii="宋体" w:hAnsi="宋体" w:cs="宋体" w:eastAsia="宋体" w:hint="default"/>
          <w:sz w:val="22"/>
          <w:szCs w:val="22"/>
        </w:rPr>
      </w:pPr>
    </w:p>
    <w:p>
      <w:pPr>
        <w:pStyle w:val="BodyText"/>
        <w:spacing w:line="240" w:lineRule="auto"/>
        <w:ind w:left="513" w:right="704"/>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513" w:right="704"/>
        <w:jc w:val="left"/>
      </w:pPr>
      <w:r>
        <w:rPr/>
        <w:t>（</w:t>
      </w:r>
      <w:r>
        <w:rPr>
          <w:rFonts w:ascii="Times New Roman" w:hAnsi="Times New Roman" w:cs="Times New Roman" w:eastAsia="Times New Roman" w:hint="default"/>
        </w:rPr>
        <w:t>2</w:t>
      </w:r>
      <w:r>
        <w:rPr/>
        <w:t>）该义务的履行很可能导致经济利益流出本公司；</w:t>
      </w:r>
    </w:p>
    <w:p>
      <w:pPr>
        <w:spacing w:line="240" w:lineRule="auto" w:before="4"/>
        <w:rPr>
          <w:rFonts w:ascii="宋体" w:hAnsi="宋体" w:cs="宋体" w:eastAsia="宋体" w:hint="default"/>
          <w:sz w:val="21"/>
          <w:szCs w:val="21"/>
        </w:rPr>
      </w:pPr>
    </w:p>
    <w:p>
      <w:pPr>
        <w:pStyle w:val="BodyText"/>
        <w:spacing w:line="240" w:lineRule="auto"/>
        <w:ind w:left="513" w:right="704"/>
        <w:jc w:val="left"/>
      </w:pPr>
      <w:r>
        <w:rPr/>
        <w:t>（</w:t>
      </w:r>
      <w:r>
        <w:rPr>
          <w:rFonts w:ascii="Times New Roman" w:hAnsi="Times New Roman" w:cs="Times New Roman" w:eastAsia="Times New Roman" w:hint="default"/>
        </w:rPr>
        <w:t>3</w:t>
      </w:r>
      <w:r>
        <w:rPr/>
        <w:t>）该义务的金额能够可靠地计量。</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预计负债按照履行相关现时义务所需支出的最佳估计数进行初始计量，并综合考虑与或有事项有关的风险、不确定性和</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货币时间价值等因素。货币时间价值影响重大的，通过对相关未来现金流出进行折现后确定最佳估计数。本公司于资产负债</w:t>
      </w:r>
      <w:r>
        <w:rPr>
          <w:spacing w:val="-66"/>
        </w:rPr>
        <w:t> </w:t>
      </w:r>
      <w:r>
        <w:rPr>
          <w:spacing w:val="-66"/>
        </w:rPr>
      </w:r>
      <w:r>
        <w:rPr/>
        <w:t>表日对预计负债的账面价值进行复核，并对账面价值进行调整以反映当前最佳估计数。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（1）一般原则 </w:t>
      </w:r>
    </w:p>
    <w:p>
      <w:pPr>
        <w:pStyle w:val="BodyText"/>
        <w:spacing w:line="520" w:lineRule="atLeast" w:before="8"/>
        <w:ind w:left="514" w:right="0"/>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316" w:lineRule="auto" w:before="76"/>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 </w:t>
      </w:r>
    </w:p>
    <w:p>
      <w:pPr>
        <w:spacing w:line="240" w:lineRule="auto" w:before="12"/>
        <w:rPr>
          <w:rFonts w:ascii="宋体" w:hAnsi="宋体" w:cs="宋体" w:eastAsia="宋体" w:hint="default"/>
          <w:sz w:val="17"/>
          <w:szCs w:val="17"/>
        </w:rPr>
      </w:pPr>
    </w:p>
    <w:p>
      <w:pPr>
        <w:pStyle w:val="BodyText"/>
        <w:spacing w:line="537" w:lineRule="auto"/>
        <w:ind w:left="514" w:right="1121"/>
        <w:jc w:val="left"/>
      </w:pPr>
      <w:r>
        <w:rPr/>
        <w:t>②提供劳务 对在提供劳务交易的结果能够可靠估计的情况下，本集团于资产负债表日按完工百分比法确认收入。 劳务交易的完工进度按已经发生的劳务成本占估计总成本的比例确定。 </w:t>
      </w:r>
    </w:p>
    <w:p>
      <w:pPr>
        <w:pStyle w:val="BodyText"/>
        <w:spacing w:line="316" w:lineRule="auto" w:before="69"/>
        <w:ind w:right="0" w:firstLine="360"/>
        <w:jc w:val="left"/>
      </w:pPr>
      <w:r>
        <w:rPr>
          <w:spacing w:val="-4"/>
        </w:rPr>
        <w:t>提供劳务交易的结果能够可靠估计是指同时满足：A、收入的金额能够可靠地计量；B、相关的经济利益很可能流入企业；</w:t>
      </w:r>
      <w:r>
        <w:rPr/>
        <w:t> C、交易的完工程度能够可靠地确定；D、交易中已发生和将发生的成本能够可靠地计量。 </w:t>
      </w:r>
    </w:p>
    <w:p>
      <w:pPr>
        <w:spacing w:line="240" w:lineRule="auto" w:before="12"/>
        <w:rPr>
          <w:rFonts w:ascii="宋体" w:hAnsi="宋体" w:cs="宋体" w:eastAsia="宋体" w:hint="default"/>
          <w:sz w:val="17"/>
          <w:szCs w:val="17"/>
        </w:rPr>
      </w:pPr>
    </w:p>
    <w:p>
      <w:pPr>
        <w:pStyle w:val="BodyText"/>
        <w:spacing w:line="316" w:lineRule="auto"/>
        <w:ind w:right="0"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 </w:t>
      </w:r>
    </w:p>
    <w:p>
      <w:pPr>
        <w:spacing w:line="240" w:lineRule="auto" w:before="12"/>
        <w:rPr>
          <w:rFonts w:ascii="宋体" w:hAnsi="宋体" w:cs="宋体" w:eastAsia="宋体" w:hint="default"/>
          <w:sz w:val="17"/>
          <w:szCs w:val="17"/>
        </w:rPr>
      </w:pPr>
    </w:p>
    <w:p>
      <w:pPr>
        <w:pStyle w:val="BodyText"/>
        <w:spacing w:line="537" w:lineRule="auto"/>
        <w:ind w:left="514" w:right="1121"/>
        <w:jc w:val="left"/>
      </w:pPr>
      <w:r>
        <w:rPr/>
        <w:t>③让渡资产使用权 与资产使用权让渡相关的经济利益能够流入及收入的金额能够可靠地计量时，本集团确认收入。 </w:t>
      </w:r>
    </w:p>
    <w:p>
      <w:pPr>
        <w:pStyle w:val="BodyText"/>
        <w:spacing w:line="537" w:lineRule="auto" w:before="69"/>
        <w:ind w:left="514" w:right="4000"/>
        <w:jc w:val="left"/>
      </w:pPr>
      <w:r>
        <w:rPr/>
        <w:t>（2）收入确认的具体方法 本集团软件业务收入确认的具体方法如下： A、自行开发软件销售收入的确认原则 自行开发软件收入包括自制开发的软件产品收入和定制软件收入。 </w:t>
      </w:r>
    </w:p>
    <w:p>
      <w:pPr>
        <w:pStyle w:val="BodyText"/>
        <w:spacing w:line="240" w:lineRule="auto" w:before="69"/>
        <w:ind w:left="514" w:right="0"/>
        <w:jc w:val="left"/>
      </w:pPr>
      <w:r>
        <w:rPr/>
        <w:t>自制开发的软件产品是指拥有自主知识产权，无差异化、可批量复制的软件产品，无需根据用户需求进行定制。本公司</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jc w:val="both"/>
      </w:pPr>
      <w:r>
        <w:rPr>
          <w:spacing w:val="-2"/>
        </w:rPr>
        <w:t>销售的自制开发软件产品实质上就是销售不转让所有权的商品，公司在将软件产品移交给购买方时，在会计上按照销售商品</w:t>
      </w:r>
      <w:r>
        <w:rPr>
          <w:spacing w:val="-64"/>
        </w:rPr>
        <w:t> </w:t>
      </w:r>
      <w:r>
        <w:rPr>
          <w:spacing w:val="-64"/>
        </w:rPr>
      </w:r>
      <w:r>
        <w:rPr>
          <w:spacing w:val="-2"/>
        </w:rPr>
        <w:t>收入确认标准确认本业务的收入，即：本公司在已将自行开发的软件产品的主要风险和报酬转移给购货方；公司既没有保留</w:t>
      </w:r>
      <w:r>
        <w:rPr>
          <w:spacing w:val="-66"/>
        </w:rPr>
        <w:t> </w:t>
      </w:r>
      <w:r>
        <w:rPr>
          <w:spacing w:val="-66"/>
        </w:rPr>
      </w:r>
      <w:r>
        <w:rPr>
          <w:spacing w:val="-2"/>
        </w:rPr>
        <w:t>通常与之相联系的继续管理权，也没有对已售出的商品实施有效控制；与交易相关的经济利益能够流入企业；相关的收入和</w:t>
      </w:r>
      <w:r>
        <w:rPr>
          <w:spacing w:val="-66"/>
        </w:rPr>
        <w:t> </w:t>
      </w:r>
      <w:r>
        <w:rPr>
          <w:spacing w:val="-66"/>
        </w:rPr>
      </w:r>
      <w:r>
        <w:rPr/>
        <w:t>成本能可靠计量时，确认收入实现。 </w:t>
      </w:r>
    </w:p>
    <w:p>
      <w:pPr>
        <w:spacing w:line="240" w:lineRule="auto" w:before="12"/>
        <w:rPr>
          <w:rFonts w:ascii="宋体" w:hAnsi="宋体" w:cs="宋体" w:eastAsia="宋体" w:hint="default"/>
          <w:sz w:val="17"/>
          <w:szCs w:val="17"/>
        </w:rPr>
      </w:pPr>
    </w:p>
    <w:p>
      <w:pPr>
        <w:pStyle w:val="BodyText"/>
        <w:spacing w:line="316" w:lineRule="auto"/>
        <w:ind w:left="153" w:right="191" w:firstLine="360"/>
        <w:jc w:val="both"/>
      </w:pPr>
      <w:r>
        <w:rPr>
          <w:spacing w:val="-2"/>
        </w:rPr>
        <w:t>定制软件是指根据与客户签订的技术开发、技术转让合同，对用户的业务进行充分实地调查，并根据用户的实际需求进</w:t>
      </w:r>
      <w:r>
        <w:rPr/>
        <w:t> </w:t>
      </w:r>
      <w:r>
        <w:rPr>
          <w:spacing w:val="-2"/>
        </w:rPr>
        <w:t>行专门的软件设计与开发，由此开发出来的软件不具有通用性。定制软件业务实质上是提供劳务，公司按照劳务收入确认原</w:t>
      </w:r>
      <w:r>
        <w:rPr>
          <w:spacing w:val="-66"/>
        </w:rPr>
        <w:t> </w:t>
      </w:r>
      <w:r>
        <w:rPr>
          <w:spacing w:val="-66"/>
        </w:rPr>
      </w:r>
      <w:r>
        <w:rPr/>
        <w:t>则进行确认： </w:t>
      </w:r>
    </w:p>
    <w:p>
      <w:pPr>
        <w:spacing w:line="240" w:lineRule="auto" w:before="12"/>
        <w:rPr>
          <w:rFonts w:ascii="宋体" w:hAnsi="宋体" w:cs="宋体" w:eastAsia="宋体" w:hint="default"/>
          <w:sz w:val="17"/>
          <w:szCs w:val="17"/>
        </w:rPr>
      </w:pPr>
    </w:p>
    <w:p>
      <w:pPr>
        <w:pStyle w:val="BodyText"/>
        <w:spacing w:line="316" w:lineRule="auto"/>
        <w:ind w:left="153" w:right="188" w:firstLine="360"/>
        <w:jc w:val="both"/>
      </w:pPr>
      <w:r>
        <w:rPr/>
        <w:t>1）软件项目在同一会计年度内开始并完成的，在软件成果的使用权已经提供，收到价款或取得收取款项的证据时，确 认收入； </w:t>
      </w:r>
    </w:p>
    <w:p>
      <w:pPr>
        <w:spacing w:line="240" w:lineRule="auto" w:before="12"/>
        <w:rPr>
          <w:rFonts w:ascii="宋体" w:hAnsi="宋体" w:cs="宋体" w:eastAsia="宋体" w:hint="default"/>
          <w:sz w:val="17"/>
          <w:szCs w:val="17"/>
        </w:rPr>
      </w:pPr>
    </w:p>
    <w:p>
      <w:pPr>
        <w:pStyle w:val="BodyText"/>
        <w:spacing w:line="316" w:lineRule="auto"/>
        <w:ind w:left="153" w:right="188" w:firstLine="360"/>
        <w:jc w:val="both"/>
      </w:pPr>
      <w:r>
        <w:rPr/>
        <w:t>2）软件项目的开始和完成分属不同的会计年度的，在合同的总收入、项目的完成程度能够可靠地确定，与项目有关的 </w:t>
      </w:r>
      <w:r>
        <w:rPr>
          <w:spacing w:val="-2"/>
        </w:rPr>
        <w:t>价款能够流入，已经发生的成本和完成该项软件将要发生的成本能够可靠地计量时，在资产负债表日按完工百分比法（工程</w:t>
      </w:r>
      <w:r>
        <w:rPr>
          <w:spacing w:val="-66"/>
        </w:rPr>
        <w:t> </w:t>
      </w:r>
      <w:r>
        <w:rPr>
          <w:spacing w:val="-66"/>
        </w:rPr>
      </w:r>
      <w:r>
        <w:rPr/>
        <w:t>完工进度）确认软件收入； </w:t>
      </w:r>
    </w:p>
    <w:p>
      <w:pPr>
        <w:spacing w:line="240" w:lineRule="auto" w:before="12"/>
        <w:rPr>
          <w:rFonts w:ascii="宋体" w:hAnsi="宋体" w:cs="宋体" w:eastAsia="宋体" w:hint="default"/>
          <w:sz w:val="17"/>
          <w:szCs w:val="17"/>
        </w:rPr>
      </w:pPr>
    </w:p>
    <w:p>
      <w:pPr>
        <w:pStyle w:val="BodyText"/>
        <w:spacing w:line="316" w:lineRule="auto"/>
        <w:ind w:left="153" w:right="188" w:firstLine="360"/>
        <w:jc w:val="both"/>
      </w:pPr>
      <w:r>
        <w:rPr/>
        <w:t>3）对在资产负债表日软件开发劳务成果不能可靠估计的定制软件项目，如果已经发生的成本预计能够得到补偿，应按 </w:t>
      </w:r>
      <w:r>
        <w:rPr>
          <w:spacing w:val="-2"/>
        </w:rPr>
        <w:t>能够得到补偿的收入金额确认收入，并按相同的金额结转成本；如果已经发生的成本预计不能全部得到补偿，应按能够得到</w:t>
      </w:r>
      <w:r>
        <w:rPr>
          <w:spacing w:val="-66"/>
        </w:rPr>
        <w:t> </w:t>
      </w:r>
      <w:r>
        <w:rPr>
          <w:spacing w:val="-66"/>
        </w:rPr>
      </w:r>
      <w:r>
        <w:rPr>
          <w:spacing w:val="-2"/>
        </w:rPr>
        <w:t>补偿的收入金额确认收入，并按已发生的成本结转成本，确认的收入金额小于已经发生的成本的差额，确认为损失；如果已</w:t>
      </w:r>
      <w:r>
        <w:rPr>
          <w:spacing w:val="-66"/>
        </w:rPr>
        <w:t> </w:t>
      </w:r>
      <w:r>
        <w:rPr>
          <w:spacing w:val="-66"/>
        </w:rPr>
      </w:r>
      <w:r>
        <w:rPr/>
        <w:t>发生的成本全部不能得到补偿，则不应确认收入，但应将已发生的成本确认为费用。 </w:t>
      </w:r>
    </w:p>
    <w:p>
      <w:pPr>
        <w:spacing w:line="240" w:lineRule="auto" w:before="12"/>
        <w:rPr>
          <w:rFonts w:ascii="宋体" w:hAnsi="宋体" w:cs="宋体" w:eastAsia="宋体" w:hint="default"/>
          <w:sz w:val="17"/>
          <w:szCs w:val="17"/>
        </w:rPr>
      </w:pPr>
    </w:p>
    <w:p>
      <w:pPr>
        <w:pStyle w:val="BodyText"/>
        <w:spacing w:line="537" w:lineRule="auto"/>
        <w:ind w:left="513" w:right="1121"/>
        <w:jc w:val="left"/>
      </w:pPr>
      <w:r>
        <w:rPr/>
        <w:t>对系统集成中包含自行开发软件产品的销售收入，按以下系统集成的收入确认原则确认。 B、系统集成收入确认原则 </w:t>
      </w:r>
    </w:p>
    <w:p>
      <w:pPr>
        <w:pStyle w:val="BodyText"/>
        <w:spacing w:line="316" w:lineRule="auto" w:before="69"/>
        <w:ind w:left="153" w:right="100" w:firstLine="360"/>
        <w:jc w:val="both"/>
      </w:pPr>
      <w:r>
        <w:rPr>
          <w:spacing w:val="-2"/>
        </w:rPr>
        <w:t>系统集成包括外购商品、软件产品的销售与安装。公司在已将外购商品、软件产品所有权上的主要风险和报酬转移给购</w:t>
      </w:r>
      <w:r>
        <w:rPr/>
        <w:t> </w:t>
      </w:r>
      <w:r>
        <w:rPr>
          <w:spacing w:val="-2"/>
        </w:rPr>
        <w:t>货方；公司既没有保留通常与所有权相联系的继续管理权，也没有对已售出的商品实施有效控制；系统安装调试完毕已投入</w:t>
      </w:r>
      <w:r>
        <w:rPr>
          <w:spacing w:val="-66"/>
        </w:rPr>
        <w:t> </w:t>
      </w:r>
      <w:r>
        <w:rPr>
          <w:spacing w:val="-66"/>
        </w:rPr>
      </w:r>
      <w:r>
        <w:rPr>
          <w:spacing w:val="-2"/>
        </w:rPr>
        <w:t>试运行或取得购货方的初验报告；与交易相关的经济利益能够流入企业；相关的收入和成本能可靠计量时，确认收入实现。</w:t>
      </w:r>
      <w:r>
        <w:rPr/>
        <w:t> </w:t>
      </w:r>
    </w:p>
    <w:p>
      <w:pPr>
        <w:spacing w:line="240" w:lineRule="auto" w:before="12"/>
        <w:rPr>
          <w:rFonts w:ascii="宋体" w:hAnsi="宋体" w:cs="宋体" w:eastAsia="宋体" w:hint="default"/>
          <w:sz w:val="17"/>
          <w:szCs w:val="17"/>
        </w:rPr>
      </w:pPr>
    </w:p>
    <w:p>
      <w:pPr>
        <w:pStyle w:val="BodyText"/>
        <w:spacing w:line="537" w:lineRule="auto"/>
        <w:ind w:left="513" w:right="0"/>
        <w:jc w:val="left"/>
      </w:pPr>
      <w:r>
        <w:rPr/>
        <w:t>C、技术支持与维护收入确认原则 技术支持与维护主要指根据合同规定向用户提供的有偿后续服务，包括系统维护、技术应用与支持、产品升级等。 本公司根据与用户签订的相关合同签订的合同总额与服务期间，按提供服务的进度确认收入。 </w:t>
      </w:r>
    </w:p>
    <w:p>
      <w:pPr>
        <w:pStyle w:val="BodyText"/>
        <w:spacing w:line="240" w:lineRule="auto" w:before="69"/>
        <w:ind w:left="513" w:right="0"/>
        <w:jc w:val="left"/>
      </w:pPr>
      <w:r>
        <w:rPr/>
        <w:t>D、技术开发收入 </w:t>
      </w:r>
    </w:p>
    <w:p>
      <w:pPr>
        <w:spacing w:line="240" w:lineRule="auto" w:before="5"/>
        <w:rPr>
          <w:rFonts w:ascii="宋体" w:hAnsi="宋体" w:cs="宋体" w:eastAsia="宋体" w:hint="default"/>
          <w:sz w:val="22"/>
          <w:szCs w:val="22"/>
        </w:rPr>
      </w:pPr>
    </w:p>
    <w:p>
      <w:pPr>
        <w:pStyle w:val="BodyText"/>
        <w:spacing w:line="316" w:lineRule="auto"/>
        <w:ind w:left="153" w:right="191" w:firstLine="360"/>
        <w:jc w:val="both"/>
      </w:pPr>
      <w:r>
        <w:rPr>
          <w:spacing w:val="-2"/>
        </w:rPr>
        <w:t>技术开发收入是指根据用户的需求，对自行研究开发的软件产品再次开发取得的收入。公司在劳务已经提供，收到价款</w:t>
      </w:r>
      <w:r>
        <w:rPr/>
        <w:t> 或取得收款的依据，于技术开发项目投入用户试运行或取得用户的初验报告后确认收入的实现。</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01" w:firstLine="360"/>
        <w:jc w:val="both"/>
      </w:pPr>
      <w:r>
        <w:rPr>
          <w:spacing w:val="-4"/>
        </w:rPr>
        <w:t>与资产相关的政府补助，是指本集团取得的、用于购建或以其他方式形成长期资产的政府补助；与资产相关的政府补助，</w:t>
      </w:r>
      <w:r>
        <w:rPr/>
        <w:t> 确认为递延收益，并在相关资产使用期限内平均分配，计入当期损益。</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除了于资产相关的政府补助之外，其余均作为与收益相关的政府补助。与收益相关的政府补助，如果用于补偿已发生的</w:t>
      </w:r>
      <w:r>
        <w:rPr/>
        <w:t> </w:t>
      </w:r>
      <w:r>
        <w:rPr>
          <w:spacing w:val="-2"/>
        </w:rPr>
        <w:t>相关费用或损失，则计入当期损益；如果用于补偿以后期间的相关费用或损失，则计入递延收益，于费用确认期间计入当期</w:t>
      </w:r>
      <w:r>
        <w:rPr>
          <w:spacing w:val="-66"/>
        </w:rPr>
        <w:t> </w:t>
      </w:r>
      <w:r>
        <w:rPr>
          <w:spacing w:val="-66"/>
        </w:rPr>
      </w:r>
      <w:r>
        <w:rPr/>
        <w:t>损益。按照名义金额计量的政府补助，直接计入当期损益。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本集团根据资产、负债于资产负债表日的账面价值与计税基础之间的暂时性差异，采用资产负债表债务法确认递延所得</w:t>
      </w:r>
      <w:r>
        <w:rPr/>
        <w:t> 税。</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22"/>
          <w:szCs w:val="22"/>
        </w:rPr>
      </w:pPr>
    </w:p>
    <w:p>
      <w:pPr>
        <w:pStyle w:val="BodyText"/>
        <w:spacing w:line="300" w:lineRule="auto"/>
        <w:ind w:left="153" w:right="181" w:firstLine="36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left="153" w:right="181" w:firstLine="36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spacing w:line="240" w:lineRule="auto" w:before="12"/>
        <w:rPr>
          <w:rFonts w:ascii="宋体" w:hAnsi="宋体" w:cs="宋体" w:eastAsia="宋体" w:hint="default"/>
          <w:sz w:val="18"/>
          <w:szCs w:val="18"/>
        </w:rPr>
      </w:pPr>
    </w:p>
    <w:p>
      <w:pPr>
        <w:pStyle w:val="BodyText"/>
        <w:spacing w:line="316" w:lineRule="auto"/>
        <w:ind w:left="153" w:right="0"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left="153" w:right="181"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left="153" w:right="0" w:firstLine="360"/>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left="153" w:right="19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经营租赁中的租金，本集团在租赁期内各个期间按照直线法确认当期损益。发生的初始直接费用，计入当期损益。 </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融资租赁中，在租赁开始日本集团按最低租赁收款额与初始直接费用之和作为应收融资租赁款的入账价值，同时记录未</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担保余值；将最低租赁收款额、初始直接费用及未担保余值之和与其现值之和的差额确认为未实现融资收益。未实现融资收</w:t>
      </w:r>
      <w:r>
        <w:rPr>
          <w:spacing w:val="-66"/>
        </w:rPr>
        <w:t> </w:t>
      </w:r>
      <w:r>
        <w:rPr>
          <w:spacing w:val="-66"/>
        </w:rPr>
      </w:r>
      <w:r>
        <w:rPr/>
        <w:t>益在租赁期内各个期间采用实际利率法计算确认当期的融资收入。 </w:t>
      </w:r>
    </w:p>
    <w:p>
      <w:pPr>
        <w:spacing w:line="240" w:lineRule="auto" w:before="7"/>
        <w:rPr>
          <w:rFonts w:ascii="宋体" w:hAnsi="宋体" w:cs="宋体" w:eastAsia="宋体" w:hint="default"/>
          <w:sz w:val="22"/>
          <w:szCs w:val="22"/>
        </w:rPr>
      </w:pPr>
    </w:p>
    <w:p>
      <w:pPr>
        <w:pStyle w:val="Heading3"/>
        <w:spacing w:line="240" w:lineRule="auto"/>
        <w:ind w:right="70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2"/>
        <w:rPr>
          <w:rFonts w:ascii="宋体" w:hAnsi="宋体" w:cs="宋体" w:eastAsia="宋体" w:hint="default"/>
          <w:sz w:val="25"/>
          <w:szCs w:val="25"/>
        </w:rPr>
      </w:pPr>
    </w:p>
    <w:p>
      <w:pPr>
        <w:pStyle w:val="Heading2"/>
        <w:spacing w:line="240" w:lineRule="auto"/>
        <w:ind w:right="704"/>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pStyle w:val="BodyText"/>
        <w:spacing w:line="240" w:lineRule="auto" w:before="51"/>
        <w:ind w:right="704"/>
        <w:jc w:val="left"/>
      </w:pPr>
      <w:r>
        <w:rPr/>
        <w:pict>
          <v:shape style="position:absolute;margin-left:190.859711pt;margin-top:80.382027pt;width:344pt;height:19.650pt;mso-position-horizontal-relative:page;mso-position-vertical-relative:paragraph;z-index:-1142752" type="#_x0000_t202" filled="false" stroked="false">
            <v:textbox inset="0,0,0,0">
              <w:txbxContent>
                <w:p>
                  <w:pPr>
                    <w:pStyle w:val="BodyText"/>
                    <w:spacing w:line="240" w:lineRule="auto" w:before="51"/>
                    <w:ind w:left="0" w:right="0"/>
                    <w:jc w:val="left"/>
                  </w:pPr>
                  <w:r>
                    <w:rPr/>
                    <w:t>（以下简称福州创华公司）</w:t>
                  </w:r>
                </w:p>
              </w:txbxContent>
            </v:textbox>
            <w10:wrap type="none"/>
          </v:shape>
        </w:pict>
      </w: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福建榕基软件股份有限公司（以下简称榕基软件公司）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上海榕基软件开发有限公司（以下简称上海榕基公司）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福州创华电气自动化系统有限公司</w:t>
            </w:r>
          </w:p>
        </w:tc>
        <w:tc>
          <w:tcPr>
            <w:tcW w:w="4786" w:type="dxa"/>
            <w:tcBorders>
              <w:top w:val="single" w:sz="4" w:space="0" w:color="000000"/>
              <w:left w:val="single" w:sz="9" w:space="0" w:color="FFFFFF"/>
              <w:bottom w:val="single" w:sz="4" w:space="0" w:color="000000"/>
              <w:right w:val="single" w:sz="9"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浙江榕基信息技术有限公司（以下简称浙江榕基公司）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榕基五一（北京）信息技术有限公司（以下简称榕基五一公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福建榕基软件工程有限公司（以下简称榕基软件工程公司）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河南榕基信息技术有限公司（以下简称河南榕基公司）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北京中榕基信息技术有限公司（以下简称北京中榕基公司）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马鞍山榕基软件信息科技有限公司（以下简称马鞍山软件信 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福建榕基投资有限公司（以下简称榕基投资公司）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马鞍山榕基置业投资有限公司（以下简称榕基置业公司）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信阳榕基信息技术有限公司（以下简称信阳榕基公司）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榕基国际控股有限公司（以下简称榕基国际公司）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河南豫础置业有限公司（以下简称豫础置业公司）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沈阳榕基信息技术有限公司（以下简称沈阳榕基公司）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河南裕信德置业有限公司（以下简称裕信德公司）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浙江检榕网络科技有限公司（以下简称浙江检榕公司）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福建榕易付网络科技有限公司（以下简称福建榕易付公司）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福建星榕基信息科技有限责任公司（以下简称福建星榕基公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榕基国计（北京）信息技术有限公司（以下简称榕基国计公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520" w:lineRule="atLeast" w:before="62"/>
        <w:ind w:left="514" w:right="0"/>
        <w:jc w:val="left"/>
      </w:pPr>
      <w:r>
        <w:rPr/>
        <w:t>（1）增值税 </w:t>
      </w:r>
      <w:r>
        <w:rPr>
          <w:spacing w:val="-2"/>
        </w:rPr>
        <w:t>公司本部、上海榕基公司、浙江榕基公司、福州创华公司、榕基软件工程公司、榕基五一公司、河南榕基公司、北京中</w:t>
      </w:r>
    </w:p>
    <w:p>
      <w:pPr>
        <w:pStyle w:val="BodyText"/>
        <w:spacing w:line="316" w:lineRule="auto" w:before="76"/>
        <w:ind w:right="90"/>
        <w:jc w:val="left"/>
      </w:pPr>
      <w:r>
        <w:rPr/>
        <w:t>榕基公司、马鞍山软件信息公司、信阳榕基公司、福建星榕基公司均为增值税一般纳税人，其中公司本部、上海榕基公司、 </w:t>
      </w:r>
      <w:r>
        <w:rPr>
          <w:spacing w:val="-2"/>
        </w:rPr>
        <w:t>浙江榕基公司、河南榕基公司、马鞍山软件信息公司、福州创华公司及榕基软件工程公司均被认定为软件企业，根据《国务</w:t>
      </w:r>
      <w:r>
        <w:rPr>
          <w:spacing w:val="-67"/>
        </w:rPr>
        <w:t> </w:t>
      </w:r>
      <w:r>
        <w:rPr>
          <w:spacing w:val="-67"/>
        </w:rPr>
      </w:r>
      <w:r>
        <w:rPr/>
        <w:t>院关于印发进一步鼓励软件产业和集成电路产业发展若干政策的通知》（国发〔2011〕4号），财政部、国家税务总局《关</w:t>
      </w:r>
      <w:r>
        <w:rPr>
          <w:spacing w:val="-83"/>
        </w:rPr>
        <w:t> </w:t>
      </w:r>
      <w:r>
        <w:rPr>
          <w:spacing w:val="-83"/>
        </w:rPr>
      </w:r>
      <w:r>
        <w:rPr/>
        <w:t>于软件产品增值税政策的通知》（财税〔2011〕100号），自2011年1月1日起，本公司销售自行开发生产的软件产品，经主</w:t>
      </w:r>
      <w:r>
        <w:rPr>
          <w:spacing w:val="-83"/>
        </w:rPr>
        <w:t> </w:t>
      </w:r>
      <w:r>
        <w:rPr>
          <w:spacing w:val="-83"/>
        </w:rPr>
      </w:r>
      <w:r>
        <w:rPr/>
        <w:t>管税务部门审核后，实际税负超过3%的部分实行即征即退。 </w:t>
      </w:r>
    </w:p>
    <w:p>
      <w:pPr>
        <w:pStyle w:val="BodyText"/>
        <w:spacing w:line="528" w:lineRule="exact" w:before="22"/>
        <w:ind w:left="514" w:right="180"/>
        <w:jc w:val="left"/>
      </w:pPr>
      <w:r>
        <w:rPr/>
        <w:t>（2）企业所得税 1）根据《中华人民共和国企业所得税法》（主席令第63号），科技部、财政部、国家税务总局下发的《关于印发〈高</w:t>
      </w:r>
    </w:p>
    <w:p>
      <w:pPr>
        <w:pStyle w:val="BodyText"/>
        <w:spacing w:line="316" w:lineRule="auto"/>
        <w:ind w:right="188"/>
        <w:jc w:val="both"/>
      </w:pPr>
      <w:r>
        <w:rPr>
          <w:spacing w:val="-2"/>
        </w:rPr>
        <w:t>新技术企业认定管理办法〉的通知》（国科发火〔2008〕172号）的规定，国家需要重点扶持的高新技术企业，减按15%的税</w:t>
      </w:r>
      <w:r>
        <w:rPr>
          <w:spacing w:val="-57"/>
        </w:rPr>
        <w:t> </w:t>
      </w:r>
      <w:r>
        <w:rPr>
          <w:spacing w:val="-57"/>
        </w:rPr>
      </w:r>
      <w:r>
        <w:rPr/>
        <w:t>率征收企业所得税。2014年8月14日，榕基软件公司取得由福建省科学技术厅、福建省财政厅、福建省国家税务局、福建省</w:t>
      </w:r>
      <w:r>
        <w:rPr>
          <w:spacing w:val="-83"/>
        </w:rPr>
        <w:t> </w:t>
      </w:r>
      <w:r>
        <w:rPr>
          <w:spacing w:val="-83"/>
        </w:rPr>
      </w:r>
      <w:r>
        <w:rPr/>
        <w:t>地方税务局颁发的《高新技术企业证书》，证书编号GR201435000128，该证书的有效期从2014年至2016年。 </w:t>
      </w:r>
    </w:p>
    <w:p>
      <w:pPr>
        <w:spacing w:line="240" w:lineRule="auto" w:before="12"/>
        <w:rPr>
          <w:rFonts w:ascii="宋体" w:hAnsi="宋体" w:cs="宋体" w:eastAsia="宋体" w:hint="default"/>
          <w:sz w:val="17"/>
          <w:szCs w:val="17"/>
        </w:rPr>
      </w:pPr>
    </w:p>
    <w:p>
      <w:pPr>
        <w:pStyle w:val="BodyText"/>
        <w:spacing w:line="316" w:lineRule="auto"/>
        <w:ind w:right="191" w:firstLine="360"/>
        <w:jc w:val="both"/>
      </w:pPr>
      <w:r>
        <w:rPr>
          <w:spacing w:val="-2"/>
        </w:rPr>
        <w:t>2）2014年9月29日，浙江榕基公司取得由浙江省科学技术厅、浙江省财政厅、浙江省国家税务局、浙江省地方税务局颁</w:t>
      </w:r>
      <w:r>
        <w:rPr/>
        <w:t> 发的《高新技术企业证书》，证书编号GR201433000349，该证书的有效期从2014年至2016年。 </w:t>
      </w:r>
    </w:p>
    <w:p>
      <w:pPr>
        <w:spacing w:line="240" w:lineRule="auto" w:before="12"/>
        <w:rPr>
          <w:rFonts w:ascii="宋体" w:hAnsi="宋体" w:cs="宋体" w:eastAsia="宋体" w:hint="default"/>
          <w:sz w:val="17"/>
          <w:szCs w:val="17"/>
        </w:rPr>
      </w:pPr>
    </w:p>
    <w:p>
      <w:pPr>
        <w:pStyle w:val="BodyText"/>
        <w:spacing w:line="316" w:lineRule="auto"/>
        <w:ind w:right="101" w:firstLine="360"/>
        <w:jc w:val="both"/>
      </w:pPr>
      <w:r>
        <w:rPr>
          <w:spacing w:val="-2"/>
        </w:rPr>
        <w:t>3）根据财政部、国家税务总局《关于企业所得税若干优惠政策》（财税[2008]1号）规定：我国境内新办软件生产企业</w:t>
      </w:r>
      <w:r>
        <w:rPr/>
        <w:t> </w:t>
      </w:r>
      <w:r>
        <w:rPr>
          <w:spacing w:val="-2"/>
        </w:rPr>
        <w:t>经认定后，自获利年度起，第一年和第二年免征企业所得税，第三年至第五年减半征收企业所得税。2011年12月，榕基软件</w:t>
      </w:r>
      <w:r>
        <w:rPr>
          <w:spacing w:val="-60"/>
        </w:rPr>
        <w:t> </w:t>
      </w:r>
      <w:r>
        <w:rPr>
          <w:spacing w:val="-60"/>
        </w:rPr>
      </w:r>
      <w:r>
        <w:rPr/>
        <w:t>工程公司被认定为软件企业，自2011年起享受“免二减三”的税收优惠。2012年9月，河南榕基公司被认定为软件企业，自</w:t>
      </w:r>
      <w:r>
        <w:rPr>
          <w:spacing w:val="-83"/>
        </w:rPr>
        <w:t> </w:t>
      </w:r>
      <w:r>
        <w:rPr>
          <w:spacing w:val="-83"/>
        </w:rPr>
      </w:r>
      <w:r>
        <w:rPr>
          <w:spacing w:val="-3"/>
        </w:rPr>
        <w:t>2012年起享受“免二减三”的税收优惠。2012年12月，马鞍山软件信息公司被认定为软件企业，自2012年起享受“免二减三”</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704"/>
        <w:jc w:val="left"/>
      </w:pPr>
      <w:r>
        <w:rPr/>
        <w:t>的税收优惠。 </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2"/>
        <w:rPr>
          <w:rFonts w:ascii="宋体" w:hAnsi="宋体" w:cs="宋体" w:eastAsia="宋体" w:hint="default"/>
          <w:sz w:val="25"/>
          <w:szCs w:val="25"/>
        </w:rPr>
      </w:pPr>
    </w:p>
    <w:p>
      <w:pPr>
        <w:pStyle w:val="Heading2"/>
        <w:spacing w:line="240" w:lineRule="auto"/>
        <w:ind w:right="704"/>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561,118.58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166,981.40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346,675,564.98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301,366,268.86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100,836,364.42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86,727,199.70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448,073,047.98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388,260,449.96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1,697,959.89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1,599,516.72</w:t>
            </w:r>
          </w:p>
        </w:tc>
      </w:tr>
    </w:tbl>
    <w:p>
      <w:pPr>
        <w:pStyle w:val="BodyText"/>
        <w:spacing w:line="240" w:lineRule="auto" w:before="51"/>
        <w:ind w:right="704"/>
        <w:jc w:val="left"/>
      </w:pPr>
      <w:r>
        <w:rPr/>
        <w:t>其他说明</w:t>
      </w:r>
    </w:p>
    <w:p>
      <w:pPr>
        <w:pStyle w:val="BodyText"/>
        <w:spacing w:line="316" w:lineRule="auto" w:before="116"/>
        <w:ind w:right="0" w:firstLine="360"/>
        <w:jc w:val="left"/>
      </w:pPr>
      <w:r>
        <w:rPr>
          <w:spacing w:val="16"/>
        </w:rPr>
        <w:t>（1）期末，</w:t>
      </w:r>
      <w:r>
        <w:rPr>
          <w:spacing w:val="-67"/>
        </w:rPr>
        <w:t> </w:t>
      </w:r>
      <w:r>
        <w:rPr>
          <w:spacing w:val="18"/>
        </w:rPr>
        <w:t>其他货币资金中定期存款</w:t>
      </w:r>
      <w:r>
        <w:rPr>
          <w:spacing w:val="-65"/>
        </w:rPr>
        <w:t> </w:t>
      </w:r>
      <w:r>
        <w:rPr>
          <w:spacing w:val="6"/>
        </w:rPr>
        <w:t>69,738,703.55元、保函保证金</w:t>
      </w:r>
      <w:r>
        <w:rPr>
          <w:spacing w:val="-67"/>
        </w:rPr>
        <w:t> </w:t>
      </w:r>
      <w:r>
        <w:rPr>
          <w:spacing w:val="9"/>
        </w:rPr>
        <w:t>28,941,119.87元及银行承兑汇票保证金</w:t>
      </w:r>
      <w:r>
        <w:rPr>
          <w:spacing w:val="-70"/>
        </w:rPr>
        <w:t> </w:t>
      </w:r>
      <w:r>
        <w:rPr/>
        <w:t>2,156,541.00元，本公司在编制现金流量表时未将其作为现金或现金等价物。 </w:t>
      </w:r>
    </w:p>
    <w:p>
      <w:pPr>
        <w:spacing w:line="240" w:lineRule="auto" w:before="12"/>
        <w:rPr>
          <w:rFonts w:ascii="宋体" w:hAnsi="宋体" w:cs="宋体" w:eastAsia="宋体" w:hint="default"/>
          <w:sz w:val="17"/>
          <w:szCs w:val="17"/>
        </w:rPr>
      </w:pPr>
    </w:p>
    <w:p>
      <w:pPr>
        <w:pStyle w:val="BodyText"/>
        <w:spacing w:line="240" w:lineRule="auto"/>
        <w:ind w:left="514" w:right="704"/>
        <w:jc w:val="left"/>
      </w:pPr>
      <w:r>
        <w:rPr/>
        <w:t>（2）期末，本公司不存在质押、冻结，或存放在境外且资金汇回受到限制的款项。 </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887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13,364,010.90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16,114,943.15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373,757.00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1,586,696.00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13,737,767.90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17,701,639.15</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1,924,940.00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1,924,940.00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8001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439" w:lineRule="auto" w:before="47"/>
        <w:ind w:right="7970"/>
        <w:jc w:val="left"/>
      </w:pPr>
      <w:r>
        <w:rPr/>
        <w:t>其他说明 期末逾期应收票据情况</w:t>
      </w:r>
    </w:p>
    <w:p>
      <w:pPr>
        <w:spacing w:line="240" w:lineRule="auto" w:before="2"/>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3652"/>
        <w:gridCol w:w="1134"/>
        <w:gridCol w:w="1277"/>
        <w:gridCol w:w="1417"/>
        <w:gridCol w:w="1700"/>
      </w:tblGrid>
      <w:tr>
        <w:trPr>
          <w:trHeight w:val="352" w:hRule="exact"/>
        </w:trPr>
        <w:tc>
          <w:tcPr>
            <w:tcW w:w="36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sz w:val="18"/>
                <w:szCs w:val="18"/>
              </w:rPr>
              <w:t>出票日</w:t>
            </w:r>
          </w:p>
        </w:tc>
        <w:tc>
          <w:tcPr>
            <w:tcW w:w="127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7"/>
                <w:sz w:val="18"/>
                <w:szCs w:val="18"/>
              </w:rPr>
              <w:t> </w:t>
            </w:r>
            <w:r>
              <w:rPr>
                <w:rFonts w:ascii="宋体" w:hAnsi="宋体" w:cs="宋体" w:eastAsia="宋体" w:hint="default"/>
                <w:sz w:val="18"/>
                <w:szCs w:val="18"/>
              </w:rPr>
              <w:t>额</w:t>
            </w:r>
          </w:p>
        </w:tc>
        <w:tc>
          <w:tcPr>
            <w:tcW w:w="170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3"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福建罗源闽光钢铁有限责任公司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2015/6/24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2015/12/24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福建罗源闽光钢铁有限责任公司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2015/6/24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2015/12/24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焦作金箍制动器股份有限公司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2015/5/13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2015/11/13</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3"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山西晋城无烟煤通信分公司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2015/5/12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2015/11/12</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江苏淮安盐化学工业园有限公司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2015/6/5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2015/12/5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江苏淮安盐化学工业园有限公司</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2015/6/5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2015/12/5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已托收未回款</w:t>
            </w:r>
          </w:p>
        </w:tc>
      </w:tr>
      <w:tr>
        <w:trPr>
          <w:trHeight w:val="353"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134"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1,200,000.00</w:t>
            </w:r>
            <w:r>
              <w:rPr>
                <w:rFonts w:ascii="Times New Roman"/>
                <w:spacing w:val="-1"/>
                <w:sz w:val="18"/>
              </w:rPr>
            </w:r>
          </w:p>
        </w:tc>
        <w:tc>
          <w:tcPr>
            <w:tcW w:w="1700"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40" w:lineRule="auto" w:before="10"/>
        <w:ind w:right="704"/>
        <w:jc w:val="left"/>
      </w:pPr>
      <w:r>
        <w:rPr/>
        <w:t>说明：截止本报告日，上述逾期应收票据已成功托收并收款。</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95,063,7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12,436,8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82,626,85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85,673,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478.48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10,722,10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74,951,370.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95,063,7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20.79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12,436,8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70.26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82,626,85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85,673,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478.48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10,722,10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8.32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74,951,370.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70,254,957.52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3,512,747.88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14,109,460.13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1,410,946.01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3,982,658.46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796,531.69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6,716,644.68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6,716,644.68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95,063,720.79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12,436,870.26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13.08%</w:t>
            </w:r>
            <w:r>
              <w:rPr>
                <w:rFonts w:ascii="Times New Roman"/>
                <w:sz w:val="18"/>
              </w:rPr>
            </w:r>
          </w:p>
        </w:tc>
      </w:tr>
    </w:tbl>
    <w:p>
      <w:pPr>
        <w:pStyle w:val="BodyText"/>
        <w:spacing w:line="357" w:lineRule="auto" w:before="51"/>
        <w:ind w:left="153" w:right="7791"/>
        <w:jc w:val="left"/>
      </w:pPr>
      <w:r>
        <w:rPr/>
        <w:t>确定该组合依据的说明： 无。</w:t>
      </w:r>
    </w:p>
    <w:p>
      <w:pPr>
        <w:pStyle w:val="BodyText"/>
        <w:spacing w:line="240" w:lineRule="auto" w:before="29"/>
        <w:ind w:left="153" w:right="704"/>
        <w:jc w:val="left"/>
      </w:pPr>
      <w:r>
        <w:rPr/>
        <w:t>组合中，采用余额百分比法计提坏账准备的应收账款：</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18"/>
        <w:jc w:val="left"/>
      </w:pPr>
      <w:r>
        <w:rPr/>
        <w:t>本期计提坏账准备金额</w:t>
      </w:r>
      <w:r>
        <w:rPr>
          <w:spacing w:val="-46"/>
        </w:rPr>
        <w:t> </w:t>
      </w:r>
      <w:r>
        <w:rPr>
          <w:rFonts w:ascii="Times New Roman" w:hAnsi="Times New Roman" w:cs="Times New Roman" w:eastAsia="Times New Roman" w:hint="default"/>
        </w:rPr>
        <w:t>1,714,761.94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453" w:space="2375"/>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其中重要的应收账款核销情况：</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3" w:right="8151"/>
        <w:jc w:val="left"/>
      </w:pPr>
      <w:r>
        <w:rPr/>
        <w:t>应收账款核销说明：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3406"/>
        <w:gridCol w:w="1844"/>
        <w:gridCol w:w="2272"/>
        <w:gridCol w:w="1548"/>
      </w:tblGrid>
      <w:tr>
        <w:trPr>
          <w:trHeight w:val="664" w:hRule="exact"/>
        </w:trPr>
        <w:tc>
          <w:tcPr>
            <w:tcW w:w="34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552" w:right="551"/>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227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779" w:right="44" w:hanging="7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 的比例</w:t>
            </w:r>
            <w:r>
              <w:rPr>
                <w:rFonts w:ascii="Times New Roman" w:hAnsi="Times New Roman" w:cs="Times New Roman" w:eastAsia="Times New Roman" w:hint="default"/>
                <w:sz w:val="18"/>
                <w:szCs w:val="18"/>
              </w:rPr>
              <w:t>%</w:t>
            </w:r>
          </w:p>
        </w:tc>
        <w:tc>
          <w:tcPr>
            <w:tcW w:w="154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04" w:right="402"/>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52"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河南信大科技有限公司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3,904,000.00</w:t>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4.11</w:t>
            </w:r>
          </w:p>
        </w:tc>
        <w:tc>
          <w:tcPr>
            <w:tcW w:w="154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z w:val="18"/>
              </w:rPr>
              <w:t>195,200.00</w:t>
            </w:r>
          </w:p>
        </w:tc>
      </w:tr>
      <w:tr>
        <w:trPr>
          <w:trHeight w:val="352"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讯飞智元信息科技有限公司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3,549,484.70</w:t>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3.73</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177,474.24</w:t>
            </w:r>
          </w:p>
        </w:tc>
      </w:tr>
      <w:tr>
        <w:trPr>
          <w:trHeight w:val="353"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平潭综合实验区交通投资发展有限公司</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3,244,000.00</w:t>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3.41</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324,400.00</w:t>
            </w:r>
          </w:p>
        </w:tc>
      </w:tr>
      <w:tr>
        <w:trPr>
          <w:trHeight w:val="352"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福州市仓山区人民政府办公室</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2,755,819.46</w:t>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2.90</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137,790.97</w:t>
            </w:r>
          </w:p>
        </w:tc>
      </w:tr>
      <w:tr>
        <w:trPr>
          <w:trHeight w:val="352"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上海市松江区行政服务中心</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2,742,720.00</w:t>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2.89</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137,136.00</w:t>
            </w:r>
          </w:p>
        </w:tc>
      </w:tr>
      <w:tr>
        <w:trPr>
          <w:trHeight w:val="353" w:hRule="exact"/>
        </w:trPr>
        <w:tc>
          <w:tcPr>
            <w:tcW w:w="34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16,196,024.16</w:t>
            </w:r>
            <w:r>
              <w:rPr>
                <w:rFonts w:ascii="Times New Roman"/>
                <w:spacing w:val="-1"/>
                <w:sz w:val="18"/>
              </w:rPr>
            </w:r>
          </w:p>
        </w:tc>
        <w:tc>
          <w:tcPr>
            <w:tcW w:w="2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17.04</w:t>
            </w:r>
            <w:r>
              <w:rPr>
                <w:rFonts w:ascii="Times New Roman"/>
                <w:sz w:val="18"/>
              </w:rPr>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972,001.21</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550"/>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29,002,535.82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75.32%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20,769,456.30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90.40%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8,523,080.81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22.13%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1,393,731.09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810,518.38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721,066.60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168,886.24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88,929.10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38,505,021.25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22,973,183.09</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402"/>
        <w:gridCol w:w="1843"/>
        <w:gridCol w:w="2416"/>
        <w:gridCol w:w="1837"/>
      </w:tblGrid>
      <w:tr>
        <w:trPr>
          <w:trHeight w:val="332" w:hRule="exact"/>
        </w:trPr>
        <w:tc>
          <w:tcPr>
            <w:tcW w:w="3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89"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73" w:hRule="exact"/>
        </w:trPr>
        <w:tc>
          <w:tcPr>
            <w:tcW w:w="34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left"/>
              <w:rPr>
                <w:rFonts w:ascii="宋体" w:hAnsi="宋体" w:cs="宋体" w:eastAsia="宋体" w:hint="default"/>
                <w:sz w:val="18"/>
                <w:szCs w:val="18"/>
              </w:rPr>
            </w:pPr>
            <w:r>
              <w:rPr>
                <w:rFonts w:ascii="宋体" w:hAnsi="宋体" w:cs="宋体" w:eastAsia="宋体" w:hint="default"/>
                <w:sz w:val="18"/>
                <w:szCs w:val="18"/>
              </w:rPr>
              <w:t>福建经纬之星电子科技有限公司</w:t>
            </w:r>
          </w:p>
        </w:tc>
        <w:tc>
          <w:tcPr>
            <w:tcW w:w="18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6"/>
              <w:ind w:left="788" w:right="0"/>
              <w:jc w:val="left"/>
              <w:rPr>
                <w:rFonts w:ascii="Times New Roman" w:hAnsi="Times New Roman" w:cs="Times New Roman" w:eastAsia="Times New Roman" w:hint="default"/>
                <w:sz w:val="18"/>
                <w:szCs w:val="18"/>
              </w:rPr>
            </w:pPr>
            <w:r>
              <w:rPr>
                <w:rFonts w:ascii="Times New Roman"/>
                <w:sz w:val="18"/>
              </w:rPr>
              <w:t>10,000,000.00</w:t>
            </w:r>
          </w:p>
        </w:tc>
        <w:tc>
          <w:tcPr>
            <w:tcW w:w="24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400</w:t>
            </w:r>
            <w:r>
              <w:rPr>
                <w:rFonts w:ascii="宋体" w:hAnsi="宋体" w:cs="宋体" w:eastAsia="宋体" w:hint="default"/>
                <w:sz w:val="18"/>
                <w:szCs w:val="18"/>
              </w:rPr>
              <w:t>万，</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600</w:t>
            </w:r>
            <w:r>
              <w:rPr>
                <w:rFonts w:ascii="宋体" w:hAnsi="宋体" w:cs="宋体" w:eastAsia="宋体" w:hint="default"/>
                <w:sz w:val="18"/>
                <w:szCs w:val="18"/>
              </w:rPr>
              <w:t>万</w:t>
            </w:r>
          </w:p>
        </w:tc>
        <w:tc>
          <w:tcPr>
            <w:tcW w:w="18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left="1"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119"/>
        <w:gridCol w:w="1985"/>
        <w:gridCol w:w="4394"/>
      </w:tblGrid>
      <w:tr>
        <w:trPr>
          <w:trHeight w:val="352" w:hRule="exact"/>
        </w:trPr>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259" w:right="0"/>
              <w:jc w:val="left"/>
              <w:rPr>
                <w:rFonts w:ascii="宋体" w:hAnsi="宋体" w:cs="宋体" w:eastAsia="宋体" w:hint="default"/>
                <w:sz w:val="18"/>
                <w:szCs w:val="18"/>
              </w:rPr>
            </w:pPr>
            <w:r>
              <w:rPr>
                <w:rFonts w:ascii="宋体" w:hAnsi="宋体" w:cs="宋体" w:eastAsia="宋体" w:hint="default"/>
                <w:b/>
                <w:bCs/>
                <w:sz w:val="18"/>
                <w:szCs w:val="18"/>
              </w:rPr>
              <w:t>预付款项期末余额</w:t>
            </w:r>
            <w:r>
              <w:rPr>
                <w:rFonts w:ascii="宋体" w:hAnsi="宋体" w:cs="宋体" w:eastAsia="宋体" w:hint="default"/>
                <w:sz w:val="18"/>
                <w:szCs w:val="18"/>
              </w:rPr>
            </w:r>
          </w:p>
        </w:tc>
        <w:tc>
          <w:tcPr>
            <w:tcW w:w="43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74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占预付款项期末余额合计数的比例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福建经纬之星电子科技有限公司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25.97</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福建融成贸易有限公司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2,035,608.00</w:t>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5.29</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福建嘉实信息科技有限公司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1,658,246.00</w:t>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4.31</w:t>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北京索领瀛技术有限公司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1,565,771.20</w:t>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4.07</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威图电子机械技术（上海）有限公司</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1,120,019.80</w:t>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2.91</w:t>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16,379,645.00</w:t>
            </w:r>
            <w:r>
              <w:rPr>
                <w:rFonts w:ascii="Times New Roman"/>
                <w:spacing w:val="-1"/>
                <w:sz w:val="18"/>
              </w:rPr>
            </w:r>
          </w:p>
        </w:tc>
        <w:tc>
          <w:tcPr>
            <w:tcW w:w="4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42.54</w:t>
            </w:r>
            <w:r>
              <w:rPr>
                <w:rFonts w:ascii="Times New Roman"/>
                <w:sz w:val="18"/>
              </w:rPr>
            </w:r>
          </w:p>
        </w:tc>
      </w:tr>
    </w:tbl>
    <w:p>
      <w:pPr>
        <w:pStyle w:val="BodyText"/>
        <w:spacing w:line="357" w:lineRule="auto" w:before="51"/>
        <w:ind w:right="855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2,249,919.07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791,610.79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2,249,919.07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791,610.79</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855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2"/>
        <w:ind w:right="887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42,747,2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5,309,15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37,438,08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29,681,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305.20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5,627,284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24,054,020.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42,747,2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35.19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5,309,15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37,438,08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29,681,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305.20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5,627,284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24,054,020.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27,327,984.51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1,366,399.24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10,426,906.36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1,042,690.63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2,615,353.15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523,070.63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2,376,991.17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2,376,991.17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42,747,235.19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5,309,151.67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12.42%</w:t>
            </w:r>
            <w:r>
              <w:rPr>
                <w:rFonts w:ascii="Times New Roman"/>
                <w:sz w:val="18"/>
              </w:rPr>
            </w:r>
          </w:p>
        </w:tc>
      </w:tr>
    </w:tbl>
    <w:p>
      <w:pPr>
        <w:pStyle w:val="BodyText"/>
        <w:spacing w:line="357" w:lineRule="auto" w:before="51"/>
        <w:ind w:left="153" w:right="7791"/>
        <w:jc w:val="left"/>
      </w:pPr>
      <w:r>
        <w:rPr/>
        <w:t>确定该组合依据的说明： 无。</w:t>
      </w:r>
    </w:p>
    <w:p>
      <w:pPr>
        <w:pStyle w:val="BodyText"/>
        <w:spacing w:line="240" w:lineRule="auto" w:before="29"/>
        <w:ind w:left="153" w:right="704"/>
        <w:jc w:val="left"/>
      </w:pPr>
      <w:r>
        <w:rPr/>
        <w:t>组合中，采用余额百分比法计提坏账准备的其他应收款：</w:t>
      </w:r>
    </w:p>
    <w:p>
      <w:pPr>
        <w:pStyle w:val="BodyText"/>
        <w:spacing w:line="240" w:lineRule="auto" w:before="117"/>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t>组合中，采用其他方法计提坏账准备的其他应收款：</w:t>
      </w:r>
    </w:p>
    <w:p>
      <w:pPr>
        <w:pStyle w:val="BodyText"/>
        <w:spacing w:line="240" w:lineRule="auto" w:before="116"/>
        <w:ind w:left="153"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0" w:lineRule="auto" w:before="44"/>
        <w:ind w:right="-17"/>
        <w:jc w:val="left"/>
      </w:pPr>
      <w:r>
        <w:rPr/>
        <w:t>本期计提坏账准备金额</w:t>
      </w:r>
      <w:r>
        <w:rPr>
          <w:spacing w:val="-46"/>
        </w:rPr>
        <w:t> </w:t>
      </w:r>
      <w:r>
        <w:rPr>
          <w:rFonts w:ascii="Times New Roman" w:hAnsi="Times New Roman" w:cs="Times New Roman" w:eastAsia="Times New Roman" w:hint="default"/>
        </w:rPr>
        <w:t>318,132.72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4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其中重要的其他应收款核销情况：</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3" w:right="7971"/>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11,081,017.85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8,622,063.54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27,357,797.88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15,849,147.27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1,083,786.31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1,062,818.85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3,224,633.15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4,147,275.54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42,747,235.19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29,681,305.20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1594"/>
        <w:gridCol w:w="1596"/>
        <w:gridCol w:w="1595"/>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马鞍山市国库集中支 付中心往来资金户</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1,875,000.00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1594"/>
        <w:gridCol w:w="1596"/>
        <w:gridCol w:w="1595"/>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福建省闽江监狱</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89,694.00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福建省气象信息中心</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1,122,857.40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112,285.74</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绍兴市柯桥区公共资 源交易中心</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1,059,436.70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929,836.70,1-2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129,600.00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59,451.84</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中华人民共和国云南 出入境检验检疫局</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43,520.00</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6,721,574.10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398,701.58</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70"/>
        <w:jc w:val="left"/>
      </w:pPr>
      <w:r>
        <w:rPr/>
        <w:t>无。 其他说明： 无。</w:t>
      </w:r>
    </w:p>
    <w:p>
      <w:pPr>
        <w:spacing w:line="240" w:lineRule="auto" w:before="1"/>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17,363,319.96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514,586.04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16,848,733.92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8,496,001.56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500,458.93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7,995,542.63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155,179,899.19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155,179,899.19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100,041,635.94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100,041,635.94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314,727,758.07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314,727,758.07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128,481,850.63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128,481,850.63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487,270,977.22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514,586.04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486,756,391.18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237,019,488.13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500,458.93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236,519,029.20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500,458.93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514,586.04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500,458.93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514,586.04</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存货期末余额中无借款费用资本化金额。</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4;top:14;width:24;height:393" coordorigin="4764,14" coordsize="24,393">
              <v:shape style="position:absolute;left:4764;top:14;width:24;height:393" coordorigin="4764,14" coordsize="24,393" path="m4764,407l4788,407,4788,14,4764,14,47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798;top:14;width:23;height:393" coordorigin="4798,14" coordsize="23,393">
              <v:shape style="position:absolute;left:4798;top:14;width:23;height:393" coordorigin="4798,14" coordsize="23,393" path="m4798,407l4820,407,4820,14,4798,14,47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8004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887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15,455,298.67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7,426,948.71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343,455,298.67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447,426,948.71</w:t>
            </w:r>
          </w:p>
        </w:tc>
      </w:tr>
    </w:tbl>
    <w:p>
      <w:pPr>
        <w:pStyle w:val="BodyText"/>
        <w:spacing w:line="240" w:lineRule="auto" w:before="51"/>
        <w:ind w:right="704"/>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left="153" w:right="141"/>
        <w:jc w:val="left"/>
      </w:pPr>
      <w:r>
        <w:rPr/>
        <w:t>注：期末其他流动资产主要系本集团购买的保本浮动收益理财产品，因该产品无活跃市场且期限短于</w:t>
      </w:r>
      <w:r>
        <w:rPr>
          <w:rFonts w:ascii="Times New Roman" w:hAnsi="Times New Roman" w:cs="Times New Roman" w:eastAsia="Times New Roman" w:hint="default"/>
        </w:rPr>
        <w:t>1</w:t>
      </w:r>
      <w:r>
        <w:rPr/>
        <w:t>年，故列示在其他流</w:t>
      </w:r>
      <w:r>
        <w:rPr>
          <w:spacing w:val="-84"/>
        </w:rPr>
        <w:t> </w:t>
      </w:r>
      <w:r>
        <w:rPr>
          <w:spacing w:val="-84"/>
        </w:rPr>
      </w:r>
      <w:r>
        <w:rPr/>
        <w:t>动资产中。</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43,400,000.00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43,400,000.00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43,400,000.00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43,400,000.00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center"/>
              <w:rPr>
                <w:rFonts w:ascii="Times New Roman" w:hAnsi="Times New Roman" w:cs="Times New Roman" w:eastAsia="Times New Roman" w:hint="default"/>
                <w:sz w:val="18"/>
                <w:szCs w:val="18"/>
              </w:rPr>
            </w:pPr>
            <w:r>
              <w:rPr>
                <w:rFonts w:ascii="Times New Roman"/>
                <w:sz w:val="18"/>
              </w:rPr>
              <w:t>43,400,000.00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43,400,000.00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43,400,000.00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2,039,970.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2"/>
        <w:ind w:right="9050"/>
        <w:jc w:val="left"/>
      </w:pPr>
      <w:r>
        <w:rPr/>
        <w:t>其他说明 无。</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福建文鑫</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27,097,43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664,231.9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27,761,67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莲业股份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8.44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0.41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40,910,54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17,198,54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55,659,08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建宁县日 升投资有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4,281,949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-504,430.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3,777,519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72,289,92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17,358,35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87,198,27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72,289,92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17,358,35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87,198,27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60" w:lineRule="auto" w:before="51"/>
        <w:ind w:right="9050"/>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704"/>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6,442,068.00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17,364,240.91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59,112,741.79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3,522,551.34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86,441,602.04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897,081.19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3,345,958.84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228,205.23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4,471,245.26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897,081.19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3,345,958.84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228,205.23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4,471,245.26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6,442,068.00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18,261,322.10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62,458,700.63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3,750,756.57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90,912,847.30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3,678,943.90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4,389,742.74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30,971,473.95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2,922,343.41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41,962,504.00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287,396.22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1,480,861.58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9,006,014.07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229,043.53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11,003,315.40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287,396.22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1,480,861.58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9,006,014.07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229,043.53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11,003,315.40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3,966,340.12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5,870,604.32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39,977,488.02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3,151,386.94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52,965,819.40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2,475,727.88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12,390,717.78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22,481,212.61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599,369.63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37,947,027.90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2,763,124.10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12,974,498.17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28,141,267.84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600,207.93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44,479,098.04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2;top:14;width:23;height:393" coordorigin="4762,14" coordsize="23,393">
              <v:shape style="position:absolute;left:4762;top:14;width:23;height:393" coordorigin="4762,14" coordsize="23,393" path="m4762,407l4784,407,4784,14,4762,14,476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794;top:14;width:24;height:393" coordorigin="4794,14" coordsize="24,393">
              <v:shape style="position:absolute;left:4794;top:14;width:24;height:393" coordorigin="4794,14" coordsize="24,393" path="m4794,407l4818,407,4818,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3,766,730.33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3,766,730.33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3,766,730.33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3,766,730.33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上海榕 基软件 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3,766,73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3,766,73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3,766,73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3,766,73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0.33</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887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8870"/>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32,759,818.07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101,357,710.60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298,810,228.96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1,647,321.37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8,939,847.38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94,017,168.75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1,647,321.37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85,077,321.37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r>
              <w:rPr>
                <w:rFonts w:ascii="宋体" w:hAnsi="宋体" w:cs="宋体" w:eastAsia="宋体" w:hint="default"/>
                <w:sz w:val="18"/>
                <w:szCs w:val="18"/>
              </w:rPr>
              <w:t> 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8,939,847.38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8,939,847.38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164,204,370.30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164,204,370.30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34,407,139.44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110,297,557.98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228,623,027.41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11,696,368.41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57,016,088.51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69,200,786.91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5,568,669.87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24,738,053.14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31,832,223.01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5,568,669.87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24,738,053.14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31,832,223.01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17,265,038.28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81,754,141.65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101,033,009.92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712.440002pt;width:52.65pt;height:50.8pt;mso-position-horizontal-relative:page;mso-position-vertical-relative:page;z-index:-1142296" coordorigin="2202,14249" coordsize="1053,1016">
            <v:group style="position:absolute;left:2202;top:14249;width:1053;height:1016" coordorigin="2202,14249" coordsize="1053,1016">
              <v:shape style="position:absolute;left:2202;top:14249;width:1053;height:1016" coordorigin="2202,14249" coordsize="1053,1016" path="m2202,15264l3254,15264,3254,14249,2202,14249,2202,15264xe" filled="true" fillcolor="#ffffff" stroked="false">
                <v:path arrowok="t"/>
                <v:fill type="solid"/>
              </v:shape>
            </v:group>
            <v:group style="position:absolute;left:2225;top:14561;width:1007;height:392" coordorigin="2225,14561" coordsize="1007,392">
              <v:shape style="position:absolute;left:2225;top:14561;width:1007;height:392" coordorigin="2225,14561" coordsize="1007,392" path="m2225,14952l3232,14952,3232,14561,2225,14561,2225,1495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81,904,500.00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17,142,101.16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28,543,416.33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127,590,017.49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164,204,370.30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21,063,449.66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44,341,622.09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229,609,442.05</w:t>
            </w:r>
          </w:p>
        </w:tc>
      </w:tr>
    </w:tbl>
    <w:p>
      <w:pPr>
        <w:pStyle w:val="BodyText"/>
        <w:spacing w:line="240" w:lineRule="auto" w:before="51"/>
        <w:ind w:right="704"/>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48.35%</w:t>
      </w:r>
      <w:r>
        <w:rPr/>
        <w:t>。</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3185"/>
        <w:jc w:val="left"/>
      </w:pPr>
      <w:r>
        <w:rPr/>
        <w:t>其他说明： 说明：（</w:t>
      </w:r>
      <w:r>
        <w:rPr>
          <w:rFonts w:ascii="Times New Roman" w:hAnsi="Times New Roman" w:cs="Times New Roman" w:eastAsia="Times New Roman" w:hint="default"/>
        </w:rPr>
        <w:t>1</w:t>
      </w:r>
      <w:r>
        <w:rPr/>
        <w:t>）期末，通过内部研发形成的无形资产占无形资产余额的比例为</w:t>
      </w:r>
      <w:r>
        <w:rPr>
          <w:rFonts w:ascii="Times New Roman" w:hAnsi="Times New Roman" w:cs="Times New Roman" w:eastAsia="Times New Roman" w:hint="default"/>
        </w:rPr>
        <w:t>48.35%</w:t>
      </w:r>
      <w:r>
        <w:rPr/>
        <w:t>；</w:t>
      </w:r>
    </w:p>
    <w:p>
      <w:pPr>
        <w:pStyle w:val="BodyText"/>
        <w:spacing w:line="214" w:lineRule="exact"/>
        <w:ind w:left="753" w:right="0"/>
        <w:jc w:val="left"/>
      </w:pPr>
      <w:r>
        <w:rPr/>
        <w:t>（</w:t>
      </w:r>
      <w:r>
        <w:rPr>
          <w:rFonts w:ascii="Times New Roman" w:hAnsi="Times New Roman" w:cs="Times New Roman" w:eastAsia="Times New Roman" w:hint="default"/>
        </w:rPr>
        <w:t>2</w:t>
      </w:r>
      <w:r>
        <w:rPr/>
        <w:t>）本期土地使用权其他减少</w:t>
      </w:r>
      <w:r>
        <w:rPr>
          <w:rFonts w:ascii="Times New Roman" w:hAnsi="Times New Roman" w:cs="Times New Roman" w:eastAsia="Times New Roman" w:hint="default"/>
        </w:rPr>
        <w:t>164,204,370.30</w:t>
      </w:r>
      <w:r>
        <w:rPr/>
        <w:t>元，系子公司信阳榕基公司原先经营范围中无房地产开发，本期取得</w:t>
      </w:r>
    </w:p>
    <w:p>
      <w:pPr>
        <w:pStyle w:val="BodyText"/>
        <w:spacing w:line="240" w:lineRule="auto" w:before="63"/>
        <w:ind w:left="153" w:right="704"/>
        <w:jc w:val="left"/>
      </w:pPr>
      <w:r>
        <w:rPr/>
        <w:t>房地产开发资质后，将其转入开发成本核算；</w:t>
      </w:r>
    </w:p>
    <w:p>
      <w:pPr>
        <w:pStyle w:val="BodyText"/>
        <w:spacing w:line="240" w:lineRule="auto" w:before="76"/>
        <w:ind w:left="753" w:right="704"/>
        <w:jc w:val="left"/>
      </w:pPr>
      <w:r>
        <w:rPr/>
        <w:t>（</w:t>
      </w:r>
      <w:r>
        <w:rPr>
          <w:rFonts w:ascii="Times New Roman" w:hAnsi="Times New Roman" w:cs="Times New Roman" w:eastAsia="Times New Roman" w:hint="default"/>
        </w:rPr>
        <w:t>3</w:t>
      </w:r>
      <w:r>
        <w:rPr/>
        <w:t>）期末，本公司无抵押、担保或未办妥产权证书的土地使用权；</w:t>
      </w:r>
    </w:p>
    <w:p>
      <w:pPr>
        <w:pStyle w:val="BodyText"/>
        <w:spacing w:line="240" w:lineRule="auto" w:before="63"/>
        <w:ind w:left="753" w:right="704"/>
        <w:jc w:val="left"/>
      </w:pPr>
      <w:r>
        <w:rPr/>
        <w:t>（</w:t>
      </w:r>
      <w:r>
        <w:rPr>
          <w:rFonts w:ascii="Times New Roman" w:hAnsi="Times New Roman" w:cs="Times New Roman" w:eastAsia="Times New Roman" w:hint="default"/>
        </w:rPr>
        <w:t>4</w:t>
      </w:r>
      <w:r>
        <w:rPr/>
        <w:t>）期末无形资产不存在减值情形。</w:t>
      </w:r>
    </w:p>
    <w:p>
      <w:pPr>
        <w:spacing w:line="240" w:lineRule="auto" w:before="11"/>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榕基手写批 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1,764,668.07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1,764,668.07</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2"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基于任务管 理平台的手 </w:t>
            </w:r>
            <w:r>
              <w:rPr>
                <w:rFonts w:ascii="宋体" w:hAnsi="宋体" w:cs="宋体" w:eastAsia="宋体" w:hint="default"/>
                <w:spacing w:val="-4"/>
                <w:sz w:val="18"/>
                <w:szCs w:val="18"/>
              </w:rPr>
              <w:t>机</w:t>
            </w:r>
            <w:r>
              <w:rPr>
                <w:rFonts w:ascii="Times New Roman" w:hAnsi="Times New Roman" w:cs="Times New Roman" w:eastAsia="Times New Roman" w:hint="default"/>
                <w:spacing w:val="-4"/>
                <w:sz w:val="18"/>
                <w:szCs w:val="18"/>
              </w:rPr>
              <w:t>/PAD</w:t>
            </w:r>
            <w:r>
              <w:rPr>
                <w:rFonts w:ascii="Times New Roman" w:hAnsi="Times New Roman" w:cs="Times New Roman" w:eastAsia="Times New Roman" w:hint="default"/>
                <w:sz w:val="18"/>
                <w:szCs w:val="18"/>
              </w:rPr>
              <w:t> </w:t>
            </w:r>
            <w:r>
              <w:rPr>
                <w:rFonts w:ascii="宋体" w:hAnsi="宋体" w:cs="宋体" w:eastAsia="宋体" w:hint="default"/>
                <w:sz w:val="18"/>
                <w:szCs w:val="18"/>
              </w:rPr>
              <w:t>移动 办公应用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5,189,748.01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5,189,748.01</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榕基安全云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2,049,693.59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2,049,693.59</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榕基旅游产 业监测调度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3,690,279.46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3,690,279.46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榕基呼叫中 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2,989,373.39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2,989,373.39</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移动信息服 务平台安全 组件（</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889,983.26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889,983.26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rj-dSearch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榕 基全文检索 引擎软件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604,384.11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604,384.11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易检支撑管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907,264.02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907,264.02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研发创新平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2,191,886.76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2,191,886.76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榕基数据交 换平台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1,431,545.15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1,431,545.15</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榕基智慧旅 游目的地系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4,353,209.10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4,353,209.10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中小企业公 共服务平台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1,069,223.35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1,069,223.35</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榕基全申报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2,419,853.63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2,419,853.63</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榕基综合风 险评估与管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2,548,863.39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2,548,863.39</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榕基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eden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 文检索服务 平台软件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1,191,094.60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1,191,094.60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榕基内网信 息管理平台 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874,271.44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874,271.44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榕基公文交 换平台软件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741,363.43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741,363.43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榕基无线政 务服务平台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1,539,599.76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1,539,599.76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36,446,304.5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8,939,847.38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27,506,457.1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254" w:right="5091"/>
        <w:jc w:val="left"/>
      </w:pPr>
      <w:r>
        <w:rPr/>
        <w:t>其他说明</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3544"/>
        <w:gridCol w:w="1704"/>
        <w:gridCol w:w="2412"/>
        <w:gridCol w:w="1980"/>
      </w:tblGrid>
      <w:tr>
        <w:trPr>
          <w:trHeight w:val="352" w:hRule="exact"/>
        </w:trPr>
        <w:tc>
          <w:tcPr>
            <w:tcW w:w="35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4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19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榕基手写批注系统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基于任务管理平台的手机</w:t>
            </w:r>
            <w:r>
              <w:rPr>
                <w:rFonts w:ascii="Times New Roman" w:hAnsi="Times New Roman" w:cs="Times New Roman" w:eastAsia="Times New Roman" w:hint="default"/>
                <w:sz w:val="18"/>
                <w:szCs w:val="18"/>
              </w:rPr>
              <w:t>/PAD</w:t>
            </w:r>
            <w:r>
              <w:rPr>
                <w:rFonts w:ascii="宋体" w:hAnsi="宋体" w:cs="宋体" w:eastAsia="宋体" w:hint="default"/>
                <w:sz w:val="18"/>
                <w:szCs w:val="18"/>
              </w:rPr>
              <w:t>移动办公应用</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榕基安全云服务平台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榕基旅游产业监测调度系统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榕基呼叫中心</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bl>
    <w:p>
      <w:pPr>
        <w:spacing w:after="0" w:line="240" w:lineRule="auto"/>
        <w:jc w:val="center"/>
        <w:rPr>
          <w:rFonts w:ascii="宋体" w:hAnsi="宋体" w:cs="宋体" w:eastAsia="宋体" w:hint="default"/>
          <w:sz w:val="18"/>
          <w:szCs w:val="18"/>
        </w:rPr>
        <w:sectPr>
          <w:pgSz w:w="11910" w:h="16840"/>
          <w:pgMar w:header="747" w:footer="982" w:top="1060" w:bottom="1180" w:left="880" w:right="980"/>
        </w:sectPr>
      </w:pPr>
    </w:p>
    <w:p>
      <w:pPr>
        <w:spacing w:line="240" w:lineRule="auto" w:before="6"/>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3544"/>
        <w:gridCol w:w="1704"/>
        <w:gridCol w:w="2412"/>
        <w:gridCol w:w="1980"/>
      </w:tblGrid>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移动信息服务平台安全组件（</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rj-dSearch</w:t>
            </w:r>
            <w:r>
              <w:rPr>
                <w:rFonts w:ascii="宋体" w:hAnsi="宋体" w:cs="宋体" w:eastAsia="宋体" w:hint="default"/>
                <w:sz w:val="18"/>
                <w:szCs w:val="18"/>
              </w:rPr>
              <w:t>榕基全文检索引擎软件</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易检支撑管理平台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研发创新平台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榕基数据交换平台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榕基智慧旅游目的地系统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中小企业公共服务平台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榕基全申报管理系统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榕基综合风险评估与管理系统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w:t>
            </w:r>
            <w:r>
              <w:rPr>
                <w:rFonts w:ascii="Times New Roman" w:hAnsi="Times New Roman" w:cs="Times New Roman" w:eastAsia="Times New Roman" w:hint="default"/>
                <w:sz w:val="18"/>
                <w:szCs w:val="18"/>
              </w:rPr>
              <w:t>eden</w:t>
            </w:r>
            <w:r>
              <w:rPr>
                <w:rFonts w:ascii="宋体" w:hAnsi="宋体" w:cs="宋体" w:eastAsia="宋体" w:hint="default"/>
                <w:sz w:val="18"/>
                <w:szCs w:val="18"/>
              </w:rPr>
              <w:t>全文检索服务平台软件</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榕基内网信息管理平台软件</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榕基公文交换平台软件系统</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2"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榕基无线政务服务平台</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353" w:hRule="exact"/>
        </w:trPr>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4" w:type="dxa"/>
            <w:tcBorders>
              <w:top w:val="single" w:sz="8" w:space="0" w:color="000000"/>
              <w:left w:val="single" w:sz="8" w:space="0" w:color="000000"/>
              <w:bottom w:val="single" w:sz="8" w:space="0" w:color="000000"/>
              <w:right w:val="single" w:sz="8" w:space="0" w:color="000000"/>
            </w:tcBorders>
          </w:tcPr>
          <w:p>
            <w:pPr/>
          </w:p>
        </w:tc>
        <w:tc>
          <w:tcPr>
            <w:tcW w:w="2412" w:type="dxa"/>
            <w:tcBorders>
              <w:top w:val="single" w:sz="8" w:space="0" w:color="000000"/>
              <w:left w:val="single" w:sz="8" w:space="0" w:color="000000"/>
              <w:bottom w:val="single" w:sz="8" w:space="0" w:color="000000"/>
              <w:right w:val="single" w:sz="8" w:space="0" w:color="000000"/>
            </w:tcBorders>
          </w:tcPr>
          <w:p>
            <w:pPr/>
          </w:p>
        </w:tc>
        <w:tc>
          <w:tcPr>
            <w:tcW w:w="198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5091"/>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3" w:right="5091"/>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5091"/>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51"/>
        <w:ind w:left="253" w:right="5091"/>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3"/>
        <w:spacing w:line="240" w:lineRule="auto"/>
        <w:ind w:left="254" w:right="5091"/>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54" w:right="5091"/>
        <w:jc w:val="left"/>
      </w:pPr>
      <w:r>
        <w:rPr/>
        <w:t>其他说明</w:t>
      </w:r>
    </w:p>
    <w:p>
      <w:pPr>
        <w:spacing w:after="0" w:line="240" w:lineRule="auto"/>
        <w:jc w:val="left"/>
        <w:sectPr>
          <w:pgSz w:w="11910" w:h="16840"/>
          <w:pgMar w:header="747" w:footer="982" w:top="1060" w:bottom="1180" w:left="8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17,501,526.02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3,011,502.60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16,849,851.64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2,606,128.78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68,469,258.12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14,439,447.98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49,924,488.11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9,089,806.27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7,024,923.06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1,086,538.46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6,177,777.74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926,666.66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92,995,707.20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18,537,489.04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72,952,117.49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12,622,601.71</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18,537,489.04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12,622,601.71</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759,081.95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18,843,284.34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11,286,866.75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19,602,366.29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11,286,866.75</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519,152.75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2,132,573.21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2,132,573.21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1,365,896.98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1,365,896.98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2,628,241.73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2,529,980.70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6,128,405.02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4,739,263.11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6,588,167.40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18,843,284.34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11,286,866.75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105,991,720.10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70,671,720.10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1,691,108.34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107,682,828.44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70,671,720.10</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80,000,000.00</w:t>
            </w:r>
          </w:p>
        </w:tc>
      </w:tr>
    </w:tbl>
    <w:p>
      <w:pPr>
        <w:pStyle w:val="BodyText"/>
        <w:spacing w:line="240" w:lineRule="auto" w:before="51"/>
        <w:ind w:right="704"/>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t>本期末已逾期未偿还的短期借款总额为元，其中重要的已逾期未偿还的短期借款情况如下：</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7,188,470.00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7,188,470.00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106,604,529.30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90,965,022.34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31,231,371.41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137,835,900.71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90,965,022.34</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安徽慈湖建设集团有限公司第五分公司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17,958,814.72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福建省闽保信息技术股份有限公司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8,171,941.51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融智通科技（北京）股份有限公司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银川迈普网络通讯技术有限公司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1,199,300.00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北京华安保信息技术有限公司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30,455,056.23</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183,788,689.57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93,869,216.52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183,788,689.57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93,869,216.52</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河南省中小企业发展服务中心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河南省豫东监狱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2,777,400.00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宁夏王洼煤业有限公司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1,795,677.50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宁夏银星煤业有限公司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1,446,352.00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福州市档案局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839,100.00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11,113,529.50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14,653,625.22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93,794,657.10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93,447,421.43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15,000,860.89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5,639,061.76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5,627,151.68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15,407.60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14,657,122.74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99,433,718.86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99,074,573.11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15,016,268.49</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13,368,030.94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83,558,107.39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83,119,914.49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13,806,223.84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3,013,003.01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3,013,003.01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16,613.22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2,797,511.68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2,812,394.42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2,464,132.27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2,478,122.35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123,570.41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211,560.70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3,518,479.00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3,518,479.00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1,268,981.06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894,956.02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971,030.51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1,192,906.57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14,653,625.22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93,794,657.10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93,447,421.43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15,000,860.89</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5,290,407.09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5,279,171.93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348,654.67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347,979.75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4,172.44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5,639,061.76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5,627,151.68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15,407.60</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692,931.78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318,433.08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-160,939.00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-47,342.95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5,618,572.88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7,213,964.57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198,130.60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159,390.88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-33,434.36</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-470,831.48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244,708.76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-321,403.19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6,559,970.66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6,852,210.91</w:t>
            </w: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3,107,160.00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94,190.00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90,222.23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3,201,350.00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90,222.23</w:t>
            </w:r>
          </w:p>
        </w:tc>
      </w:tr>
    </w:tbl>
    <w:p>
      <w:pPr>
        <w:pStyle w:val="BodyText"/>
        <w:spacing w:line="240" w:lineRule="auto" w:before="51"/>
        <w:ind w:right="704"/>
        <w:jc w:val="left"/>
      </w:pPr>
      <w:r>
        <w:rPr/>
        <w:t>重要的已逾期未支付的利息情况：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70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6,893,271.27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543,502.07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2,947,678.40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5,484,830.44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9,840,949.67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6,028,332.51</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2,448,000.00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2,448,000.00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其他说明：</w:t>
      </w:r>
    </w:p>
    <w:p>
      <w:pPr>
        <w:spacing w:line="240" w:lineRule="auto" w:before="12"/>
        <w:rPr>
          <w:rFonts w:ascii="宋体" w:hAnsi="宋体" w:cs="宋体" w:eastAsia="宋体" w:hint="default"/>
          <w:sz w:val="14"/>
          <w:szCs w:val="14"/>
        </w:rPr>
      </w:pPr>
    </w:p>
    <w:p>
      <w:pPr>
        <w:pStyle w:val="BodyText"/>
        <w:tabs>
          <w:tab w:pos="993" w:val="left" w:leader="none"/>
        </w:tabs>
        <w:spacing w:line="240" w:lineRule="auto"/>
        <w:ind w:left="156" w:right="704"/>
        <w:jc w:val="left"/>
      </w:pPr>
      <w:r>
        <w:rPr/>
        <w:t>（</w:t>
      </w:r>
      <w:r>
        <w:rPr>
          <w:rFonts w:ascii="Times New Roman" w:hAnsi="Times New Roman" w:cs="Times New Roman" w:eastAsia="Times New Roman" w:hint="default"/>
        </w:rPr>
        <w:t>1</w:t>
      </w:r>
      <w:r>
        <w:rPr/>
        <w:t>）</w:t>
        <w:tab/>
        <w:t>递延收益</w:t>
      </w:r>
      <w:r>
        <w:rPr>
          <w:rFonts w:ascii="Times New Roman" w:hAnsi="Times New Roman" w:cs="Times New Roman" w:eastAsia="Times New Roman" w:hint="default"/>
        </w:rPr>
        <w:t>-</w:t>
      </w:r>
      <w:r>
        <w:rPr/>
        <w:t>政府补助情况 </w:t>
      </w:r>
    </w:p>
    <w:p>
      <w:pPr>
        <w:spacing w:line="240" w:lineRule="auto" w:before="12"/>
        <w:rPr>
          <w:rFonts w:ascii="宋体" w:hAnsi="宋体" w:cs="宋体" w:eastAsia="宋体" w:hint="default"/>
          <w:sz w:val="17"/>
          <w:szCs w:val="17"/>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21"/>
          <w:szCs w:val="21"/>
        </w:rPr>
      </w:pPr>
    </w:p>
    <w:tbl>
      <w:tblPr>
        <w:tblW w:w="0" w:type="auto"/>
        <w:jc w:val="left"/>
        <w:tblInd w:w="179" w:type="dxa"/>
        <w:tblLayout w:type="fixed"/>
        <w:tblCellMar>
          <w:top w:w="0" w:type="dxa"/>
          <w:left w:w="0" w:type="dxa"/>
          <w:bottom w:w="0" w:type="dxa"/>
          <w:right w:w="0" w:type="dxa"/>
        </w:tblCellMar>
        <w:tblLook w:val="01E0"/>
      </w:tblPr>
      <w:tblGrid>
        <w:gridCol w:w="2765"/>
        <w:gridCol w:w="852"/>
        <w:gridCol w:w="770"/>
        <w:gridCol w:w="1528"/>
        <w:gridCol w:w="1115"/>
        <w:gridCol w:w="1114"/>
        <w:gridCol w:w="1424"/>
      </w:tblGrid>
      <w:tr>
        <w:trPr>
          <w:trHeight w:val="663" w:hRule="exact"/>
        </w:trPr>
        <w:tc>
          <w:tcPr>
            <w:tcW w:w="276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8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7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4" w:right="12"/>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5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82" w:right="30" w:hanging="452"/>
              <w:jc w:val="left"/>
              <w:rPr>
                <w:rFonts w:ascii="宋体" w:hAnsi="宋体" w:cs="宋体" w:eastAsia="宋体" w:hint="default"/>
                <w:sz w:val="18"/>
                <w:szCs w:val="18"/>
              </w:rPr>
            </w:pPr>
            <w:r>
              <w:rPr>
                <w:rFonts w:ascii="宋体" w:hAnsi="宋体" w:cs="宋体" w:eastAsia="宋体" w:hint="default"/>
                <w:b/>
                <w:bCs/>
                <w:sz w:val="18"/>
                <w:szCs w:val="18"/>
              </w:rPr>
              <w:t>本期计入营业外收</w:t>
            </w:r>
            <w:r>
              <w:rPr>
                <w:rFonts w:ascii="宋体" w:hAnsi="宋体" w:cs="宋体" w:eastAsia="宋体" w:hint="default"/>
                <w:b/>
                <w:bCs/>
                <w:w w:val="99"/>
                <w:sz w:val="18"/>
                <w:szCs w:val="18"/>
              </w:rPr>
              <w:t> </w:t>
            </w:r>
            <w:r>
              <w:rPr>
                <w:rFonts w:ascii="宋体" w:hAnsi="宋体" w:cs="宋体" w:eastAsia="宋体" w:hint="default"/>
                <w:b/>
                <w:bCs/>
                <w:sz w:val="18"/>
                <w:szCs w:val="18"/>
              </w:rPr>
              <w:t>入金额</w:t>
            </w:r>
            <w:r>
              <w:rPr>
                <w:rFonts w:ascii="宋体" w:hAnsi="宋体" w:cs="宋体" w:eastAsia="宋体" w:hint="default"/>
                <w:sz w:val="18"/>
                <w:szCs w:val="18"/>
              </w:rPr>
            </w:r>
          </w:p>
        </w:tc>
        <w:tc>
          <w:tcPr>
            <w:tcW w:w="11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367" w:right="365"/>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1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366" w:right="365"/>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4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00" w:lineRule="auto" w:before="20"/>
              <w:ind w:left="430" w:right="44" w:hanging="387"/>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w:t>
            </w:r>
            <w:r>
              <w:rPr>
                <w:rFonts w:ascii="宋体" w:hAnsi="宋体" w:cs="宋体" w:eastAsia="宋体" w:hint="default"/>
                <w:b/>
                <w:bCs/>
                <w:w w:val="99"/>
                <w:sz w:val="18"/>
                <w:szCs w:val="18"/>
              </w:rPr>
              <w:t> </w:t>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353" w:hRule="exact"/>
        </w:trPr>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榕基移动应用服务平台</w:t>
            </w:r>
          </w:p>
        </w:tc>
        <w:tc>
          <w:tcPr>
            <w:tcW w:w="852" w:type="dxa"/>
            <w:tcBorders>
              <w:top w:val="single" w:sz="8" w:space="0" w:color="000000"/>
              <w:left w:val="single" w:sz="8" w:space="0" w:color="000000"/>
              <w:bottom w:val="single" w:sz="8" w:space="0" w:color="000000"/>
              <w:right w:val="single" w:sz="8" w:space="0" w:color="000000"/>
            </w:tcBorders>
          </w:tcPr>
          <w:p>
            <w:pPr/>
          </w:p>
        </w:tc>
        <w:tc>
          <w:tcPr>
            <w:tcW w:w="770" w:type="dxa"/>
            <w:tcBorders>
              <w:top w:val="single" w:sz="8" w:space="0" w:color="000000"/>
              <w:left w:val="single" w:sz="8" w:space="0" w:color="000000"/>
              <w:bottom w:val="single" w:sz="8" w:space="0" w:color="000000"/>
              <w:right w:val="single" w:sz="8" w:space="0" w:color="000000"/>
            </w:tcBorders>
          </w:tcPr>
          <w:p>
            <w:pPr/>
          </w:p>
        </w:tc>
        <w:tc>
          <w:tcPr>
            <w:tcW w:w="1528"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48,000.00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28,000.00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年国家物联网发展专项补助金</w:t>
            </w:r>
          </w:p>
        </w:tc>
        <w:tc>
          <w:tcPr>
            <w:tcW w:w="852" w:type="dxa"/>
            <w:tcBorders>
              <w:top w:val="single" w:sz="8" w:space="0" w:color="000000"/>
              <w:left w:val="single" w:sz="8" w:space="0" w:color="000000"/>
              <w:bottom w:val="single" w:sz="8" w:space="0" w:color="000000"/>
              <w:right w:val="single" w:sz="8" w:space="0" w:color="000000"/>
            </w:tcBorders>
          </w:tcPr>
          <w:p>
            <w:pPr/>
          </w:p>
        </w:tc>
        <w:tc>
          <w:tcPr>
            <w:tcW w:w="770" w:type="dxa"/>
            <w:tcBorders>
              <w:top w:val="single" w:sz="8" w:space="0" w:color="000000"/>
              <w:left w:val="single" w:sz="8" w:space="0" w:color="000000"/>
              <w:bottom w:val="single" w:sz="8" w:space="0" w:color="000000"/>
              <w:right w:val="single" w:sz="8" w:space="0" w:color="000000"/>
            </w:tcBorders>
          </w:tcPr>
          <w:p>
            <w:pPr/>
          </w:p>
        </w:tc>
        <w:tc>
          <w:tcPr>
            <w:tcW w:w="1528"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2,420,000.00</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2,420,000.00</w:t>
            </w:r>
          </w:p>
        </w:tc>
        <w:tc>
          <w:tcPr>
            <w:tcW w:w="14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27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852" w:type="dxa"/>
            <w:tcBorders>
              <w:top w:val="single" w:sz="8" w:space="0" w:color="000000"/>
              <w:left w:val="single" w:sz="8" w:space="0" w:color="000000"/>
              <w:bottom w:val="single" w:sz="8" w:space="0" w:color="000000"/>
              <w:right w:val="single" w:sz="8" w:space="0" w:color="000000"/>
            </w:tcBorders>
          </w:tcPr>
          <w:p>
            <w:pPr/>
          </w:p>
        </w:tc>
        <w:tc>
          <w:tcPr>
            <w:tcW w:w="7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b/>
                <w:w w:val="99"/>
                <w:sz w:val="18"/>
              </w:rPr>
              <w:t> </w:t>
            </w:r>
            <w:r>
              <w:rPr>
                <w:rFonts w:ascii="宋体"/>
                <w:sz w:val="18"/>
              </w:rPr>
            </w:r>
          </w:p>
        </w:tc>
        <w:tc>
          <w:tcPr>
            <w:tcW w:w="1528" w:type="dxa"/>
            <w:tcBorders>
              <w:top w:val="single" w:sz="8" w:space="0" w:color="000000"/>
              <w:left w:val="single" w:sz="8" w:space="0" w:color="000000"/>
              <w:bottom w:val="single" w:sz="8" w:space="0" w:color="000000"/>
              <w:right w:val="single" w:sz="8" w:space="0" w:color="000000"/>
            </w:tcBorders>
          </w:tcPr>
          <w:p>
            <w:pP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2,448,000.00</w:t>
            </w:r>
            <w:r>
              <w:rPr>
                <w:rFonts w:ascii="Times New Roman"/>
                <w:spacing w:val="-1"/>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2,448,000.00</w:t>
            </w:r>
            <w:r>
              <w:rPr>
                <w:rFonts w:ascii="Times New Roman"/>
                <w:spacing w:val="-1"/>
                <w:sz w:val="18"/>
              </w:rPr>
            </w:r>
          </w:p>
        </w:tc>
        <w:tc>
          <w:tcPr>
            <w:tcW w:w="1424"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短期应付债券的增减变动：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798"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98"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软件股份</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798"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度第一期</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0"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2015/02/1</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1-2016/02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51,188,45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5.58</w:t>
            </w:r>
          </w:p>
        </w:tc>
      </w:tr>
      <w:tr>
        <w:trPr>
          <w:trHeight w:val="308" w:hRule="exact"/>
        </w:trPr>
        <w:tc>
          <w:tcPr>
            <w:tcW w:w="798"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短期融资</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98"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3,107,160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704"/>
        <w:jc w:val="left"/>
      </w:pPr>
      <w:r>
        <w:rPr/>
        <w:t>其他说明：</w:t>
      </w:r>
    </w:p>
    <w:p>
      <w:pPr>
        <w:pStyle w:val="BodyText"/>
        <w:spacing w:line="300" w:lineRule="auto" w:before="116"/>
        <w:ind w:left="153" w:right="131" w:firstLine="420"/>
        <w:jc w:val="left"/>
      </w:pP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日发行福建榕基软件股份有限公司</w:t>
      </w:r>
      <w:r>
        <w:rPr>
          <w:rFonts w:ascii="Times New Roman" w:hAnsi="Times New Roman" w:cs="Times New Roman" w:eastAsia="Times New Roman" w:hint="default"/>
        </w:rPr>
        <w:t>2015</w:t>
      </w:r>
      <w:r>
        <w:rPr/>
        <w:t>年度第一期短期融资券（</w:t>
      </w:r>
      <w:r>
        <w:rPr>
          <w:rFonts w:ascii="Times New Roman" w:hAnsi="Times New Roman" w:cs="Times New Roman" w:eastAsia="Times New Roman" w:hint="default"/>
        </w:rPr>
        <w:t>15</w:t>
      </w:r>
      <w:r>
        <w:rPr/>
        <w:t>闽榕基</w:t>
      </w:r>
      <w:r>
        <w:rPr>
          <w:rFonts w:ascii="Times New Roman" w:hAnsi="Times New Roman" w:cs="Times New Roman" w:eastAsia="Times New Roman" w:hint="default"/>
        </w:rPr>
        <w:t>CP001</w:t>
      </w:r>
      <w:r>
        <w:rPr/>
        <w:t>），发行金额人 民币</w:t>
      </w:r>
      <w:r>
        <w:rPr>
          <w:rFonts w:ascii="Times New Roman" w:hAnsi="Times New Roman" w:cs="Times New Roman" w:eastAsia="Times New Roman" w:hint="default"/>
        </w:rPr>
        <w:t>5,000.00</w:t>
      </w:r>
      <w:r>
        <w:rPr/>
        <w:t>万元，期限</w:t>
      </w:r>
      <w:r>
        <w:rPr>
          <w:rFonts w:ascii="Times New Roman" w:hAnsi="Times New Roman" w:cs="Times New Roman" w:eastAsia="Times New Roman" w:hint="default"/>
        </w:rPr>
        <w:t>365</w:t>
      </w:r>
      <w:r>
        <w:rPr/>
        <w:t>天，票面利率</w:t>
      </w:r>
      <w:r>
        <w:rPr>
          <w:rFonts w:ascii="Times New Roman" w:hAnsi="Times New Roman" w:cs="Times New Roman" w:eastAsia="Times New Roman" w:hint="default"/>
        </w:rPr>
        <w:t>7.00%</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日，本公司完成了该期短期融资券的兑付，本息合计人民币 </w:t>
      </w:r>
      <w:r>
        <w:rPr>
          <w:rFonts w:ascii="Times New Roman" w:hAnsi="Times New Roman" w:cs="Times New Roman" w:eastAsia="Times New Roman" w:hint="default"/>
        </w:rPr>
        <w:t>5,350.00</w:t>
      </w:r>
      <w:r>
        <w:rPr/>
        <w:t>万元。</w:t>
      </w:r>
    </w:p>
    <w:p>
      <w:pPr>
        <w:spacing w:after="0" w:line="30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3" w:right="7611"/>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6531"/>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704"/>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704"/>
        <w:jc w:val="left"/>
      </w:pPr>
      <w:r>
        <w:rPr/>
        <w:t>其他说明：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t>设定受益计划义务现值：</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704"/>
        <w:jc w:val="left"/>
      </w:pPr>
      <w:r>
        <w:rPr/>
        <w:t>计划资产：</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704"/>
        <w:jc w:val="left"/>
      </w:pPr>
      <w:r>
        <w:rPr/>
        <w:t>设定受益计划净负债（净资产）</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3" w:right="257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3"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704"/>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37,310,277.77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6,732,854.71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35,633,423.06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37,310,277.77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6,732,854.71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35,633,423.06</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t>涉及政府补助的项目：</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榕基马鞍山智慧 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31,056,500.00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31,056,500.00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首届福州市政府质 量奖奖励金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年国家物联网 发展专项补助金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年第一批战略 性新兴产业专项经 费</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第三批产业发展专 项资金</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科技计划项目经费</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444,444.44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444,444.44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年福建省软件 重大专项及名牌奖 励</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福建省战略性新兴 产业技术开发和产 业化项目</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年福建省专利 技术实施与产业化 项目</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榕基移动应用服务 平台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 二批软件产业发展 专项资金的通知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423,076.94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576,923.06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37,310,277.77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4,284,854.71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35,633,423.06</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2"/>
        <w:jc w:val="left"/>
      </w:pPr>
      <w:r>
        <w:rPr>
          <w:spacing w:val="-4"/>
          <w:w w:val="100"/>
        </w:rPr>
        <w:t>说明：（</w:t>
      </w:r>
      <w:r>
        <w:rPr>
          <w:rFonts w:ascii="Times New Roman" w:hAnsi="Times New Roman" w:cs="Times New Roman" w:eastAsia="Times New Roman" w:hint="default"/>
          <w:spacing w:val="-4"/>
          <w:w w:val="100"/>
        </w:rPr>
        <w:t>1</w:t>
      </w:r>
      <w:r>
        <w:rPr>
          <w:spacing w:val="-4"/>
          <w:w w:val="100"/>
        </w:rPr>
        <w:t>）子公司马鞍山软件信息公司收到</w:t>
      </w:r>
      <w:r>
        <w:rPr>
          <w:rFonts w:ascii="Times New Roman" w:hAnsi="Times New Roman" w:cs="Times New Roman" w:eastAsia="Times New Roman" w:hint="default"/>
          <w:spacing w:val="-4"/>
          <w:w w:val="100"/>
        </w:rPr>
        <w:t>“</w:t>
      </w:r>
      <w:r>
        <w:rPr>
          <w:spacing w:val="-4"/>
          <w:w w:val="100"/>
        </w:rPr>
        <w:t>榕基马鞍山智慧园</w:t>
      </w:r>
      <w:r>
        <w:rPr>
          <w:rFonts w:ascii="Times New Roman" w:hAnsi="Times New Roman" w:cs="Times New Roman" w:eastAsia="Times New Roman" w:hint="default"/>
          <w:spacing w:val="-4"/>
          <w:w w:val="100"/>
        </w:rPr>
        <w:t>”</w:t>
      </w:r>
      <w:r>
        <w:rPr>
          <w:spacing w:val="-4"/>
          <w:w w:val="100"/>
        </w:rPr>
        <w:t>项目补助资金</w:t>
      </w:r>
      <w:r>
        <w:rPr>
          <w:rFonts w:ascii="Times New Roman" w:hAnsi="Times New Roman" w:cs="Times New Roman" w:eastAsia="Times New Roman" w:hint="default"/>
          <w:spacing w:val="-4"/>
          <w:w w:val="100"/>
        </w:rPr>
        <w:t>31,056,500.00</w:t>
      </w:r>
      <w:r>
        <w:rPr>
          <w:spacing w:val="-4"/>
          <w:w w:val="100"/>
        </w:rPr>
        <w:t>元，与资产相关，其对应资产</w:t>
      </w:r>
      <w:r>
        <w:rPr>
          <w:rFonts w:ascii="Times New Roman" w:hAnsi="Times New Roman" w:cs="Times New Roman" w:eastAsia="Times New Roman" w:hint="default"/>
          <w:spacing w:val="-4"/>
          <w:w w:val="100"/>
        </w:rPr>
        <w:t>“</w:t>
      </w:r>
      <w:r>
        <w:rPr>
          <w:spacing w:val="-4"/>
          <w:w w:val="100"/>
        </w:rPr>
        <w:t>榕</w:t>
      </w:r>
      <w:r>
        <w:rPr>
          <w:spacing w:val="-33"/>
          <w:w w:val="100"/>
        </w:rPr>
        <w:t> </w:t>
      </w:r>
      <w:r>
        <w:rPr/>
        <w:t>基马鞍山智慧园</w:t>
      </w:r>
      <w:r>
        <w:rPr>
          <w:rFonts w:ascii="Times New Roman" w:hAnsi="Times New Roman" w:cs="Times New Roman" w:eastAsia="Times New Roman" w:hint="default"/>
        </w:rPr>
        <w:t>”</w:t>
      </w:r>
      <w:r>
        <w:rPr/>
        <w:t>尚未建成，故递延收益尚未摊销。</w:t>
      </w:r>
    </w:p>
    <w:p>
      <w:pPr>
        <w:spacing w:line="240" w:lineRule="auto" w:before="7"/>
        <w:rPr>
          <w:rFonts w:ascii="宋体" w:hAnsi="宋体" w:cs="宋体" w:eastAsia="宋体" w:hint="default"/>
          <w:sz w:val="17"/>
          <w:szCs w:val="17"/>
        </w:rPr>
      </w:pPr>
    </w:p>
    <w:p>
      <w:pPr>
        <w:pStyle w:val="BodyText"/>
        <w:spacing w:line="240" w:lineRule="auto"/>
        <w:ind w:left="604" w:right="704"/>
        <w:jc w:val="left"/>
      </w:pPr>
      <w:r>
        <w:rPr/>
        <w:t>（</w:t>
      </w:r>
      <w:r>
        <w:rPr>
          <w:rFonts w:ascii="Times New Roman" w:hAnsi="Times New Roman" w:cs="Times New Roman" w:eastAsia="Times New Roman" w:hint="default"/>
        </w:rPr>
        <w:t>2</w:t>
      </w:r>
      <w:r>
        <w:rPr/>
        <w:t>）本期发生额中</w:t>
      </w: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系重分类至一年内到期的非流动负债。</w:t>
      </w:r>
    </w:p>
    <w:p>
      <w:pPr>
        <w:spacing w:line="240" w:lineRule="auto" w:before="11"/>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622,200,000.00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622,200,000.00</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left="153" w:right="3651"/>
        <w:jc w:val="left"/>
      </w:pPr>
      <w:r>
        <w:rPr/>
        <w:t>其他权益工具本期增减变动情况、变动原因说明，以及相关会计处理的依据： 其他说明：</w:t>
      </w:r>
    </w:p>
    <w:p>
      <w:pPr>
        <w:spacing w:line="240" w:lineRule="auto" w:before="1"/>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363,642,750.88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363,642,750.88</w:t>
            </w:r>
          </w:p>
        </w:tc>
      </w:tr>
    </w:tbl>
    <w:p>
      <w:pPr>
        <w:pStyle w:val="BodyText"/>
        <w:spacing w:line="240" w:lineRule="auto" w:before="51"/>
        <w:ind w:right="704"/>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704"/>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4892"/>
        <w:gridCol w:w="796"/>
      </w:tblGrid>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-1,495,486.17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3,462,997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-1,495,486.17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3,462,997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-1,495,486.17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4,958,483.8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3,462,997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其他说明，包括对现金流量套期损益的有效部分转为被套期项目初始确认金额调整：</w:t>
      </w:r>
    </w:p>
    <w:p>
      <w:pPr>
        <w:spacing w:line="240" w:lineRule="auto" w:before="0"/>
        <w:rPr>
          <w:rFonts w:ascii="宋体" w:hAnsi="宋体" w:cs="宋体" w:eastAsia="宋体" w:hint="default"/>
          <w:sz w:val="15"/>
          <w:szCs w:val="15"/>
        </w:rPr>
      </w:pPr>
    </w:p>
    <w:p>
      <w:pPr>
        <w:pStyle w:val="BodyText"/>
        <w:spacing w:line="300" w:lineRule="auto"/>
        <w:ind w:right="0"/>
        <w:jc w:val="left"/>
      </w:pPr>
      <w:r>
        <w:rPr/>
        <w:t>说明：其他综合收益的税后净额本期发生额为</w:t>
      </w:r>
      <w:r>
        <w:rPr>
          <w:rFonts w:ascii="Times New Roman" w:hAnsi="Times New Roman" w:cs="Times New Roman" w:eastAsia="Times New Roman" w:hint="default"/>
        </w:rPr>
        <w:t>4,958,483.89</w:t>
      </w:r>
      <w:r>
        <w:rPr/>
        <w:t>元。其中，归属于母公司股东的其他综合收益的税后净额本期发</w:t>
      </w:r>
      <w:r>
        <w:rPr>
          <w:spacing w:val="-51"/>
        </w:rPr>
        <w:t> </w:t>
      </w:r>
      <w:r>
        <w:rPr>
          <w:spacing w:val="-51"/>
        </w:rPr>
      </w:r>
      <w:r>
        <w:rPr/>
        <w:t>生额为</w:t>
      </w:r>
      <w:r>
        <w:rPr>
          <w:rFonts w:ascii="Times New Roman" w:hAnsi="Times New Roman" w:cs="Times New Roman" w:eastAsia="Times New Roman" w:hint="default"/>
        </w:rPr>
        <w:t>4,958,483.89</w:t>
      </w:r>
      <w:r>
        <w:rPr/>
        <w:t>元。</w:t>
      </w:r>
    </w:p>
    <w:p>
      <w:pPr>
        <w:spacing w:line="240" w:lineRule="auto" w:before="1"/>
        <w:rPr>
          <w:rFonts w:ascii="宋体" w:hAnsi="宋体" w:cs="宋体" w:eastAsia="宋体" w:hint="default"/>
          <w:sz w:val="22"/>
          <w:szCs w:val="22"/>
        </w:rPr>
      </w:pPr>
    </w:p>
    <w:p>
      <w:pPr>
        <w:pStyle w:val="Heading3"/>
        <w:spacing w:line="240" w:lineRule="auto"/>
        <w:ind w:right="704"/>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704"/>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53,377,956.18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1,352,359.05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54,730,315.23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53,377,956.18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1,352,359.05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54,730,315.23</w:t>
            </w:r>
          </w:p>
        </w:tc>
      </w:tr>
    </w:tbl>
    <w:p>
      <w:pPr>
        <w:pStyle w:val="BodyText"/>
        <w:spacing w:line="439" w:lineRule="auto" w:before="51"/>
        <w:ind w:left="153" w:right="4150"/>
        <w:jc w:val="left"/>
      </w:pPr>
      <w:r>
        <w:rPr/>
        <w:t>盈余公积说明，包括本期增减变动情况、变动原因说明： 本期盈余公积增加系按母公司</w:t>
      </w:r>
      <w:r>
        <w:rPr>
          <w:spacing w:val="-19"/>
        </w:rPr>
        <w:t> </w:t>
      </w:r>
      <w:r>
        <w:rPr>
          <w:rFonts w:ascii="Times New Roman" w:hAnsi="Times New Roman" w:cs="Times New Roman" w:eastAsia="Times New Roman" w:hint="default"/>
        </w:rPr>
        <w:t>2015</w:t>
      </w:r>
      <w:r>
        <w:rPr/>
        <w:t>年净利润的</w:t>
      </w:r>
      <w:r>
        <w:rPr>
          <w:rFonts w:ascii="Times New Roman" w:hAnsi="Times New Roman" w:cs="Times New Roman" w:eastAsia="Times New Roman" w:hint="default"/>
        </w:rPr>
        <w:t>10%</w:t>
      </w:r>
      <w:r>
        <w:rPr/>
        <w:t>计提法定盈余公积。</w:t>
      </w:r>
    </w:p>
    <w:p>
      <w:pPr>
        <w:spacing w:line="240" w:lineRule="auto" w:before="3"/>
        <w:rPr>
          <w:rFonts w:ascii="宋体" w:hAnsi="宋体" w:cs="宋体" w:eastAsia="宋体" w:hint="default"/>
          <w:sz w:val="13"/>
          <w:szCs w:val="13"/>
        </w:rPr>
      </w:pPr>
    </w:p>
    <w:p>
      <w:pPr>
        <w:pStyle w:val="Heading3"/>
        <w:spacing w:line="240" w:lineRule="auto"/>
        <w:ind w:right="704"/>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318,114,413.56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317,559,442.71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15,830,627.57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22,250,622.89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1,352,359.05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6,140,652.04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9,333,000.00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15,555,000.00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323,259,682.08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318,114,413.56</w:t>
            </w:r>
          </w:p>
        </w:tc>
      </w:tr>
    </w:tbl>
    <w:p>
      <w:pPr>
        <w:pStyle w:val="BodyText"/>
        <w:spacing w:line="240" w:lineRule="auto" w:before="51"/>
        <w:ind w:right="704"/>
        <w:jc w:val="left"/>
      </w:pPr>
      <w:r>
        <w:rPr/>
        <w:t>调整期初未分配利润明细：</w:t>
      </w:r>
    </w:p>
    <w:p>
      <w:pPr>
        <w:pStyle w:val="BodyText"/>
        <w:spacing w:line="240" w:lineRule="auto" w:before="116"/>
        <w:ind w:left="153" w:right="704"/>
        <w:jc w:val="left"/>
      </w:pPr>
      <w:r>
        <w:rPr/>
        <w:t>（</w:t>
      </w:r>
      <w:r>
        <w:rPr>
          <w:rFonts w:ascii="Times New Roman" w:hAnsi="Times New Roman" w:cs="Times New Roman" w:eastAsia="Times New Roman" w:hint="default"/>
        </w:rPr>
        <w:t>1</w:t>
      </w:r>
      <w:r>
        <w:rPr/>
        <w:t>）由于《企业会计准则》及其相关新规定进行追溯调整，影响期初未分配利润元。</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704"/>
        <w:jc w:val="left"/>
      </w:pPr>
      <w:r>
        <w:rPr/>
        <w:t>（</w:t>
      </w: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704"/>
        <w:jc w:val="left"/>
      </w:pPr>
      <w:r>
        <w:rPr/>
        <w:t>（</w:t>
      </w: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3" w:right="704"/>
        <w:jc w:val="left"/>
      </w:pPr>
      <w:r>
        <w:rPr/>
        <w:t>（</w:t>
      </w: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153" w:right="704"/>
        <w:jc w:val="left"/>
      </w:pPr>
      <w:r>
        <w:rPr/>
        <w:t>（</w:t>
      </w: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623,602,054.84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418,038,362.25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598,305,165.28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424,922,378.38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623,602,054.84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418,038,362.25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598,305,165.28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424,922,378.38</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77,315.66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436,345.75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1,241,707.76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1,296,358.29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925,342.59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920,419.45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2,244,366.01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2,653,123.49</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16,320,902.36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13,817,684.53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8,050,525.50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10,848,224.59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5,299,843.89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6,498,392.68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2,315,333.84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3,481,417.41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4,102,222.28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3,150,482.65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1,451,900.99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1,855,133.61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2,990,899.87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1,828,934.21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631,482.03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716,306.31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276,153.65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572,133.98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5,482,830.88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4,360,296.30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46,922,095.29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47,129,006.27</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56,763,305.03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38,266,075.33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37,657,579.44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34,761,368.96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30,326,689.68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27,462,994.08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11,223,910.86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9,556,918.80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7,849,074.20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9,197,200.84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10,326,241.09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8,273,106.30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8,140,300.38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7,179,177.23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5,440,537.31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3,984,161.83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3,483,189.05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3,315,863.23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1,516,915.33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1,335,704.01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8,201,898.88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6,036,356.82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180,929,641.25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149,368,927.43</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5,611,237.63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99,555.56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3,684,977.85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6,788,598.51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-39,858.85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360,128.36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286,448.53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2,388,015.88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-6,442,453.27</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1,396,629.22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3,950,273.99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81,655.51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1,410,756.33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4,031,929.50</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17,358,350.58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12,252,852.71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2,039,970.72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14,208,765.40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24,293,468.96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33,607,086.70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36,546,321.67</w:t>
            </w:r>
          </w:p>
        </w:tc>
      </w:tr>
    </w:tbl>
    <w:p>
      <w:pPr>
        <w:pStyle w:val="BodyText"/>
        <w:spacing w:line="439" w:lineRule="auto" w:before="51"/>
        <w:ind w:right="6190"/>
        <w:jc w:val="left"/>
      </w:pPr>
      <w:r>
        <w:rPr/>
        <w:t>其他说明： 注：</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系购买银行短期理财产品的收益。</w:t>
      </w:r>
    </w:p>
    <w:p>
      <w:pPr>
        <w:spacing w:line="240" w:lineRule="auto" w:before="3"/>
        <w:rPr>
          <w:rFonts w:ascii="宋体" w:hAnsi="宋体" w:cs="宋体" w:eastAsia="宋体" w:hint="default"/>
          <w:sz w:val="13"/>
          <w:szCs w:val="13"/>
        </w:rPr>
      </w:pPr>
    </w:p>
    <w:p>
      <w:pPr>
        <w:pStyle w:val="Heading3"/>
        <w:spacing w:line="240" w:lineRule="auto"/>
        <w:ind w:right="704"/>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9,490,218.89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10,927,063.53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5,822,237.71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15,383.42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561.36</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9,490,780.25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10,942,446.95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5,822,799.07</w:t>
            </w:r>
          </w:p>
        </w:tc>
      </w:tr>
    </w:tbl>
    <w:p>
      <w:pPr>
        <w:pStyle w:val="BodyText"/>
        <w:spacing w:line="240" w:lineRule="auto" w:before="51"/>
        <w:ind w:right="704"/>
        <w:jc w:val="left"/>
      </w:pPr>
      <w:r>
        <w:rPr/>
        <w:t>计入当期损益的政府补助：</w:t>
      </w:r>
    </w:p>
    <w:p>
      <w:pPr>
        <w:pStyle w:val="BodyText"/>
        <w:spacing w:line="240" w:lineRule="auto" w:before="116"/>
        <w:ind w:left="0" w:right="151"/>
        <w:jc w:val="right"/>
      </w:pPr>
      <w:r>
        <w:rPr/>
        <w:pict>
          <v:group style="position:absolute;margin-left:269.640015pt;margin-top:59.032322pt;width:52.7pt;height:100.1pt;mso-position-horizontal-relative:page;mso-position-vertical-relative:paragraph;z-index:-1142200" coordorigin="5393,1181" coordsize="1054,2002">
            <v:group style="position:absolute;left:5393;top:1181;width:1054;height:1329" coordorigin="5393,1181" coordsize="1054,1329">
              <v:shape style="position:absolute;left:5393;top:1181;width:1054;height:1329" coordorigin="5393,1181" coordsize="1054,1329" path="m5393,2509l6446,2509,6446,1181,5393,1181,5393,2509xe" filled="true" fillcolor="#ffffff" stroked="false">
                <v:path arrowok="t"/>
                <v:fill type="solid"/>
              </v:shape>
            </v:group>
            <v:group style="position:absolute;left:5416;top:1649;width:1007;height:393" coordorigin="5416,1649" coordsize="1007,393">
              <v:shape style="position:absolute;left:5416;top:1649;width:1007;height:393" coordorigin="5416,1649" coordsize="1007,393" path="m5416,2041l6422,2041,6422,1649,5416,1649,5416,2041xe" filled="true" fillcolor="#ffffff" stroked="false">
                <v:path arrowok="t"/>
                <v:fill type="solid"/>
              </v:shape>
            </v:group>
            <v:group style="position:absolute;left:5393;top:2519;width:1054;height:664" coordorigin="5393,2519" coordsize="1054,664">
              <v:shape style="position:absolute;left:5393;top:2519;width:1054;height:664" coordorigin="5393,2519" coordsize="1054,664" path="m5393,3182l6446,3182,6446,2519,5393,2519,5393,3182xe" filled="true" fillcolor="#ffffff" stroked="false">
                <v:path arrowok="t"/>
                <v:fill type="solid"/>
              </v:shape>
            </v:group>
            <v:group style="position:absolute;left:5416;top:2654;width:1007;height:393" coordorigin="5416,2654" coordsize="1007,393">
              <v:shape style="position:absolute;left:5416;top:2654;width:1007;height:393" coordorigin="5416,2654" coordsize="1007,393" path="m5416,3047l6422,3047,6422,2654,5416,2654,5416,3047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物联网发展 专项补助金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当地政府机 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促进马鞍山 市软件产业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当地政府机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4"/>
        <w:ind w:left="422" w:right="1639"/>
        <w:jc w:val="center"/>
      </w:pPr>
      <w:r>
        <w:rPr/>
        <w:pict>
          <v:shape style="position:absolute;margin-left:56.700005pt;margin-top:-34.328026pt;width:212.7pt;height:63.9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3"/>
                  </w:tblGrid>
                  <w:tr>
                    <w:trPr>
                      <w:trHeight w:val="67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center"/>
                          <w:rPr>
                            <w:rFonts w:ascii="宋体" w:hAnsi="宋体" w:cs="宋体" w:eastAsia="宋体" w:hint="default"/>
                            <w:sz w:val="18"/>
                            <w:szCs w:val="18"/>
                          </w:rPr>
                        </w:pPr>
                        <w:r>
                          <w:rPr>
                            <w:rFonts w:ascii="宋体" w:hAnsi="宋体" w:cs="宋体" w:eastAsia="宋体" w:hint="default"/>
                            <w:sz w:val="18"/>
                            <w:szCs w:val="18"/>
                          </w:rPr>
                          <w:t>发展奖励款</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18"/>
                            <w:szCs w:val="18"/>
                          </w:rPr>
                        </w:pPr>
                        <w:r>
                          <w:rPr>
                            <w:rFonts w:ascii="宋体" w:hAnsi="宋体" w:cs="宋体" w:eastAsia="宋体" w:hint="default"/>
                            <w:sz w:val="18"/>
                            <w:szCs w:val="18"/>
                          </w:rPr>
                          <w:t>关</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7" w:right="133"/>
                          <w:jc w:val="left"/>
                          <w:rPr>
                            <w:rFonts w:ascii="宋体" w:hAnsi="宋体" w:cs="宋体" w:eastAsia="宋体" w:hint="default"/>
                            <w:sz w:val="18"/>
                            <w:szCs w:val="18"/>
                          </w:rPr>
                        </w:pPr>
                        <w:r>
                          <w:rPr>
                            <w:rFonts w:ascii="宋体" w:hAnsi="宋体" w:cs="宋体" w:eastAsia="宋体" w:hint="default"/>
                            <w:sz w:val="18"/>
                            <w:szCs w:val="18"/>
                          </w:rPr>
                          <w:t>改造等获得 的补助</w:t>
                        </w:r>
                      </w:p>
                    </w:tc>
                  </w:tr>
                  <w:tr>
                    <w:trPr>
                      <w:trHeight w:val="60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8"/>
                          <w:jc w:val="center"/>
                          <w:rPr>
                            <w:rFonts w:ascii="宋体" w:hAnsi="宋体" w:cs="宋体" w:eastAsia="宋体" w:hint="default"/>
                            <w:sz w:val="18"/>
                            <w:szCs w:val="18"/>
                          </w:rPr>
                        </w:pPr>
                        <w:r>
                          <w:rPr>
                            <w:rFonts w:ascii="宋体" w:hAnsi="宋体" w:cs="宋体" w:eastAsia="宋体" w:hint="default"/>
                            <w:sz w:val="18"/>
                            <w:szCs w:val="18"/>
                          </w:rPr>
                          <w:t>科技计划项</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当地政府机</w:t>
                        </w: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0" w:lineRule="exact" w:before="18"/>
                          <w:ind w:left="27" w:right="133"/>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r>
                </w:tbl>
                <w:p>
                  <w:pPr/>
                </w:p>
              </w:txbxContent>
            </v:textbox>
            <w10:wrap type="none"/>
          </v:shape>
        </w:pict>
      </w:r>
      <w:r>
        <w:rPr/>
        <w:t>、</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7" w:footer="982" w:top="1060" w:bottom="1180" w:left="980" w:right="980"/>
        </w:sectPr>
      </w:pPr>
    </w:p>
    <w:p>
      <w:pPr>
        <w:spacing w:line="240" w:lineRule="auto" w:before="4"/>
        <w:rPr>
          <w:rFonts w:ascii="宋体" w:hAnsi="宋体" w:cs="宋体" w:eastAsia="宋体" w:hint="default"/>
          <w:sz w:val="15"/>
          <w:szCs w:val="15"/>
        </w:rPr>
      </w:pPr>
    </w:p>
    <w:p>
      <w:pPr>
        <w:pStyle w:val="BodyText"/>
        <w:tabs>
          <w:tab w:pos="1247" w:val="left" w:leader="none"/>
        </w:tabs>
        <w:spacing w:line="240" w:lineRule="auto"/>
        <w:ind w:left="181" w:right="-20"/>
        <w:jc w:val="left"/>
      </w:pPr>
      <w:r>
        <w:rPr/>
        <w:t>目经费</w:t>
        <w:tab/>
        <w:t>关</w:t>
      </w:r>
    </w:p>
    <w:p>
      <w:pPr>
        <w:spacing w:line="195" w:lineRule="exact"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补助</w:t>
      </w:r>
    </w:p>
    <w:p>
      <w:pPr>
        <w:pStyle w:val="BodyText"/>
        <w:spacing w:line="195" w:lineRule="exact"/>
        <w:ind w:left="1243" w:right="-20"/>
        <w:jc w:val="left"/>
      </w:pPr>
      <w:r>
        <w:rPr/>
        <w:t>改造等获得</w:t>
      </w:r>
    </w:p>
    <w:p>
      <w:pPr>
        <w:pStyle w:val="BodyText"/>
        <w:spacing w:line="240" w:lineRule="auto" w:before="77"/>
        <w:ind w:left="1243" w:right="-20"/>
        <w:jc w:val="left"/>
      </w:pPr>
      <w:r>
        <w:rPr/>
        <w:t>的补助</w:t>
      </w:r>
    </w:p>
    <w:p>
      <w:pPr>
        <w:pStyle w:val="BodyText"/>
        <w:tabs>
          <w:tab w:pos="1186" w:val="left" w:leader="none"/>
          <w:tab w:pos="2446" w:val="left" w:leader="none"/>
          <w:tab w:pos="3599" w:val="left" w:leader="none"/>
        </w:tabs>
        <w:spacing w:line="240" w:lineRule="auto" w:before="44"/>
        <w:ind w:left="123" w:right="0"/>
        <w:jc w:val="left"/>
      </w:pPr>
      <w:r>
        <w:rPr/>
        <w:br w:type="column"/>
      </w:r>
      <w:r>
        <w:rPr/>
        <w:t>是</w:t>
        <w:tab/>
        <w:t>是</w:t>
        <w:tab/>
      </w:r>
      <w:r>
        <w:rPr>
          <w:rFonts w:ascii="Times New Roman" w:hAnsi="Times New Roman" w:cs="Times New Roman" w:eastAsia="Times New Roman" w:hint="default"/>
        </w:rPr>
        <w:t>444,444.44</w:t>
        <w:tab/>
        <w:t>55,555.56</w:t>
      </w:r>
      <w:r>
        <w:rPr>
          <w:rFonts w:ascii="Times New Roman" w:hAnsi="Times New Roman" w:cs="Times New Roman" w:eastAsia="Times New Roman" w:hint="default"/>
          <w:spacing w:val="10"/>
        </w:rPr>
        <w:t> </w:t>
      </w:r>
      <w:r>
        <w:rPr/>
        <w:t>与资产相关</w:t>
      </w:r>
    </w:p>
    <w:p>
      <w:pPr>
        <w:spacing w:after="0" w:line="240" w:lineRule="auto"/>
        <w:jc w:val="left"/>
        <w:sectPr>
          <w:type w:val="continuous"/>
          <w:pgSz w:w="11910" w:h="16840"/>
          <w:pgMar w:top="1060" w:bottom="1180" w:left="980" w:right="980"/>
          <w:cols w:num="3" w:equalWidth="0">
            <w:col w:w="1428" w:space="701"/>
            <w:col w:w="2144" w:space="40"/>
            <w:col w:w="5637"/>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4" w:lineRule="auto" w:before="44"/>
        <w:ind w:left="181" w:right="-19"/>
        <w:jc w:val="left"/>
      </w:pPr>
      <w:r>
        <w:rPr/>
        <w:t>关于下达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 批软件产业 发展专项资 金的通知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81" w:right="0"/>
        <w:jc w:val="left"/>
      </w:pPr>
      <w:r>
        <w:rPr/>
        <w:t>当地政府机</w:t>
      </w:r>
    </w:p>
    <w:p>
      <w:pPr>
        <w:pStyle w:val="BodyText"/>
        <w:spacing w:line="156" w:lineRule="exact"/>
        <w:ind w:left="0" w:right="0"/>
        <w:jc w:val="right"/>
      </w:pPr>
      <w:r>
        <w:rPr/>
        <w:t>补助</w:t>
      </w:r>
    </w:p>
    <w:p>
      <w:pPr>
        <w:pStyle w:val="BodyText"/>
        <w:spacing w:line="196" w:lineRule="exact"/>
        <w:ind w:left="81" w:right="0"/>
        <w:jc w:val="left"/>
      </w:pPr>
      <w:r>
        <w:rPr/>
        <w:t>关</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124" w:lineRule="exact"/>
        <w:ind w:left="1244" w:right="0"/>
        <w:jc w:val="left"/>
      </w:pPr>
      <w:r>
        <w:rPr/>
        <w:t>是</w:t>
        <w:tab/>
        <w:t>是</w:t>
        <w:tab/>
      </w:r>
      <w:r>
        <w:rPr>
          <w:rFonts w:ascii="Times New Roman" w:hAnsi="Times New Roman" w:cs="Times New Roman" w:eastAsia="Times New Roman" w:hint="default"/>
        </w:rPr>
        <w:t>423,076.94</w:t>
        <w:tab/>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pStyle w:val="BodyText"/>
        <w:spacing w:line="316" w:lineRule="auto" w:before="110"/>
        <w:ind w:left="181" w:right="0"/>
        <w:jc w:val="both"/>
      </w:pPr>
      <w:r>
        <w:rPr/>
        <w:t>福州市公务 员关于发放 福州市获得 省首批海西 产业人才高</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196" w:lineRule="exact"/>
        <w:ind w:left="125" w:right="0"/>
        <w:jc w:val="left"/>
      </w:pPr>
      <w:r>
        <w:rPr/>
        <w:t>当地政府机</w:t>
      </w:r>
    </w:p>
    <w:p>
      <w:pPr>
        <w:pStyle w:val="BodyText"/>
        <w:spacing w:line="156" w:lineRule="exact"/>
        <w:ind w:left="0" w:right="0"/>
        <w:jc w:val="right"/>
      </w:pPr>
      <w:r>
        <w:rPr/>
        <w:t>奖励</w:t>
      </w:r>
    </w:p>
    <w:p>
      <w:pPr>
        <w:pStyle w:val="BodyText"/>
        <w:spacing w:line="171" w:lineRule="exact"/>
        <w:ind w:left="125" w:right="0"/>
        <w:jc w:val="left"/>
      </w:pPr>
      <w:r>
        <w:rPr/>
        <w:t>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310" w:lineRule="atLeast"/>
        <w:ind w:left="181" w:right="5472"/>
        <w:jc w:val="left"/>
      </w:pPr>
      <w:r>
        <w:rPr/>
        <w:t>因研究开发、 技术更新及</w:t>
      </w:r>
    </w:p>
    <w:p>
      <w:pPr>
        <w:pStyle w:val="BodyText"/>
        <w:tabs>
          <w:tab w:pos="2307" w:val="left" w:leader="none"/>
          <w:tab w:pos="3567" w:val="left" w:leader="none"/>
          <w:tab w:pos="5497" w:val="left" w:leader="none"/>
        </w:tabs>
        <w:spacing w:line="124" w:lineRule="exact"/>
        <w:ind w:left="1244" w:right="0"/>
        <w:jc w:val="left"/>
      </w:pPr>
      <w:r>
        <w:rPr/>
        <w:t>是</w:t>
        <w:tab/>
        <w:t>是</w:t>
        <w:tab/>
      </w:r>
      <w:r>
        <w:rPr>
          <w:rFonts w:ascii="Times New Roman" w:hAnsi="Times New Roman" w:cs="Times New Roman" w:eastAsia="Times New Roman" w:hint="default"/>
        </w:rPr>
        <w:t>400,000.00</w:t>
        <w:tab/>
      </w:r>
      <w:r>
        <w:rPr/>
        <w:t>与收益相关</w:t>
      </w:r>
    </w:p>
    <w:p>
      <w:pPr>
        <w:pStyle w:val="BodyText"/>
        <w:spacing w:line="164" w:lineRule="exact"/>
        <w:ind w:left="181" w:right="5472"/>
        <w:jc w:val="left"/>
      </w:pPr>
      <w:r>
        <w:rPr/>
        <w:t>改造等获得</w:t>
      </w:r>
    </w:p>
    <w:p>
      <w:pPr>
        <w:spacing w:after="0" w:line="164" w:lineRule="exact"/>
        <w:jc w:val="left"/>
        <w:sectPr>
          <w:type w:val="continuous"/>
          <w:pgSz w:w="11910" w:h="16840"/>
          <w:pgMar w:top="1060" w:bottom="1180" w:left="980" w:right="980"/>
          <w:cols w:num="3" w:equalWidth="0">
            <w:col w:w="1082" w:space="40"/>
            <w:col w:w="1549" w:space="520"/>
            <w:col w:w="6759"/>
          </w:cols>
        </w:sectPr>
      </w:pPr>
    </w:p>
    <w:p>
      <w:pPr>
        <w:pStyle w:val="BodyText"/>
        <w:spacing w:line="180" w:lineRule="exact"/>
        <w:ind w:left="181" w:right="0"/>
        <w:jc w:val="both"/>
      </w:pPr>
      <w:r>
        <w:rPr/>
        <w:t>地领军人才、</w:t>
      </w:r>
    </w:p>
    <w:p>
      <w:pPr>
        <w:pStyle w:val="BodyText"/>
        <w:spacing w:line="319" w:lineRule="auto" w:before="76"/>
        <w:ind w:left="181" w:right="178"/>
        <w:jc w:val="both"/>
      </w:pPr>
      <w:r>
        <w:rPr/>
        <w:t>海西创业英 才配套补助 经费的通知</w:t>
      </w:r>
    </w:p>
    <w:p>
      <w:pPr>
        <w:spacing w:before="101"/>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262" w:space="1929"/>
            <w:col w:w="6759"/>
          </w:cols>
        </w:sectPr>
      </w:pPr>
    </w:p>
    <w:p>
      <w:pPr>
        <w:spacing w:line="240" w:lineRule="auto" w:before="1"/>
        <w:rPr>
          <w:rFonts w:ascii="宋体" w:hAnsi="宋体" w:cs="宋体" w:eastAsia="宋体" w:hint="default"/>
          <w:sz w:val="20"/>
          <w:szCs w:val="20"/>
        </w:rPr>
      </w:pPr>
    </w:p>
    <w:p>
      <w:pPr>
        <w:pStyle w:val="BodyText"/>
        <w:spacing w:line="316" w:lineRule="auto"/>
        <w:ind w:left="181" w:right="0"/>
        <w:jc w:val="both"/>
      </w:pPr>
      <w:r>
        <w:rPr/>
        <w:t>第三批产业 发展专项资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spacing w:line="196" w:lineRule="exact"/>
        <w:ind w:left="125" w:right="0"/>
        <w:jc w:val="left"/>
      </w:pPr>
      <w:r>
        <w:rPr/>
        <w:t>当地政府机</w:t>
      </w:r>
    </w:p>
    <w:p>
      <w:pPr>
        <w:pStyle w:val="BodyText"/>
        <w:spacing w:line="156" w:lineRule="exact"/>
        <w:ind w:left="0" w:right="0"/>
        <w:jc w:val="right"/>
      </w:pPr>
      <w:r>
        <w:rPr/>
        <w:t>补助</w:t>
      </w:r>
    </w:p>
    <w:p>
      <w:pPr>
        <w:pStyle w:val="BodyText"/>
        <w:spacing w:line="196" w:lineRule="exact"/>
        <w:ind w:left="125" w:right="0"/>
        <w:jc w:val="left"/>
      </w:pPr>
      <w:r>
        <w:rPr/>
        <w:t>关</w:t>
      </w:r>
    </w:p>
    <w:p>
      <w:pPr>
        <w:pStyle w:val="BodyText"/>
        <w:spacing w:line="310" w:lineRule="atLeast" w:before="32"/>
        <w:ind w:left="181" w:right="5472"/>
        <w:jc w:val="left"/>
      </w:pPr>
      <w:r>
        <w:rPr/>
        <w:br w:type="column"/>
      </w:r>
      <w:r>
        <w:rPr/>
        <w:t>因研究开发、 技术更新及</w:t>
      </w:r>
    </w:p>
    <w:p>
      <w:pPr>
        <w:pStyle w:val="BodyText"/>
        <w:tabs>
          <w:tab w:pos="2307" w:val="left" w:leader="none"/>
          <w:tab w:pos="3567" w:val="left" w:leader="none"/>
          <w:tab w:pos="4631" w:val="left" w:leader="none"/>
        </w:tabs>
        <w:spacing w:line="124" w:lineRule="exact"/>
        <w:ind w:left="1244" w:right="0"/>
        <w:jc w:val="left"/>
      </w:pPr>
      <w:r>
        <w:rPr/>
        <w:t>是</w:t>
        <w:tab/>
        <w:t>是</w:t>
        <w:tab/>
      </w:r>
      <w:r>
        <w:rPr>
          <w:rFonts w:ascii="Times New Roman" w:hAnsi="Times New Roman" w:cs="Times New Roman" w:eastAsia="Times New Roman" w:hint="default"/>
        </w:rPr>
        <w:t>350,000.00</w:t>
        <w:tab/>
        <w:t>350,000.00</w:t>
      </w:r>
      <w:r>
        <w:rPr>
          <w:rFonts w:ascii="Times New Roman" w:hAnsi="Times New Roman" w:cs="Times New Roman" w:eastAsia="Times New Roman" w:hint="default"/>
          <w:spacing w:val="10"/>
        </w:rPr>
        <w:t> </w:t>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00" w:lineRule="auto" w:before="121"/>
        <w:ind w:left="181" w:right="-19"/>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年度服 务业奖励金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0"/>
        <w:jc w:val="left"/>
      </w:pPr>
      <w:r>
        <w:rPr/>
        <w:t>当地政府机</w:t>
      </w:r>
    </w:p>
    <w:p>
      <w:pPr>
        <w:pStyle w:val="BodyText"/>
        <w:spacing w:line="156" w:lineRule="exact"/>
        <w:ind w:left="0" w:right="0"/>
        <w:jc w:val="right"/>
      </w:pPr>
      <w:r>
        <w:rPr/>
        <w:t>奖励</w:t>
      </w:r>
    </w:p>
    <w:p>
      <w:pPr>
        <w:pStyle w:val="BodyText"/>
        <w:spacing w:line="196" w:lineRule="exact"/>
        <w:ind w:left="81" w:right="0"/>
        <w:jc w:val="left"/>
      </w:pPr>
      <w:r>
        <w:rPr/>
        <w:t>关</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87" w:lineRule="exact"/>
        <w:ind w:left="1244" w:right="0"/>
        <w:jc w:val="left"/>
      </w:pPr>
      <w:r>
        <w:rPr/>
        <w:t>是</w:t>
        <w:tab/>
        <w:t>是</w:t>
        <w:tab/>
      </w:r>
      <w:r>
        <w:rPr>
          <w:rFonts w:ascii="Times New Roman" w:hAnsi="Times New Roman" w:cs="Times New Roman" w:eastAsia="Times New Roman" w:hint="default"/>
        </w:rPr>
        <w:t>210,000.00</w:t>
        <w:tab/>
      </w:r>
      <w:r>
        <w:rPr/>
        <w:t>与收益相关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2" w:lineRule="auto" w:before="44"/>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年第一 批软件产业 发展专项资 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0"/>
        <w:jc w:val="left"/>
      </w:pPr>
      <w:r>
        <w:rPr/>
        <w:t>当地政府机</w:t>
      </w:r>
    </w:p>
    <w:p>
      <w:pPr>
        <w:pStyle w:val="BodyText"/>
        <w:spacing w:line="156" w:lineRule="exact"/>
        <w:ind w:left="0" w:right="0"/>
        <w:jc w:val="right"/>
      </w:pPr>
      <w:r>
        <w:rPr/>
        <w:t>补助</w:t>
      </w:r>
    </w:p>
    <w:p>
      <w:pPr>
        <w:pStyle w:val="BodyText"/>
        <w:spacing w:line="196" w:lineRule="exact"/>
        <w:ind w:left="81" w:right="0"/>
        <w:jc w:val="left"/>
      </w:pPr>
      <w:r>
        <w:rPr/>
        <w:t>关</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87" w:lineRule="exact"/>
        <w:ind w:left="1244" w:right="0"/>
        <w:jc w:val="left"/>
      </w:pPr>
      <w:r>
        <w:rPr/>
        <w:t>是</w:t>
        <w:tab/>
        <w:t>是</w:t>
        <w:tab/>
      </w:r>
      <w:r>
        <w:rPr>
          <w:rFonts w:ascii="Times New Roman" w:hAnsi="Times New Roman" w:cs="Times New Roman" w:eastAsia="Times New Roman" w:hint="default"/>
        </w:rPr>
        <w:t>183,333.33</w:t>
        <w:tab/>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pStyle w:val="BodyText"/>
        <w:spacing w:line="312" w:lineRule="auto" w:before="112"/>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年福建 省专利技术 实施与产业 化项目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pStyle w:val="BodyText"/>
        <w:spacing w:line="196" w:lineRule="exact"/>
        <w:ind w:left="81" w:right="0"/>
        <w:jc w:val="left"/>
      </w:pPr>
      <w:r>
        <w:rPr/>
        <w:t>当地政府机</w:t>
      </w:r>
    </w:p>
    <w:p>
      <w:pPr>
        <w:pStyle w:val="BodyText"/>
        <w:spacing w:line="156" w:lineRule="exact"/>
        <w:ind w:left="0" w:right="0"/>
        <w:jc w:val="right"/>
      </w:pPr>
      <w:r>
        <w:rPr/>
        <w:t>补助</w:t>
      </w:r>
    </w:p>
    <w:p>
      <w:pPr>
        <w:pStyle w:val="BodyText"/>
        <w:spacing w:line="196" w:lineRule="exact"/>
        <w:ind w:left="81" w:right="0"/>
        <w:jc w:val="left"/>
      </w:pPr>
      <w:r>
        <w:rPr/>
        <w:t>关</w:t>
      </w:r>
    </w:p>
    <w:p>
      <w:pPr>
        <w:pStyle w:val="BodyText"/>
        <w:spacing w:line="310" w:lineRule="atLeast" w:before="38"/>
        <w:ind w:left="181" w:right="5472"/>
        <w:jc w:val="left"/>
      </w:pPr>
      <w:r>
        <w:rPr/>
        <w:br w:type="column"/>
      </w:r>
      <w:r>
        <w:rPr/>
        <w:t>因研究开发、 技术更新及</w:t>
      </w:r>
    </w:p>
    <w:p>
      <w:pPr>
        <w:pStyle w:val="BodyText"/>
        <w:tabs>
          <w:tab w:pos="2307" w:val="left" w:leader="none"/>
          <w:tab w:pos="3567" w:val="left" w:leader="none"/>
          <w:tab w:pos="5497" w:val="left" w:leader="none"/>
        </w:tabs>
        <w:spacing w:line="124" w:lineRule="exact"/>
        <w:ind w:left="1244" w:right="0"/>
        <w:jc w:val="left"/>
      </w:pPr>
      <w:r>
        <w:rPr/>
        <w:t>是</w:t>
        <w:tab/>
        <w:t>是</w:t>
        <w:tab/>
      </w:r>
      <w:r>
        <w:rPr>
          <w:rFonts w:ascii="Times New Roman" w:hAnsi="Times New Roman" w:cs="Times New Roman" w:eastAsia="Times New Roman" w:hint="default"/>
        </w:rPr>
        <w:t>156,000.00</w:t>
        <w:tab/>
      </w:r>
      <w:r>
        <w:rPr/>
        <w:t>与资产相关</w:t>
      </w:r>
    </w:p>
    <w:p>
      <w:pPr>
        <w:pStyle w:val="BodyText"/>
        <w:spacing w:line="188"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0"/>
        <w:rPr>
          <w:rFonts w:ascii="宋体" w:hAnsi="宋体" w:cs="宋体" w:eastAsia="宋体" w:hint="default"/>
          <w:sz w:val="18"/>
          <w:szCs w:val="18"/>
        </w:rPr>
      </w:pPr>
      <w:r>
        <w:rPr/>
        <w:pict>
          <v:group style="position:absolute;margin-left:56.219978pt;margin-top:71.759956pt;width:479.4pt;height:679.1pt;mso-position-horizontal-relative:page;mso-position-vertical-relative:page;z-index:-1142176" coordorigin="1124,1435" coordsize="9588,13582">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665" coordorigin="2200,1450" coordsize="2,665">
              <v:shape style="position:absolute;left:2200;top:1450;width:2;height:665" coordorigin="2200,1450" coordsize="0,665" path="m2200,1450l2200,2114e" filled="false" stroked="true" strokeweight=".48pt" strokecolor="#000000">
                <v:path arrowok="t"/>
              </v:shape>
            </v:group>
            <v:group style="position:absolute;left:3262;top:1450;width:2;height:665" coordorigin="3262,1450" coordsize="2,665">
              <v:shape style="position:absolute;left:3262;top:1450;width:2;height:665" coordorigin="3262,1450" coordsize="0,665" path="m3262,1450l3262,2114e" filled="false" stroked="true" strokeweight=".48001pt" strokecolor="#000000">
                <v:path arrowok="t"/>
              </v:shape>
            </v:group>
            <v:group style="position:absolute;left:4325;top:1450;width:2;height:665" coordorigin="4325,1450" coordsize="2,665">
              <v:shape style="position:absolute;left:4325;top:1450;width:2;height:665" coordorigin="4325,1450" coordsize="0,665" path="m4325,1450l4325,2114e" filled="false" stroked="true" strokeweight=".48pt" strokecolor="#000000">
                <v:path arrowok="t"/>
              </v:shape>
            </v:group>
            <v:group style="position:absolute;left:5388;top:1450;width:2;height:665" coordorigin="5388,1450" coordsize="2,665">
              <v:shape style="position:absolute;left:5388;top:1450;width:2;height:665" coordorigin="5388,1450" coordsize="0,665" path="m5388,1450l5388,2114e" filled="false" stroked="true" strokeweight=".48001pt" strokecolor="#000000">
                <v:path arrowok="t"/>
              </v:shape>
            </v:group>
            <v:group style="position:absolute;left:6451;top:1450;width:2;height:665" coordorigin="6451,1450" coordsize="2,665">
              <v:shape style="position:absolute;left:6451;top:1450;width:2;height:665" coordorigin="6451,1450" coordsize="0,665" path="m6451,1450l6451,2114e" filled="false" stroked="true" strokeweight=".48001pt" strokecolor="#000000">
                <v:path arrowok="t"/>
              </v:shape>
            </v:group>
            <v:group style="position:absolute;left:7514;top:1450;width:2;height:665" coordorigin="7514,1450" coordsize="2,665">
              <v:shape style="position:absolute;left:7514;top:1450;width:2;height:665" coordorigin="7514,1450" coordsize="0,665" path="m7514,1450l7514,2114e" filled="false" stroked="true" strokeweight=".47998pt" strokecolor="#000000">
                <v:path arrowok="t"/>
              </v:shape>
            </v:group>
            <v:group style="position:absolute;left:8578;top:1450;width:2;height:665" coordorigin="8578,1450" coordsize="2,665">
              <v:shape style="position:absolute;left:8578;top:1450;width:2;height:665" coordorigin="8578,1450" coordsize="0,665" path="m8578,1450l8578,2114e" filled="false" stroked="true" strokeweight=".48001pt" strokecolor="#000000">
                <v:path arrowok="t"/>
              </v:shape>
            </v:group>
            <v:group style="position:absolute;left:9640;top:1450;width:2;height:665" coordorigin="9640,1450" coordsize="2,665">
              <v:shape style="position:absolute;left:9640;top:1450;width:2;height:665" coordorigin="9640,1450" coordsize="0,665" path="m9640,1450l9640,2114e" filled="false" stroked="true" strokeweight=".47998pt" strokecolor="#000000">
                <v:path arrowok="t"/>
              </v:shape>
            </v:group>
            <v:group style="position:absolute;left:5393;top:2124;width:1054;height:1329" coordorigin="5393,2124" coordsize="1054,1329">
              <v:shape style="position:absolute;left:5393;top:2124;width:1054;height:1329" coordorigin="5393,2124" coordsize="1054,1329" path="m5393,3452l6446,3452,6446,2124,5393,2124,5393,3452xe" filled="true" fillcolor="#ffffff" stroked="false">
                <v:path arrowok="t"/>
                <v:fill type="solid"/>
              </v:shape>
            </v:group>
            <v:group style="position:absolute;left:5416;top:2592;width:1007;height:393" coordorigin="5416,2592" coordsize="1007,393">
              <v:shape style="position:absolute;left:5416;top:2592;width:1007;height:393" coordorigin="5416,2592" coordsize="1007,393" path="m5416,2984l6422,2984,6422,2592,5416,2592,5416,2984xe" filled="true" fillcolor="#ffffff" stroked="false">
                <v:path arrowok="t"/>
                <v:fill type="solid"/>
              </v:shape>
            </v:group>
            <v:group style="position:absolute;left:1129;top:2119;width:9579;height:2" coordorigin="1129,2119" coordsize="9579,2">
              <v:shape style="position:absolute;left:1129;top:2119;width:9579;height:2" coordorigin="1129,2119" coordsize="9579,0" path="m1129,2119l10708,2119e" filled="false" stroked="true" strokeweight=".47998pt" strokecolor="#000000">
                <v:path arrowok="t"/>
              </v:shape>
            </v:group>
            <v:group style="position:absolute;left:2200;top:2124;width:2;height:1329" coordorigin="2200,2124" coordsize="2,1329">
              <v:shape style="position:absolute;left:2200;top:2124;width:2;height:1329" coordorigin="2200,2124" coordsize="0,1329" path="m2200,2124l2200,3452e" filled="false" stroked="true" strokeweight=".48pt" strokecolor="#000000">
                <v:path arrowok="t"/>
              </v:shape>
            </v:group>
            <v:group style="position:absolute;left:3262;top:2124;width:2;height:1329" coordorigin="3262,2124" coordsize="2,1329">
              <v:shape style="position:absolute;left:3262;top:2124;width:2;height:1329" coordorigin="3262,2124" coordsize="0,1329" path="m3262,2124l3262,3452e" filled="false" stroked="true" strokeweight=".48001pt" strokecolor="#000000">
                <v:path arrowok="t"/>
              </v:shape>
            </v:group>
            <v:group style="position:absolute;left:4325;top:2124;width:2;height:1329" coordorigin="4325,2124" coordsize="2,1329">
              <v:shape style="position:absolute;left:4325;top:2124;width:2;height:1329" coordorigin="4325,2124" coordsize="0,1329" path="m4325,2124l4325,3452e" filled="false" stroked="true" strokeweight=".48pt" strokecolor="#000000">
                <v:path arrowok="t"/>
              </v:shape>
            </v:group>
            <v:group style="position:absolute;left:5388;top:2124;width:2;height:1329" coordorigin="5388,2124" coordsize="2,1329">
              <v:shape style="position:absolute;left:5388;top:2124;width:2;height:1329" coordorigin="5388,2124" coordsize="0,1329" path="m5388,2124l5388,3452e" filled="false" stroked="true" strokeweight=".48001pt" strokecolor="#000000">
                <v:path arrowok="t"/>
              </v:shape>
            </v:group>
            <v:group style="position:absolute;left:6451;top:2124;width:2;height:1329" coordorigin="6451,2124" coordsize="2,1329">
              <v:shape style="position:absolute;left:6451;top:2124;width:2;height:1329" coordorigin="6451,2124" coordsize="0,1329" path="m6451,2124l6451,3452e" filled="false" stroked="true" strokeweight=".48001pt" strokecolor="#000000">
                <v:path arrowok="t"/>
              </v:shape>
            </v:group>
            <v:group style="position:absolute;left:7514;top:2124;width:2;height:1329" coordorigin="7514,2124" coordsize="2,1329">
              <v:shape style="position:absolute;left:7514;top:2124;width:2;height:1329" coordorigin="7514,2124" coordsize="0,1329" path="m7514,2124l7514,3452e" filled="false" stroked="true" strokeweight=".47998pt" strokecolor="#000000">
                <v:path arrowok="t"/>
              </v:shape>
            </v:group>
            <v:group style="position:absolute;left:8578;top:2124;width:2;height:1329" coordorigin="8578,2124" coordsize="2,1329">
              <v:shape style="position:absolute;left:8578;top:2124;width:2;height:1329" coordorigin="8578,2124" coordsize="0,1329" path="m8578,2124l8578,3452e" filled="false" stroked="true" strokeweight=".48001pt" strokecolor="#000000">
                <v:path arrowok="t"/>
              </v:shape>
            </v:group>
            <v:group style="position:absolute;left:9640;top:2124;width:2;height:1329" coordorigin="9640,2124" coordsize="2,1329">
              <v:shape style="position:absolute;left:9640;top:2124;width:2;height:1329" coordorigin="9640,2124" coordsize="0,1329" path="m9640,2124l9640,3452e" filled="false" stroked="true" strokeweight=".47998pt" strokecolor="#000000">
                <v:path arrowok="t"/>
              </v:shape>
            </v:group>
            <v:group style="position:absolute;left:5393;top:3462;width:1054;height:1641" coordorigin="5393,3462" coordsize="1054,1641">
              <v:shape style="position:absolute;left:5393;top:3462;width:1054;height:1641" coordorigin="5393,3462" coordsize="1054,1641" path="m5393,5102l6446,5102,6446,3462,5393,3462,5393,5102xe" filled="true" fillcolor="#ffffff" stroked="false">
                <v:path arrowok="t"/>
                <v:fill type="solid"/>
              </v:shape>
            </v:group>
            <v:group style="position:absolute;left:5416;top:4086;width:1007;height:393" coordorigin="5416,4086" coordsize="1007,393">
              <v:shape style="position:absolute;left:5416;top:4086;width:1007;height:393" coordorigin="5416,4086" coordsize="1007,393" path="m5416,4478l6422,4478,6422,4086,5416,4086,5416,4478xe" filled="true" fillcolor="#ffffff" stroked="false">
                <v:path arrowok="t"/>
                <v:fill type="solid"/>
              </v:shape>
            </v:group>
            <v:group style="position:absolute;left:1129;top:3457;width:9579;height:2" coordorigin="1129,3457" coordsize="9579,2">
              <v:shape style="position:absolute;left:1129;top:3457;width:9579;height:2" coordorigin="1129,3457" coordsize="9579,0" path="m1129,3457l10708,3457e" filled="false" stroked="true" strokeweight=".48004pt" strokecolor="#000000">
                <v:path arrowok="t"/>
              </v:shape>
            </v:group>
            <v:group style="position:absolute;left:2200;top:3462;width:2;height:1641" coordorigin="2200,3462" coordsize="2,1641">
              <v:shape style="position:absolute;left:2200;top:3462;width:2;height:1641" coordorigin="2200,3462" coordsize="0,1641" path="m2200,3462l2200,5102e" filled="false" stroked="true" strokeweight=".48pt" strokecolor="#000000">
                <v:path arrowok="t"/>
              </v:shape>
            </v:group>
            <v:group style="position:absolute;left:3262;top:3462;width:2;height:1641" coordorigin="3262,3462" coordsize="2,1641">
              <v:shape style="position:absolute;left:3262;top:3462;width:2;height:1641" coordorigin="3262,3462" coordsize="0,1641" path="m3262,3462l3262,5102e" filled="false" stroked="true" strokeweight=".48001pt" strokecolor="#000000">
                <v:path arrowok="t"/>
              </v:shape>
            </v:group>
            <v:group style="position:absolute;left:4325;top:3462;width:2;height:1641" coordorigin="4325,3462" coordsize="2,1641">
              <v:shape style="position:absolute;left:4325;top:3462;width:2;height:1641" coordorigin="4325,3462" coordsize="0,1641" path="m4325,3462l4325,5102e" filled="false" stroked="true" strokeweight=".48pt" strokecolor="#000000">
                <v:path arrowok="t"/>
              </v:shape>
            </v:group>
            <v:group style="position:absolute;left:5388;top:3462;width:2;height:1641" coordorigin="5388,3462" coordsize="2,1641">
              <v:shape style="position:absolute;left:5388;top:3462;width:2;height:1641" coordorigin="5388,3462" coordsize="0,1641" path="m5388,3462l5388,5102e" filled="false" stroked="true" strokeweight=".48001pt" strokecolor="#000000">
                <v:path arrowok="t"/>
              </v:shape>
            </v:group>
            <v:group style="position:absolute;left:6451;top:3462;width:2;height:1641" coordorigin="6451,3462" coordsize="2,1641">
              <v:shape style="position:absolute;left:6451;top:3462;width:2;height:1641" coordorigin="6451,3462" coordsize="0,1641" path="m6451,3462l6451,5102e" filled="false" stroked="true" strokeweight=".48001pt" strokecolor="#000000">
                <v:path arrowok="t"/>
              </v:shape>
            </v:group>
            <v:group style="position:absolute;left:7514;top:3462;width:2;height:1641" coordorigin="7514,3462" coordsize="2,1641">
              <v:shape style="position:absolute;left:7514;top:3462;width:2;height:1641" coordorigin="7514,3462" coordsize="0,1641" path="m7514,3462l7514,5102e" filled="false" stroked="true" strokeweight=".47998pt" strokecolor="#000000">
                <v:path arrowok="t"/>
              </v:shape>
            </v:group>
            <v:group style="position:absolute;left:8578;top:3462;width:2;height:1641" coordorigin="8578,3462" coordsize="2,1641">
              <v:shape style="position:absolute;left:8578;top:3462;width:2;height:1641" coordorigin="8578,3462" coordsize="0,1641" path="m8578,3462l8578,5102e" filled="false" stroked="true" strokeweight=".48001pt" strokecolor="#000000">
                <v:path arrowok="t"/>
              </v:shape>
            </v:group>
            <v:group style="position:absolute;left:9640;top:3462;width:2;height:1641" coordorigin="9640,3462" coordsize="2,1641">
              <v:shape style="position:absolute;left:9640;top:3462;width:2;height:1641" coordorigin="9640,3462" coordsize="0,1641" path="m9640,3462l9640,5102e" filled="false" stroked="true" strokeweight=".47998pt" strokecolor="#000000">
                <v:path arrowok="t"/>
              </v:shape>
            </v:group>
            <v:group style="position:absolute;left:2204;top:5112;width:1053;height:2889" coordorigin="2204,5112" coordsize="1053,2889">
              <v:shape style="position:absolute;left:2204;top:5112;width:1053;height:2889" coordorigin="2204,5112" coordsize="1053,2889" path="m2204,8000l3257,8000,3257,5112,2204,5112,2204,8000xe" filled="true" fillcolor="#ffffff" stroked="false">
                <v:path arrowok="t"/>
                <v:fill type="solid"/>
              </v:shape>
            </v:group>
            <v:group style="position:absolute;left:2227;top:6204;width:1007;height:352" coordorigin="2227,6204" coordsize="1007,352">
              <v:shape style="position:absolute;left:2227;top:6204;width:1007;height:352" coordorigin="2227,6204" coordsize="1007,352" path="m2227,6556l3234,6556,3234,6204,2227,6204,2227,6556xe" filled="true" fillcolor="#ffffff" stroked="false">
                <v:path arrowok="t"/>
                <v:fill type="solid"/>
              </v:shape>
            </v:group>
            <v:group style="position:absolute;left:2227;top:6556;width:1007;height:353" coordorigin="2227,6556" coordsize="1007,353">
              <v:shape style="position:absolute;left:2227;top:6556;width:1007;height:353" coordorigin="2227,6556" coordsize="1007,353" path="m2227,6908l3234,6908,3234,6556,2227,6556,2227,6908xe" filled="true" fillcolor="#ffffff" stroked="false">
                <v:path arrowok="t"/>
                <v:fill type="solid"/>
              </v:shape>
            </v:group>
            <v:group style="position:absolute;left:5393;top:5112;width:1054;height:2889" coordorigin="5393,5112" coordsize="1054,2889">
              <v:shape style="position:absolute;left:5393;top:5112;width:1054;height:2889" coordorigin="5393,5112" coordsize="1054,2889" path="m5393,8000l6446,8000,6446,5112,5393,5112,5393,8000xe" filled="true" fillcolor="#ffffff" stroked="false">
                <v:path arrowok="t"/>
                <v:fill type="solid"/>
              </v:shape>
            </v:group>
            <v:group style="position:absolute;left:5416;top:6360;width:1007;height:393" coordorigin="5416,6360" coordsize="1007,393">
              <v:shape style="position:absolute;left:5416;top:6360;width:1007;height:393" coordorigin="5416,6360" coordsize="1007,393" path="m5416,6752l6422,6752,6422,6360,5416,6360,5416,6752xe" filled="true" fillcolor="#ffffff" stroked="false">
                <v:path arrowok="t"/>
                <v:fill type="solid"/>
              </v:shape>
            </v:group>
            <v:group style="position:absolute;left:1129;top:5107;width:9579;height:2" coordorigin="1129,5107" coordsize="9579,2">
              <v:shape style="position:absolute;left:1129;top:5107;width:9579;height:2" coordorigin="1129,5107" coordsize="9579,0" path="m1129,5107l10708,5107e" filled="false" stroked="true" strokeweight=".47998pt" strokecolor="#000000">
                <v:path arrowok="t"/>
              </v:shape>
            </v:group>
            <v:group style="position:absolute;left:2200;top:5112;width:2;height:2889" coordorigin="2200,5112" coordsize="2,2889">
              <v:shape style="position:absolute;left:2200;top:5112;width:2;height:2889" coordorigin="2200,5112" coordsize="0,2889" path="m2200,5112l2200,8000e" filled="false" stroked="true" strokeweight=".48pt" strokecolor="#000000">
                <v:path arrowok="t"/>
              </v:shape>
            </v:group>
            <v:group style="position:absolute;left:3262;top:5112;width:2;height:2889" coordorigin="3262,5112" coordsize="2,2889">
              <v:shape style="position:absolute;left:3262;top:5112;width:2;height:2889" coordorigin="3262,5112" coordsize="0,2889" path="m3262,5112l3262,8000e" filled="false" stroked="true" strokeweight=".48001pt" strokecolor="#000000">
                <v:path arrowok="t"/>
              </v:shape>
            </v:group>
            <v:group style="position:absolute;left:4325;top:5112;width:2;height:2889" coordorigin="4325,5112" coordsize="2,2889">
              <v:shape style="position:absolute;left:4325;top:5112;width:2;height:2889" coordorigin="4325,5112" coordsize="0,2889" path="m4325,5112l4325,8000e" filled="false" stroked="true" strokeweight=".48pt" strokecolor="#000000">
                <v:path arrowok="t"/>
              </v:shape>
            </v:group>
            <v:group style="position:absolute;left:5388;top:5112;width:2;height:2889" coordorigin="5388,5112" coordsize="2,2889">
              <v:shape style="position:absolute;left:5388;top:5112;width:2;height:2889" coordorigin="5388,5112" coordsize="0,2889" path="m5388,5112l5388,8000e" filled="false" stroked="true" strokeweight=".48001pt" strokecolor="#000000">
                <v:path arrowok="t"/>
              </v:shape>
            </v:group>
            <v:group style="position:absolute;left:6451;top:5112;width:2;height:2889" coordorigin="6451,5112" coordsize="2,2889">
              <v:shape style="position:absolute;left:6451;top:5112;width:2;height:2889" coordorigin="6451,5112" coordsize="0,2889" path="m6451,5112l6451,8000e" filled="false" stroked="true" strokeweight=".48001pt" strokecolor="#000000">
                <v:path arrowok="t"/>
              </v:shape>
            </v:group>
            <v:group style="position:absolute;left:7514;top:5112;width:2;height:2889" coordorigin="7514,5112" coordsize="2,2889">
              <v:shape style="position:absolute;left:7514;top:5112;width:2;height:2889" coordorigin="7514,5112" coordsize="0,2889" path="m7514,5112l7514,8000e" filled="false" stroked="true" strokeweight=".47998pt" strokecolor="#000000">
                <v:path arrowok="t"/>
              </v:shape>
            </v:group>
            <v:group style="position:absolute;left:8578;top:5112;width:2;height:2889" coordorigin="8578,5112" coordsize="2,2889">
              <v:shape style="position:absolute;left:8578;top:5112;width:2;height:2889" coordorigin="8578,5112" coordsize="0,2889" path="m8578,5112l8578,8000e" filled="false" stroked="true" strokeweight=".48001pt" strokecolor="#000000">
                <v:path arrowok="t"/>
              </v:shape>
            </v:group>
            <v:group style="position:absolute;left:9640;top:5112;width:2;height:2889" coordorigin="9640,5112" coordsize="2,2889">
              <v:shape style="position:absolute;left:9640;top:5112;width:2;height:2889" coordorigin="9640,5112" coordsize="0,2889" path="m9640,5112l9640,8000e" filled="false" stroked="true" strokeweight=".47998pt" strokecolor="#000000">
                <v:path arrowok="t"/>
              </v:shape>
            </v:group>
            <v:group style="position:absolute;left:5393;top:8010;width:1054;height:1329" coordorigin="5393,8010" coordsize="1054,1329">
              <v:shape style="position:absolute;left:5393;top:8010;width:1054;height:1329" coordorigin="5393,8010" coordsize="1054,1329" path="m5393,9338l6446,9338,6446,8010,5393,8010,5393,9338xe" filled="true" fillcolor="#ffffff" stroked="false">
                <v:path arrowok="t"/>
                <v:fill type="solid"/>
              </v:shape>
            </v:group>
            <v:group style="position:absolute;left:5416;top:8478;width:1007;height:393" coordorigin="5416,8478" coordsize="1007,393">
              <v:shape style="position:absolute;left:5416;top:8478;width:1007;height:393" coordorigin="5416,8478" coordsize="1007,393" path="m5416,8870l6422,8870,6422,8478,5416,8478,5416,8870xe" filled="true" fillcolor="#ffffff" stroked="false">
                <v:path arrowok="t"/>
                <v:fill type="solid"/>
              </v:shape>
            </v:group>
            <v:group style="position:absolute;left:1129;top:8005;width:9579;height:2" coordorigin="1129,8005" coordsize="9579,2">
              <v:shape style="position:absolute;left:1129;top:8005;width:9579;height:2" coordorigin="1129,8005" coordsize="9579,0" path="m1129,8005l10708,8005e" filled="false" stroked="true" strokeweight=".47998pt" strokecolor="#000000">
                <v:path arrowok="t"/>
              </v:shape>
            </v:group>
            <v:group style="position:absolute;left:2200;top:8010;width:2;height:1329" coordorigin="2200,8010" coordsize="2,1329">
              <v:shape style="position:absolute;left:2200;top:8010;width:2;height:1329" coordorigin="2200,8010" coordsize="0,1329" path="m2200,8010l2200,9338e" filled="false" stroked="true" strokeweight=".48pt" strokecolor="#000000">
                <v:path arrowok="t"/>
              </v:shape>
            </v:group>
            <v:group style="position:absolute;left:3262;top:8010;width:2;height:1329" coordorigin="3262,8010" coordsize="2,1329">
              <v:shape style="position:absolute;left:3262;top:8010;width:2;height:1329" coordorigin="3262,8010" coordsize="0,1329" path="m3262,8010l3262,9338e" filled="false" stroked="true" strokeweight=".48001pt" strokecolor="#000000">
                <v:path arrowok="t"/>
              </v:shape>
            </v:group>
            <v:group style="position:absolute;left:4325;top:8010;width:2;height:1329" coordorigin="4325,8010" coordsize="2,1329">
              <v:shape style="position:absolute;left:4325;top:8010;width:2;height:1329" coordorigin="4325,8010" coordsize="0,1329" path="m4325,8010l4325,9338e" filled="false" stroked="true" strokeweight=".48pt" strokecolor="#000000">
                <v:path arrowok="t"/>
              </v:shape>
            </v:group>
            <v:group style="position:absolute;left:5388;top:8010;width:2;height:1329" coordorigin="5388,8010" coordsize="2,1329">
              <v:shape style="position:absolute;left:5388;top:8010;width:2;height:1329" coordorigin="5388,8010" coordsize="0,1329" path="m5388,8010l5388,9338e" filled="false" stroked="true" strokeweight=".48001pt" strokecolor="#000000">
                <v:path arrowok="t"/>
              </v:shape>
            </v:group>
            <v:group style="position:absolute;left:6451;top:8010;width:2;height:1329" coordorigin="6451,8010" coordsize="2,1329">
              <v:shape style="position:absolute;left:6451;top:8010;width:2;height:1329" coordorigin="6451,8010" coordsize="0,1329" path="m6451,8010l6451,9338e" filled="false" stroked="true" strokeweight=".48001pt" strokecolor="#000000">
                <v:path arrowok="t"/>
              </v:shape>
            </v:group>
            <v:group style="position:absolute;left:7514;top:8010;width:2;height:1329" coordorigin="7514,8010" coordsize="2,1329">
              <v:shape style="position:absolute;left:7514;top:8010;width:2;height:1329" coordorigin="7514,8010" coordsize="0,1329" path="m7514,8010l7514,9338e" filled="false" stroked="true" strokeweight=".47998pt" strokecolor="#000000">
                <v:path arrowok="t"/>
              </v:shape>
            </v:group>
            <v:group style="position:absolute;left:8578;top:8010;width:2;height:1329" coordorigin="8578,8010" coordsize="2,1329">
              <v:shape style="position:absolute;left:8578;top:8010;width:2;height:1329" coordorigin="8578,8010" coordsize="0,1329" path="m8578,8010l8578,9338e" filled="false" stroked="true" strokeweight=".48001pt" strokecolor="#000000">
                <v:path arrowok="t"/>
              </v:shape>
            </v:group>
            <v:group style="position:absolute;left:9640;top:8010;width:2;height:1329" coordorigin="9640,8010" coordsize="2,1329">
              <v:shape style="position:absolute;left:9640;top:8010;width:2;height:1329" coordorigin="9640,8010" coordsize="0,1329" path="m9640,8010l9640,9338e" filled="false" stroked="true" strokeweight=".47998pt" strokecolor="#000000">
                <v:path arrowok="t"/>
              </v:shape>
            </v:group>
            <v:group style="position:absolute;left:5393;top:9348;width:1054;height:1329" coordorigin="5393,9348" coordsize="1054,1329">
              <v:shape style="position:absolute;left:5393;top:9348;width:1054;height:1329" coordorigin="5393,9348" coordsize="1054,1329" path="m5393,10676l6446,10676,6446,9348,5393,9348,5393,10676xe" filled="true" fillcolor="#ffffff" stroked="false">
                <v:path arrowok="t"/>
                <v:fill type="solid"/>
              </v:shape>
            </v:group>
            <v:group style="position:absolute;left:5416;top:9816;width:1007;height:393" coordorigin="5416,9816" coordsize="1007,393">
              <v:shape style="position:absolute;left:5416;top:9816;width:1007;height:393" coordorigin="5416,9816" coordsize="1007,393" path="m5416,10208l6422,10208,6422,9816,5416,9816,5416,10208xe" filled="true" fillcolor="#ffffff" stroked="false">
                <v:path arrowok="t"/>
                <v:fill type="solid"/>
              </v:shape>
            </v:group>
            <v:group style="position:absolute;left:1129;top:9343;width:9579;height:2" coordorigin="1129,9343" coordsize="9579,2">
              <v:shape style="position:absolute;left:1129;top:9343;width:9579;height:2" coordorigin="1129,9343" coordsize="9579,0" path="m1129,9343l10708,9343e" filled="false" stroked="true" strokeweight=".48001pt" strokecolor="#000000">
                <v:path arrowok="t"/>
              </v:shape>
            </v:group>
            <v:group style="position:absolute;left:2200;top:9348;width:2;height:1329" coordorigin="2200,9348" coordsize="2,1329">
              <v:shape style="position:absolute;left:2200;top:9348;width:2;height:1329" coordorigin="2200,9348" coordsize="0,1329" path="m2200,9348l2200,10676e" filled="false" stroked="true" strokeweight=".48pt" strokecolor="#000000">
                <v:path arrowok="t"/>
              </v:shape>
            </v:group>
            <v:group style="position:absolute;left:3262;top:9348;width:2;height:1329" coordorigin="3262,9348" coordsize="2,1329">
              <v:shape style="position:absolute;left:3262;top:9348;width:2;height:1329" coordorigin="3262,9348" coordsize="0,1329" path="m3262,9348l3262,10676e" filled="false" stroked="true" strokeweight=".48001pt" strokecolor="#000000">
                <v:path arrowok="t"/>
              </v:shape>
            </v:group>
            <v:group style="position:absolute;left:4325;top:9348;width:2;height:1329" coordorigin="4325,9348" coordsize="2,1329">
              <v:shape style="position:absolute;left:4325;top:9348;width:2;height:1329" coordorigin="4325,9348" coordsize="0,1329" path="m4325,9348l4325,10676e" filled="false" stroked="true" strokeweight=".48pt" strokecolor="#000000">
                <v:path arrowok="t"/>
              </v:shape>
            </v:group>
            <v:group style="position:absolute;left:5388;top:9348;width:2;height:1329" coordorigin="5388,9348" coordsize="2,1329">
              <v:shape style="position:absolute;left:5388;top:9348;width:2;height:1329" coordorigin="5388,9348" coordsize="0,1329" path="m5388,9348l5388,10676e" filled="false" stroked="true" strokeweight=".48001pt" strokecolor="#000000">
                <v:path arrowok="t"/>
              </v:shape>
            </v:group>
            <v:group style="position:absolute;left:6451;top:9348;width:2;height:1329" coordorigin="6451,9348" coordsize="2,1329">
              <v:shape style="position:absolute;left:6451;top:9348;width:2;height:1329" coordorigin="6451,9348" coordsize="0,1329" path="m6451,9348l6451,10676e" filled="false" stroked="true" strokeweight=".48001pt" strokecolor="#000000">
                <v:path arrowok="t"/>
              </v:shape>
            </v:group>
            <v:group style="position:absolute;left:7514;top:9348;width:2;height:1329" coordorigin="7514,9348" coordsize="2,1329">
              <v:shape style="position:absolute;left:7514;top:9348;width:2;height:1329" coordorigin="7514,9348" coordsize="0,1329" path="m7514,9348l7514,10676e" filled="false" stroked="true" strokeweight=".47998pt" strokecolor="#000000">
                <v:path arrowok="t"/>
              </v:shape>
            </v:group>
            <v:group style="position:absolute;left:8578;top:9348;width:2;height:1329" coordorigin="8578,9348" coordsize="2,1329">
              <v:shape style="position:absolute;left:8578;top:9348;width:2;height:1329" coordorigin="8578,9348" coordsize="0,1329" path="m8578,9348l8578,10676e" filled="false" stroked="true" strokeweight=".48001pt" strokecolor="#000000">
                <v:path arrowok="t"/>
              </v:shape>
            </v:group>
            <v:group style="position:absolute;left:9640;top:9348;width:2;height:1329" coordorigin="9640,9348" coordsize="2,1329">
              <v:shape style="position:absolute;left:9640;top:9348;width:2;height:1329" coordorigin="9640,9348" coordsize="0,1329" path="m9640,9348l9640,10676e" filled="false" stroked="true" strokeweight=".47998pt" strokecolor="#000000">
                <v:path arrowok="t"/>
              </v:shape>
            </v:group>
            <v:group style="position:absolute;left:5393;top:10686;width:1054;height:1329" coordorigin="5393,10686" coordsize="1054,1329">
              <v:shape style="position:absolute;left:5393;top:10686;width:1054;height:1329" coordorigin="5393,10686" coordsize="1054,1329" path="m5393,12014l6446,12014,6446,10686,5393,10686,5393,12014xe" filled="true" fillcolor="#ffffff" stroked="false">
                <v:path arrowok="t"/>
                <v:fill type="solid"/>
              </v:shape>
            </v:group>
            <v:group style="position:absolute;left:5416;top:11154;width:1007;height:393" coordorigin="5416,11154" coordsize="1007,393">
              <v:shape style="position:absolute;left:5416;top:11154;width:1007;height:393" coordorigin="5416,11154" coordsize="1007,393" path="m5416,11546l6422,11546,6422,11154,5416,11154,5416,11546xe" filled="true" fillcolor="#ffffff" stroked="false">
                <v:path arrowok="t"/>
                <v:fill type="solid"/>
              </v:shape>
            </v:group>
            <v:group style="position:absolute;left:1129;top:10681;width:9579;height:2" coordorigin="1129,10681" coordsize="9579,2">
              <v:shape style="position:absolute;left:1129;top:10681;width:9579;height:2" coordorigin="1129,10681" coordsize="9579,0" path="m1129,10681l10708,10681e" filled="false" stroked="true" strokeweight=".48001pt" strokecolor="#000000">
                <v:path arrowok="t"/>
              </v:shape>
            </v:group>
            <v:group style="position:absolute;left:2200;top:10686;width:2;height:1329" coordorigin="2200,10686" coordsize="2,1329">
              <v:shape style="position:absolute;left:2200;top:10686;width:2;height:1329" coordorigin="2200,10686" coordsize="0,1329" path="m2200,10686l2200,12014e" filled="false" stroked="true" strokeweight=".48pt" strokecolor="#000000">
                <v:path arrowok="t"/>
              </v:shape>
            </v:group>
            <v:group style="position:absolute;left:3262;top:10686;width:2;height:1329" coordorigin="3262,10686" coordsize="2,1329">
              <v:shape style="position:absolute;left:3262;top:10686;width:2;height:1329" coordorigin="3262,10686" coordsize="0,1329" path="m3262,10686l3262,12014e" filled="false" stroked="true" strokeweight=".48001pt" strokecolor="#000000">
                <v:path arrowok="t"/>
              </v:shape>
            </v:group>
            <v:group style="position:absolute;left:4325;top:10686;width:2;height:1329" coordorigin="4325,10686" coordsize="2,1329">
              <v:shape style="position:absolute;left:4325;top:10686;width:2;height:1329" coordorigin="4325,10686" coordsize="0,1329" path="m4325,10686l4325,12014e" filled="false" stroked="true" strokeweight=".48pt" strokecolor="#000000">
                <v:path arrowok="t"/>
              </v:shape>
            </v:group>
            <v:group style="position:absolute;left:5388;top:10686;width:2;height:1329" coordorigin="5388,10686" coordsize="2,1329">
              <v:shape style="position:absolute;left:5388;top:10686;width:2;height:1329" coordorigin="5388,10686" coordsize="0,1329" path="m5388,10686l5388,12014e" filled="false" stroked="true" strokeweight=".48001pt" strokecolor="#000000">
                <v:path arrowok="t"/>
              </v:shape>
            </v:group>
            <v:group style="position:absolute;left:6451;top:10686;width:2;height:1329" coordorigin="6451,10686" coordsize="2,1329">
              <v:shape style="position:absolute;left:6451;top:10686;width:2;height:1329" coordorigin="6451,10686" coordsize="0,1329" path="m6451,10686l6451,12014e" filled="false" stroked="true" strokeweight=".48001pt" strokecolor="#000000">
                <v:path arrowok="t"/>
              </v:shape>
            </v:group>
            <v:group style="position:absolute;left:7514;top:10686;width:2;height:1329" coordorigin="7514,10686" coordsize="2,1329">
              <v:shape style="position:absolute;left:7514;top:10686;width:2;height:1329" coordorigin="7514,10686" coordsize="0,1329" path="m7514,10686l7514,12014e" filled="false" stroked="true" strokeweight=".47998pt" strokecolor="#000000">
                <v:path arrowok="t"/>
              </v:shape>
            </v:group>
            <v:group style="position:absolute;left:8578;top:10686;width:2;height:1329" coordorigin="8578,10686" coordsize="2,1329">
              <v:shape style="position:absolute;left:8578;top:10686;width:2;height:1329" coordorigin="8578,10686" coordsize="0,1329" path="m8578,10686l8578,12014e" filled="false" stroked="true" strokeweight=".48001pt" strokecolor="#000000">
                <v:path arrowok="t"/>
              </v:shape>
            </v:group>
            <v:group style="position:absolute;left:9640;top:10686;width:2;height:1329" coordorigin="9640,10686" coordsize="2,1329">
              <v:shape style="position:absolute;left:9640;top:10686;width:2;height:1329" coordorigin="9640,10686" coordsize="0,1329" path="m9640,10686l9640,12014e" filled="false" stroked="true" strokeweight=".47998pt" strokecolor="#000000">
                <v:path arrowok="t"/>
              </v:shape>
            </v:group>
            <v:group style="position:absolute;left:5393;top:12024;width:1054;height:1329" coordorigin="5393,12024" coordsize="1054,1329">
              <v:shape style="position:absolute;left:5393;top:12024;width:1054;height:1329" coordorigin="5393,12024" coordsize="1054,1329" path="m5393,13352l6446,13352,6446,12024,5393,12024,5393,13352xe" filled="true" fillcolor="#ffffff" stroked="false">
                <v:path arrowok="t"/>
                <v:fill type="solid"/>
              </v:shape>
            </v:group>
            <v:group style="position:absolute;left:5416;top:12492;width:1007;height:393" coordorigin="5416,12492" coordsize="1007,393">
              <v:shape style="position:absolute;left:5416;top:12492;width:1007;height:393" coordorigin="5416,12492" coordsize="1007,393" path="m5416,12884l6422,12884,6422,12492,5416,12492,5416,12884xe" filled="true" fillcolor="#ffffff" stroked="false">
                <v:path arrowok="t"/>
                <v:fill type="solid"/>
              </v:shape>
            </v:group>
            <v:group style="position:absolute;left:1129;top:12019;width:9579;height:2" coordorigin="1129,12019" coordsize="9579,2">
              <v:shape style="position:absolute;left:1129;top:12019;width:9579;height:2" coordorigin="1129,12019" coordsize="9579,0" path="m1129,12019l10708,12019e" filled="false" stroked="true" strokeweight=".48001pt" strokecolor="#000000">
                <v:path arrowok="t"/>
              </v:shape>
            </v:group>
            <v:group style="position:absolute;left:2200;top:12024;width:2;height:1329" coordorigin="2200,12024" coordsize="2,1329">
              <v:shape style="position:absolute;left:2200;top:12024;width:2;height:1329" coordorigin="2200,12024" coordsize="0,1329" path="m2200,12024l2200,13352e" filled="false" stroked="true" strokeweight=".48pt" strokecolor="#000000">
                <v:path arrowok="t"/>
              </v:shape>
            </v:group>
            <v:group style="position:absolute;left:3262;top:12024;width:2;height:1329" coordorigin="3262,12024" coordsize="2,1329">
              <v:shape style="position:absolute;left:3262;top:12024;width:2;height:1329" coordorigin="3262,12024" coordsize="0,1329" path="m3262,12024l3262,13352e" filled="false" stroked="true" strokeweight=".48001pt" strokecolor="#000000">
                <v:path arrowok="t"/>
              </v:shape>
            </v:group>
            <v:group style="position:absolute;left:4325;top:12024;width:2;height:1329" coordorigin="4325,12024" coordsize="2,1329">
              <v:shape style="position:absolute;left:4325;top:12024;width:2;height:1329" coordorigin="4325,12024" coordsize="0,1329" path="m4325,12024l4325,13352e" filled="false" stroked="true" strokeweight=".48pt" strokecolor="#000000">
                <v:path arrowok="t"/>
              </v:shape>
            </v:group>
            <v:group style="position:absolute;left:5388;top:12024;width:2;height:1329" coordorigin="5388,12024" coordsize="2,1329">
              <v:shape style="position:absolute;left:5388;top:12024;width:2;height:1329" coordorigin="5388,12024" coordsize="0,1329" path="m5388,12024l5388,13352e" filled="false" stroked="true" strokeweight=".48001pt" strokecolor="#000000">
                <v:path arrowok="t"/>
              </v:shape>
            </v:group>
            <v:group style="position:absolute;left:6451;top:12024;width:2;height:1329" coordorigin="6451,12024" coordsize="2,1329">
              <v:shape style="position:absolute;left:6451;top:12024;width:2;height:1329" coordorigin="6451,12024" coordsize="0,1329" path="m6451,12024l6451,13352e" filled="false" stroked="true" strokeweight=".48001pt" strokecolor="#000000">
                <v:path arrowok="t"/>
              </v:shape>
            </v:group>
            <v:group style="position:absolute;left:7514;top:12024;width:2;height:1329" coordorigin="7514,12024" coordsize="2,1329">
              <v:shape style="position:absolute;left:7514;top:12024;width:2;height:1329" coordorigin="7514,12024" coordsize="0,1329" path="m7514,12024l7514,13352e" filled="false" stroked="true" strokeweight=".47998pt" strokecolor="#000000">
                <v:path arrowok="t"/>
              </v:shape>
            </v:group>
            <v:group style="position:absolute;left:8578;top:12024;width:2;height:1329" coordorigin="8578,12024" coordsize="2,1329">
              <v:shape style="position:absolute;left:8578;top:12024;width:2;height:1329" coordorigin="8578,12024" coordsize="0,1329" path="m8578,12024l8578,13352e" filled="false" stroked="true" strokeweight=".48001pt" strokecolor="#000000">
                <v:path arrowok="t"/>
              </v:shape>
            </v:group>
            <v:group style="position:absolute;left:9640;top:12024;width:2;height:1329" coordorigin="9640,12024" coordsize="2,1329">
              <v:shape style="position:absolute;left:9640;top:12024;width:2;height:1329" coordorigin="9640,12024" coordsize="0,1329" path="m9640,12024l9640,13352e" filled="false" stroked="true" strokeweight=".47998pt" strokecolor="#000000">
                <v:path arrowok="t"/>
              </v:shape>
            </v:group>
            <v:group style="position:absolute;left:1129;top:13357;width:9579;height:2" coordorigin="1129,13357" coordsize="9579,2">
              <v:shape style="position:absolute;left:1129;top:13357;width:9579;height:2" coordorigin="1129,13357" coordsize="9579,0" path="m1129,13357l10708,13357e" filled="false" stroked="true" strokeweight=".48pt" strokecolor="#000000">
                <v:path arrowok="t"/>
              </v:shape>
            </v:group>
            <v:group style="position:absolute;left:1134;top:1440;width:2;height:13572" coordorigin="1134,1440" coordsize="2,13572">
              <v:shape style="position:absolute;left:1134;top:1440;width:2;height:13572" coordorigin="1134,1440" coordsize="0,13572" path="m1134,1440l1134,15012e" filled="false" stroked="true" strokeweight=".48001pt" strokecolor="#000000">
                <v:path arrowok="t"/>
              </v:shape>
            </v:group>
            <v:group style="position:absolute;left:1129;top:15007;width:1066;height:2" coordorigin="1129,15007" coordsize="1066,2">
              <v:shape style="position:absolute;left:1129;top:15007;width:1066;height:2" coordorigin="1129,15007" coordsize="1066,0" path="m1129,15007l2195,15007e" filled="false" stroked="true" strokeweight=".48001pt" strokecolor="#000000">
                <v:path arrowok="t"/>
              </v:shape>
            </v:group>
            <v:group style="position:absolute;left:2200;top:13362;width:2;height:1650" coordorigin="2200,13362" coordsize="2,1650">
              <v:shape style="position:absolute;left:2200;top:13362;width:2;height:1650" coordorigin="2200,13362" coordsize="0,1650" path="m2200,13362l2200,15012e" filled="false" stroked="true" strokeweight=".48pt" strokecolor="#000000">
                <v:path arrowok="t"/>
              </v:shape>
            </v:group>
            <v:group style="position:absolute;left:2204;top:15007;width:1053;height:2" coordorigin="2204,15007" coordsize="1053,2">
              <v:shape style="position:absolute;left:2204;top:15007;width:1053;height:2" coordorigin="2204,15007" coordsize="1053,0" path="m2204,15007l3257,15007e" filled="false" stroked="true" strokeweight=".48001pt" strokecolor="#000000">
                <v:path arrowok="t"/>
              </v:shape>
            </v:group>
            <v:group style="position:absolute;left:3262;top:13362;width:2;height:1650" coordorigin="3262,13362" coordsize="2,1650">
              <v:shape style="position:absolute;left:3262;top:13362;width:2;height:1650" coordorigin="3262,13362" coordsize="0,1650" path="m3262,13362l3262,15012e" filled="false" stroked="true" strokeweight=".48001pt" strokecolor="#000000">
                <v:path arrowok="t"/>
              </v:shape>
            </v:group>
            <v:group style="position:absolute;left:3266;top:15007;width:1054;height:2" coordorigin="3266,15007" coordsize="1054,2">
              <v:shape style="position:absolute;left:3266;top:15007;width:1054;height:2" coordorigin="3266,15007" coordsize="1054,0" path="m3266,15007l4320,15007e" filled="false" stroked="true" strokeweight=".48001pt" strokecolor="#000000">
                <v:path arrowok="t"/>
              </v:shape>
            </v:group>
            <v:group style="position:absolute;left:4325;top:13362;width:2;height:1650" coordorigin="4325,13362" coordsize="2,1650">
              <v:shape style="position:absolute;left:4325;top:13362;width:2;height:1650" coordorigin="4325,13362" coordsize="0,1650" path="m4325,13362l4325,15012e" filled="false" stroked="true" strokeweight=".48pt" strokecolor="#000000">
                <v:path arrowok="t"/>
              </v:shape>
            </v:group>
            <v:group style="position:absolute;left:4330;top:15007;width:1054;height:2" coordorigin="4330,15007" coordsize="1054,2">
              <v:shape style="position:absolute;left:4330;top:15007;width:1054;height:2" coordorigin="4330,15007" coordsize="1054,0" path="m4330,15007l5383,15007e" filled="false" stroked="true" strokeweight=".48001pt" strokecolor="#000000">
                <v:path arrowok="t"/>
              </v:shape>
            </v:group>
            <v:group style="position:absolute;left:5388;top:13362;width:2;height:1650" coordorigin="5388,13362" coordsize="2,1650">
              <v:shape style="position:absolute;left:5388;top:13362;width:2;height:1650" coordorigin="5388,13362" coordsize="0,1650" path="m5388,13362l5388,15012e" filled="false" stroked="true" strokeweight=".48001pt" strokecolor="#000000">
                <v:path arrowok="t"/>
              </v:shape>
            </v:group>
            <v:group style="position:absolute;left:5393;top:15007;width:1054;height:2" coordorigin="5393,15007" coordsize="1054,2">
              <v:shape style="position:absolute;left:5393;top:15007;width:1054;height:2" coordorigin="5393,15007" coordsize="1054,0" path="m5393,15007l6446,15007e" filled="false" stroked="true" strokeweight=".48001pt" strokecolor="#000000">
                <v:path arrowok="t"/>
              </v:shape>
            </v:group>
            <v:group style="position:absolute;left:6451;top:13362;width:2;height:1650" coordorigin="6451,13362" coordsize="2,1650">
              <v:shape style="position:absolute;left:6451;top:13362;width:2;height:1650" coordorigin="6451,13362" coordsize="0,1650" path="m6451,13362l6451,15012e" filled="false" stroked="true" strokeweight=".48001pt" strokecolor="#000000">
                <v:path arrowok="t"/>
              </v:shape>
            </v:group>
            <v:group style="position:absolute;left:6456;top:15007;width:1054;height:2" coordorigin="6456,15007" coordsize="1054,2">
              <v:shape style="position:absolute;left:6456;top:15007;width:1054;height:2" coordorigin="6456,15007" coordsize="1054,0" path="m6456,15007l7510,15007e" filled="false" stroked="true" strokeweight=".48001pt" strokecolor="#000000">
                <v:path arrowok="t"/>
              </v:shape>
            </v:group>
            <v:group style="position:absolute;left:7514;top:13362;width:2;height:1650" coordorigin="7514,13362" coordsize="2,1650">
              <v:shape style="position:absolute;left:7514;top:13362;width:2;height:1650" coordorigin="7514,13362" coordsize="0,1650" path="m7514,13362l7514,15012e" filled="false" stroked="true" strokeweight=".47998pt" strokecolor="#000000">
                <v:path arrowok="t"/>
              </v:shape>
            </v:group>
            <v:group style="position:absolute;left:7519;top:15007;width:1054;height:2" coordorigin="7519,15007" coordsize="1054,2">
              <v:shape style="position:absolute;left:7519;top:15007;width:1054;height:2" coordorigin="7519,15007" coordsize="1054,0" path="m7519,15007l8573,15007e" filled="false" stroked="true" strokeweight=".48001pt" strokecolor="#000000">
                <v:path arrowok="t"/>
              </v:shape>
            </v:group>
            <v:group style="position:absolute;left:8578;top:13362;width:2;height:1650" coordorigin="8578,13362" coordsize="2,1650">
              <v:shape style="position:absolute;left:8578;top:13362;width:2;height:1650" coordorigin="8578,13362" coordsize="0,1650" path="m8578,13362l8578,15012e" filled="false" stroked="true" strokeweight=".48001pt" strokecolor="#000000">
                <v:path arrowok="t"/>
              </v:shape>
            </v:group>
            <v:group style="position:absolute;left:8582;top:15007;width:1053;height:2" coordorigin="8582,15007" coordsize="1053,2">
              <v:shape style="position:absolute;left:8582;top:15007;width:1053;height:2" coordorigin="8582,15007" coordsize="1053,0" path="m8582,15007l9635,15007e" filled="false" stroked="true" strokeweight=".48001pt" strokecolor="#000000">
                <v:path arrowok="t"/>
              </v:shape>
            </v:group>
            <v:group style="position:absolute;left:9640;top:13362;width:2;height:1650" coordorigin="9640,13362" coordsize="2,1650">
              <v:shape style="position:absolute;left:9640;top:13362;width:2;height:1650" coordorigin="9640,13362" coordsize="0,1650" path="m9640,13362l9640,15012e" filled="false" stroked="true" strokeweight=".47998pt" strokecolor="#000000">
                <v:path arrowok="t"/>
              </v:shape>
            </v:group>
            <v:group style="position:absolute;left:9644;top:15007;width:1054;height:2" coordorigin="9644,15007" coordsize="1054,2">
              <v:shape style="position:absolute;left:9644;top:15007;width:1054;height:2" coordorigin="9644,15007" coordsize="1054,0" path="m9644,15007l10698,15007e" filled="false" stroked="true" strokeweight=".48001pt" strokecolor="#000000">
                <v:path arrowok="t"/>
              </v:shape>
            </v:group>
            <v:group style="position:absolute;left:10703;top:1440;width:2;height:13572" coordorigin="10703,1440" coordsize="2,13572">
              <v:shape style="position:absolute;left:10703;top:1440;width:2;height:13572" coordorigin="10703,1440" coordsize="0,13572" path="m10703,1440l10703,15012e" filled="false" stroked="true" strokeweight=".47998pt" strokecolor="#000000">
                <v:path arrowok="t"/>
              </v:shape>
            </v:group>
            <w10:wrap type="none"/>
          </v:group>
        </w:pict>
      </w:r>
    </w:p>
    <w:p>
      <w:pPr>
        <w:spacing w:line="240" w:lineRule="auto" w:before="6"/>
        <w:rPr>
          <w:rFonts w:ascii="宋体" w:hAnsi="宋体" w:cs="宋体" w:eastAsia="宋体" w:hint="default"/>
          <w:sz w:val="14"/>
          <w:szCs w:val="14"/>
        </w:rPr>
      </w:pPr>
    </w:p>
    <w:p>
      <w:pPr>
        <w:pStyle w:val="BodyText"/>
        <w:spacing w:line="316" w:lineRule="auto"/>
        <w:ind w:left="181" w:right="0"/>
        <w:jc w:val="both"/>
      </w:pPr>
      <w:r>
        <w:rPr/>
        <w:t>促进工业经 济倍增人才 政策补贴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6"/>
          <w:szCs w:val="26"/>
        </w:rPr>
      </w:pPr>
    </w:p>
    <w:p>
      <w:pPr>
        <w:pStyle w:val="BodyText"/>
        <w:spacing w:line="196" w:lineRule="exact"/>
        <w:ind w:left="125" w:right="0"/>
        <w:jc w:val="left"/>
      </w:pPr>
      <w:r>
        <w:rPr/>
        <w:t>当地政府机</w:t>
      </w:r>
    </w:p>
    <w:p>
      <w:pPr>
        <w:pStyle w:val="BodyText"/>
        <w:spacing w:line="156" w:lineRule="exact"/>
        <w:ind w:left="0" w:right="0"/>
        <w:jc w:val="right"/>
      </w:pPr>
      <w:r>
        <w:rPr/>
        <w:t>奖励</w:t>
      </w:r>
    </w:p>
    <w:p>
      <w:pPr>
        <w:pStyle w:val="BodyText"/>
        <w:spacing w:line="196" w:lineRule="exact"/>
        <w:ind w:left="125" w:right="0"/>
        <w:jc w:val="left"/>
      </w:pPr>
      <w:r>
        <w:rPr/>
        <w:t>关</w:t>
      </w:r>
    </w:p>
    <w:p>
      <w:pPr>
        <w:pStyle w:val="BodyText"/>
        <w:spacing w:line="316" w:lineRule="auto" w:before="112"/>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tabs>
          <w:tab w:pos="1186" w:val="left" w:leader="none"/>
          <w:tab w:pos="2536" w:val="left" w:leader="none"/>
          <w:tab w:pos="4375" w:val="left" w:leader="none"/>
        </w:tabs>
        <w:spacing w:line="240" w:lineRule="auto"/>
        <w:ind w:left="123" w:right="0"/>
        <w:jc w:val="left"/>
      </w:pPr>
      <w:r>
        <w:rPr/>
        <w:t>是</w:t>
        <w:tab/>
        <w:t>是</w:t>
        <w:tab/>
      </w:r>
      <w:r>
        <w:rPr>
          <w:rFonts w:ascii="Times New Roman" w:hAnsi="Times New Roman" w:cs="Times New Roman" w:eastAsia="Times New Roman" w:hint="default"/>
        </w:rPr>
        <w:t>93,000.00</w:t>
        <w:tab/>
      </w:r>
      <w:r>
        <w:rPr/>
        <w:t>与收益相关</w:t>
      </w:r>
    </w:p>
    <w:p>
      <w:pPr>
        <w:spacing w:after="0" w:line="240" w:lineRule="auto"/>
        <w:jc w:val="left"/>
        <w:sectPr>
          <w:type w:val="continuous"/>
          <w:pgSz w:w="11910" w:h="16840"/>
          <w:pgMar w:top="1060" w:bottom="1180" w:left="980" w:right="980"/>
          <w:cols w:num="4" w:equalWidth="0">
            <w:col w:w="1082" w:space="40"/>
            <w:col w:w="1549" w:space="520"/>
            <w:col w:w="1082" w:space="40"/>
            <w:col w:w="5637"/>
          </w:cols>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82" w:top="1060" w:bottom="1180" w:left="980" w:right="98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t>职业培训补 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86" w:lineRule="exact"/>
        <w:ind w:left="1244" w:right="0"/>
        <w:jc w:val="left"/>
      </w:pPr>
      <w:r>
        <w:rPr/>
        <w:t>是</w:t>
        <w:tab/>
        <w:t>是</w:t>
        <w:tab/>
      </w:r>
      <w:r>
        <w:rPr>
          <w:rFonts w:ascii="Times New Roman" w:hAnsi="Times New Roman" w:cs="Times New Roman" w:eastAsia="Times New Roman" w:hint="default"/>
        </w:rPr>
        <w:t>91,000.00</w:t>
        <w:tab/>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9" w:lineRule="auto" w:before="44"/>
        <w:ind w:left="181" w:right="0"/>
        <w:jc w:val="both"/>
      </w:pPr>
      <w:r>
        <w:rPr/>
        <w:t>福州市公务 员局促进高 校毕业生就 业创业专项 经费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0"/>
        <w:jc w:val="left"/>
      </w:pPr>
      <w:r>
        <w:rPr/>
        <w:t>当地政府机</w:t>
      </w:r>
    </w:p>
    <w:p>
      <w:pPr>
        <w:pStyle w:val="BodyText"/>
        <w:spacing w:line="157" w:lineRule="exact"/>
        <w:ind w:left="0" w:right="0"/>
        <w:jc w:val="right"/>
      </w:pPr>
      <w:r>
        <w:rPr/>
        <w:t>奖励</w:t>
      </w:r>
    </w:p>
    <w:p>
      <w:pPr>
        <w:pStyle w:val="BodyText"/>
        <w:spacing w:line="196" w:lineRule="exact"/>
        <w:ind w:left="125" w:right="0"/>
        <w:jc w:val="left"/>
      </w:pPr>
      <w:r>
        <w:rPr/>
        <w:t>关</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3657" w:val="left" w:leader="none"/>
          <w:tab w:pos="4721" w:val="left" w:leader="none"/>
        </w:tabs>
        <w:spacing w:line="123" w:lineRule="exact"/>
        <w:ind w:left="1244" w:right="0"/>
        <w:jc w:val="left"/>
      </w:pPr>
      <w:r>
        <w:rPr/>
        <w:t>是</w:t>
        <w:tab/>
        <w:t>是</w:t>
        <w:tab/>
      </w:r>
      <w:r>
        <w:rPr>
          <w:rFonts w:ascii="Times New Roman" w:hAnsi="Times New Roman" w:cs="Times New Roman" w:eastAsia="Times New Roman" w:hint="default"/>
        </w:rPr>
        <w:t>66,900.00</w:t>
        <w:tab/>
        <w:t>34,600.00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0"/>
        <w:rPr>
          <w:rFonts w:ascii="宋体" w:hAnsi="宋体" w:cs="宋体" w:eastAsia="宋体" w:hint="default"/>
          <w:sz w:val="20"/>
          <w:szCs w:val="20"/>
        </w:rPr>
      </w:pPr>
    </w:p>
    <w:p>
      <w:pPr>
        <w:pStyle w:val="BodyText"/>
        <w:spacing w:line="319" w:lineRule="auto"/>
        <w:ind w:left="181" w:right="0"/>
        <w:jc w:val="both"/>
      </w:pPr>
      <w:r>
        <w:rPr/>
        <w:t>福建省促进 技术经纪专 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0" w:lineRule="atLeast" w:before="31"/>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123" w:lineRule="exact"/>
        <w:ind w:left="1244" w:right="0"/>
        <w:jc w:val="left"/>
      </w:pPr>
      <w:r>
        <w:rPr/>
        <w:t>是</w:t>
        <w:tab/>
        <w:t>是</w:t>
        <w:tab/>
      </w:r>
      <w:r>
        <w:rPr>
          <w:rFonts w:ascii="Times New Roman" w:hAnsi="Times New Roman" w:cs="Times New Roman" w:eastAsia="Times New Roman" w:hint="default"/>
        </w:rPr>
        <w:t>51,383.00</w:t>
        <w:tab/>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t>榕基移动应 用服务平台</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657" w:val="left" w:leader="none"/>
          <w:tab w:pos="4721" w:val="left" w:leader="none"/>
        </w:tabs>
        <w:spacing w:line="86" w:lineRule="exact"/>
        <w:ind w:left="1244" w:right="0"/>
        <w:jc w:val="left"/>
      </w:pPr>
      <w:r>
        <w:rPr/>
        <w:t>是</w:t>
        <w:tab/>
        <w:t>是</w:t>
        <w:tab/>
      </w:r>
      <w:r>
        <w:rPr>
          <w:rFonts w:ascii="Times New Roman" w:hAnsi="Times New Roman" w:cs="Times New Roman" w:eastAsia="Times New Roman" w:hint="default"/>
        </w:rPr>
        <w:t>48,000.00</w:t>
        <w:tab/>
        <w:t>24,000.00</w:t>
      </w:r>
      <w:r>
        <w:rPr>
          <w:rFonts w:ascii="Times New Roman" w:hAnsi="Times New Roman" w:cs="Times New Roman" w:eastAsia="Times New Roman" w:hint="default"/>
          <w:spacing w:val="10"/>
        </w:rPr>
        <w:t> </w:t>
      </w:r>
      <w:r>
        <w:rPr/>
        <w:t>与资产相关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9" w:lineRule="auto"/>
        <w:ind w:left="181" w:right="0"/>
        <w:jc w:val="both"/>
      </w:pPr>
      <w:r>
        <w:rPr/>
        <w:t>首届福州市 政府质量奖 奖励金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0"/>
        <w:jc w:val="left"/>
      </w:pPr>
      <w:r>
        <w:rPr/>
        <w:t>当地政府机</w:t>
      </w:r>
    </w:p>
    <w:p>
      <w:pPr>
        <w:pStyle w:val="BodyText"/>
        <w:spacing w:line="157" w:lineRule="exact"/>
        <w:ind w:left="0" w:right="0"/>
        <w:jc w:val="right"/>
      </w:pPr>
      <w:r>
        <w:rPr/>
        <w:t>奖励</w:t>
      </w:r>
    </w:p>
    <w:p>
      <w:pPr>
        <w:pStyle w:val="BodyText"/>
        <w:spacing w:line="196" w:lineRule="exact"/>
        <w:ind w:left="125"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657" w:val="left" w:leader="none"/>
          <w:tab w:pos="4721" w:val="left" w:leader="none"/>
        </w:tabs>
        <w:spacing w:line="86" w:lineRule="exact"/>
        <w:ind w:left="1244" w:right="0"/>
        <w:jc w:val="left"/>
      </w:pPr>
      <w:r>
        <w:rPr/>
        <w:t>是</w:t>
        <w:tab/>
        <w:t>是</w:t>
        <w:tab/>
      </w:r>
      <w:r>
        <w:rPr>
          <w:rFonts w:ascii="Times New Roman" w:hAnsi="Times New Roman" w:cs="Times New Roman" w:eastAsia="Times New Roman" w:hint="default"/>
        </w:rPr>
        <w:t>40,000.00</w:t>
        <w:tab/>
        <w:t>40,000.00</w:t>
      </w:r>
      <w:r>
        <w:rPr>
          <w:rFonts w:ascii="Times New Roman" w:hAnsi="Times New Roman" w:cs="Times New Roman" w:eastAsia="Times New Roman" w:hint="default"/>
          <w:spacing w:val="10"/>
        </w:rPr>
        <w:t> </w:t>
      </w:r>
      <w:r>
        <w:rPr/>
        <w:t>与资产相关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09" w:lineRule="auto" w:before="44"/>
        <w:ind w:left="181" w:right="-19"/>
        <w:jc w:val="left"/>
      </w:pPr>
      <w:r>
        <w:rPr/>
        <w:t>关于下达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年软件 产业发展专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196" w:lineRule="exact"/>
        <w:ind w:left="81" w:right="0"/>
        <w:jc w:val="left"/>
      </w:pPr>
      <w:r>
        <w:rPr/>
        <w:t>当地政府机</w:t>
      </w:r>
    </w:p>
    <w:p>
      <w:pPr>
        <w:pStyle w:val="BodyText"/>
        <w:spacing w:line="172" w:lineRule="exact"/>
        <w:ind w:left="0" w:right="0"/>
        <w:jc w:val="right"/>
      </w:pPr>
      <w:r>
        <w:rPr/>
        <w:t>补助</w:t>
      </w:r>
    </w:p>
    <w:p>
      <w:pPr>
        <w:spacing w:line="240" w:lineRule="auto" w:before="7"/>
        <w:rPr>
          <w:rFonts w:ascii="宋体" w:hAnsi="宋体" w:cs="宋体" w:eastAsia="宋体" w:hint="default"/>
          <w:sz w:val="21"/>
          <w:szCs w:val="21"/>
        </w:rPr>
      </w:pPr>
      <w:r>
        <w:rPr/>
        <w:br w:type="column"/>
      </w:r>
      <w:r>
        <w:rPr>
          <w:rFonts w:ascii="宋体"/>
          <w:sz w:val="21"/>
        </w:rPr>
      </w:r>
    </w:p>
    <w:p>
      <w:pPr>
        <w:pStyle w:val="BodyText"/>
        <w:spacing w:line="310" w:lineRule="atLeast"/>
        <w:ind w:left="181" w:right="5472"/>
        <w:jc w:val="left"/>
      </w:pPr>
      <w:r>
        <w:rPr/>
        <w:t>因研究开发、 技术更新及</w:t>
      </w:r>
    </w:p>
    <w:p>
      <w:pPr>
        <w:pStyle w:val="BodyText"/>
        <w:tabs>
          <w:tab w:pos="2307" w:val="left" w:leader="none"/>
          <w:tab w:pos="3657" w:val="left" w:leader="none"/>
          <w:tab w:pos="5497" w:val="left" w:leader="none"/>
        </w:tabs>
        <w:spacing w:line="132" w:lineRule="exact"/>
        <w:ind w:left="1244" w:right="0"/>
        <w:jc w:val="left"/>
      </w:pPr>
      <w:r>
        <w:rPr/>
        <w:t>是</w:t>
        <w:tab/>
        <w:t>是</w:t>
        <w:tab/>
      </w:r>
      <w:r>
        <w:rPr>
          <w:rFonts w:ascii="Times New Roman" w:hAnsi="Times New Roman" w:cs="Times New Roman" w:eastAsia="Times New Roman" w:hint="default"/>
        </w:rPr>
        <w:t>40,000.00</w:t>
        <w:tab/>
      </w:r>
      <w:r>
        <w:rPr/>
        <w:t>与收益相关</w:t>
      </w:r>
    </w:p>
    <w:p>
      <w:pPr>
        <w:spacing w:after="0" w:line="132" w:lineRule="exact"/>
        <w:jc w:val="left"/>
        <w:sectPr>
          <w:type w:val="continuous"/>
          <w:pgSz w:w="11910" w:h="16840"/>
          <w:pgMar w:top="1060" w:bottom="1180" w:left="980" w:right="980"/>
          <w:cols w:num="3" w:equalWidth="0">
            <w:col w:w="1127" w:space="40"/>
            <w:col w:w="1505" w:space="520"/>
            <w:col w:w="6758"/>
          </w:cols>
        </w:sectPr>
      </w:pPr>
    </w:p>
    <w:p>
      <w:pPr>
        <w:pStyle w:val="BodyText"/>
        <w:spacing w:line="181" w:lineRule="exact"/>
        <w:ind w:left="181" w:right="-19"/>
        <w:jc w:val="left"/>
      </w:pPr>
      <w:r>
        <w:rPr>
          <w:spacing w:val="-12"/>
        </w:rPr>
        <w:t>项等省、市两</w:t>
      </w:r>
      <w:r>
        <w:rPr>
          <w:spacing w:val="-33"/>
        </w:rPr>
        <w:t> </w:t>
      </w:r>
      <w:r>
        <w:rPr/>
        <w:t>关</w:t>
      </w:r>
    </w:p>
    <w:p>
      <w:pPr>
        <w:pStyle w:val="BodyText"/>
        <w:spacing w:line="319" w:lineRule="auto" w:before="75"/>
        <w:ind w:left="181" w:right="326"/>
        <w:jc w:val="left"/>
      </w:pPr>
      <w:r>
        <w:rPr/>
        <w:t>级资金的通 知</w:t>
      </w:r>
    </w:p>
    <w:p>
      <w:pPr>
        <w:pStyle w:val="BodyText"/>
        <w:spacing w:line="180" w:lineRule="exact"/>
        <w:ind w:left="181" w:right="5472"/>
        <w:jc w:val="left"/>
      </w:pPr>
      <w:r>
        <w:rPr/>
        <w:br w:type="column"/>
      </w: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2" w:equalWidth="0">
            <w:col w:w="1428" w:space="1763"/>
            <w:col w:w="6759"/>
          </w:cols>
        </w:sectPr>
      </w:pPr>
    </w:p>
    <w:p>
      <w:pPr>
        <w:pStyle w:val="BodyText"/>
        <w:spacing w:line="316" w:lineRule="auto" w:before="106"/>
        <w:ind w:left="181" w:right="1569"/>
        <w:jc w:val="left"/>
      </w:pPr>
      <w:r>
        <w:rPr/>
        <w:t>福州市人民 政府关于颁</w:t>
      </w:r>
    </w:p>
    <w:p>
      <w:pPr>
        <w:pStyle w:val="BodyText"/>
        <w:spacing w:line="203" w:lineRule="exact" w:before="19"/>
        <w:ind w:left="181" w:right="0"/>
        <w:jc w:val="left"/>
      </w:pPr>
      <w:r>
        <w:rPr/>
        <w:t>发 </w:t>
      </w:r>
      <w:r>
        <w:rPr>
          <w:rFonts w:ascii="Times New Roman" w:hAnsi="Times New Roman" w:cs="Times New Roman" w:eastAsia="Times New Roman" w:hint="default"/>
        </w:rPr>
        <w:t>2014 </w:t>
      </w:r>
      <w:r>
        <w:rPr/>
        <w:t>年度</w:t>
      </w:r>
      <w:r>
        <w:rPr>
          <w:spacing w:val="-61"/>
        </w:rPr>
        <w:t> </w:t>
      </w:r>
      <w:r>
        <w:rPr/>
        <w:t>当地政府机</w:t>
      </w:r>
    </w:p>
    <w:p>
      <w:pPr>
        <w:pStyle w:val="BodyText"/>
        <w:spacing w:line="165" w:lineRule="exact"/>
        <w:ind w:left="0" w:right="0"/>
        <w:jc w:val="right"/>
      </w:pPr>
      <w:r>
        <w:rPr/>
        <w:t>奖励</w:t>
      </w:r>
    </w:p>
    <w:p>
      <w:pPr>
        <w:spacing w:line="240" w:lineRule="auto" w:before="3"/>
        <w:rPr>
          <w:rFonts w:ascii="宋体" w:hAnsi="宋体" w:cs="宋体" w:eastAsia="宋体" w:hint="default"/>
          <w:sz w:val="26"/>
          <w:szCs w:val="26"/>
        </w:rPr>
      </w:pPr>
      <w:r>
        <w:rPr/>
        <w:br w:type="column"/>
      </w:r>
      <w:r>
        <w:rPr>
          <w:rFonts w:ascii="宋体"/>
          <w:sz w:val="26"/>
        </w:rPr>
      </w:r>
    </w:p>
    <w:p>
      <w:pPr>
        <w:pStyle w:val="BodyText"/>
        <w:spacing w:line="310" w:lineRule="atLeast"/>
        <w:ind w:left="181" w:right="5472"/>
        <w:jc w:val="left"/>
      </w:pPr>
      <w:r>
        <w:rPr/>
        <w:t>因研究开发、 技术更新及</w:t>
      </w:r>
    </w:p>
    <w:p>
      <w:pPr>
        <w:pStyle w:val="BodyText"/>
        <w:tabs>
          <w:tab w:pos="2307" w:val="left" w:leader="none"/>
          <w:tab w:pos="3657" w:val="left" w:leader="none"/>
          <w:tab w:pos="5497" w:val="left" w:leader="none"/>
        </w:tabs>
        <w:spacing w:line="132" w:lineRule="exact"/>
        <w:ind w:left="1244" w:right="0"/>
        <w:jc w:val="left"/>
      </w:pPr>
      <w:r>
        <w:rPr/>
        <w:t>是</w:t>
        <w:tab/>
        <w:t>是</w:t>
        <w:tab/>
      </w:r>
      <w:r>
        <w:rPr>
          <w:rFonts w:ascii="Times New Roman" w:hAnsi="Times New Roman" w:cs="Times New Roman" w:eastAsia="Times New Roman" w:hint="default"/>
        </w:rPr>
        <w:t>20,000.00</w:t>
        <w:tab/>
      </w:r>
      <w:r>
        <w:rPr/>
        <w:t>与收益相关</w:t>
      </w:r>
    </w:p>
    <w:p>
      <w:pPr>
        <w:spacing w:after="0" w:line="132" w:lineRule="exact"/>
        <w:jc w:val="left"/>
        <w:sectPr>
          <w:type w:val="continuous"/>
          <w:pgSz w:w="11910" w:h="16840"/>
          <w:pgMar w:top="1060" w:bottom="1180" w:left="980" w:right="980"/>
          <w:cols w:num="2" w:equalWidth="0">
            <w:col w:w="2671" w:space="520"/>
            <w:col w:w="6759"/>
          </w:cols>
        </w:sectPr>
      </w:pPr>
    </w:p>
    <w:p>
      <w:pPr>
        <w:pStyle w:val="BodyText"/>
        <w:spacing w:line="181" w:lineRule="exact"/>
        <w:ind w:left="181" w:right="-19"/>
        <w:jc w:val="left"/>
      </w:pPr>
      <w:r>
        <w:rPr/>
        <w:t>福州市科学</w:t>
      </w:r>
      <w:r>
        <w:rPr>
          <w:spacing w:val="75"/>
        </w:rPr>
        <w:t> </w:t>
      </w:r>
      <w:r>
        <w:rPr/>
        <w:t>关</w:t>
      </w:r>
    </w:p>
    <w:p>
      <w:pPr>
        <w:pStyle w:val="BodyText"/>
        <w:spacing w:line="319" w:lineRule="auto" w:before="75"/>
        <w:ind w:left="181" w:right="326"/>
        <w:jc w:val="left"/>
      </w:pPr>
      <w:r>
        <w:rPr/>
        <w:t>技术奖的决 定</w:t>
      </w:r>
    </w:p>
    <w:p>
      <w:pPr>
        <w:pStyle w:val="BodyText"/>
        <w:spacing w:line="180" w:lineRule="exact"/>
        <w:ind w:left="181" w:right="5472"/>
        <w:jc w:val="left"/>
      </w:pPr>
      <w:r>
        <w:rPr/>
        <w:br w:type="column"/>
      </w: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2" w:equalWidth="0">
            <w:col w:w="1428" w:space="1763"/>
            <w:col w:w="6759"/>
          </w:cols>
        </w:sectPr>
      </w:pPr>
    </w:p>
    <w:p>
      <w:pPr>
        <w:pStyle w:val="BodyText"/>
        <w:spacing w:line="319" w:lineRule="auto" w:before="106"/>
        <w:ind w:left="181" w:right="0"/>
        <w:jc w:val="both"/>
      </w:pPr>
      <w:r>
        <w:rPr/>
        <w:t>福州市对外 贸易经济合 作局服务外 包扶持资金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0" w:lineRule="atLeast" w:before="31"/>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123" w:lineRule="exact"/>
        <w:ind w:left="1244" w:right="0"/>
        <w:jc w:val="left"/>
      </w:pPr>
      <w:r>
        <w:rPr/>
        <w:t>是</w:t>
        <w:tab/>
        <w:t>是</w:t>
        <w:tab/>
      </w:r>
      <w:r>
        <w:rPr>
          <w:rFonts w:ascii="Times New Roman" w:hAnsi="Times New Roman" w:cs="Times New Roman" w:eastAsia="Times New Roman" w:hint="default"/>
        </w:rPr>
        <w:t>20,000.00</w:t>
        <w:tab/>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0"/>
        <w:rPr>
          <w:rFonts w:ascii="宋体" w:hAnsi="宋体" w:cs="宋体" w:eastAsia="宋体" w:hint="default"/>
          <w:sz w:val="18"/>
          <w:szCs w:val="18"/>
        </w:rPr>
      </w:pPr>
      <w:r>
        <w:rPr/>
        <w:pict>
          <v:group style="position:absolute;margin-left:56.219978pt;margin-top:71.759956pt;width:479.4pt;height:681.1pt;mso-position-horizontal-relative:page;mso-position-vertical-relative:page;z-index:-1142128" coordorigin="1124,1435" coordsize="9588,13622">
            <v:group style="position:absolute;left:5393;top:1450;width:1054;height:1329" coordorigin="5393,1450" coordsize="1054,1329">
              <v:shape style="position:absolute;left:5393;top:1450;width:1054;height:1329" coordorigin="5393,1450" coordsize="1054,1329" path="m5393,2778l6446,2778,6446,1450,5393,1450,5393,2778xe" filled="true" fillcolor="#ffffff" stroked="false">
                <v:path arrowok="t"/>
                <v:fill type="solid"/>
              </v:shape>
            </v:group>
            <v:group style="position:absolute;left:5416;top:1918;width:1007;height:393" coordorigin="5416,1918" coordsize="1007,393">
              <v:shape style="position:absolute;left:5416;top:1918;width:1007;height:393" coordorigin="5416,1918" coordsize="1007,393" path="m5416,2310l6422,2310,6422,1918,5416,1918,5416,2310xe" filled="true" fillcolor="#ffffff" stroked="false">
                <v:path arrowok="t"/>
                <v:fill type="solid"/>
              </v:shape>
            </v:group>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1329" coordorigin="2200,1450" coordsize="2,1329">
              <v:shape style="position:absolute;left:2200;top:1450;width:2;height:1329" coordorigin="2200,1450" coordsize="0,1329" path="m2200,1450l2200,2778e" filled="false" stroked="true" strokeweight=".48pt" strokecolor="#000000">
                <v:path arrowok="t"/>
              </v:shape>
            </v:group>
            <v:group style="position:absolute;left:3262;top:1450;width:2;height:1329" coordorigin="3262,1450" coordsize="2,1329">
              <v:shape style="position:absolute;left:3262;top:1450;width:2;height:1329" coordorigin="3262,1450" coordsize="0,1329" path="m3262,1450l3262,2778e" filled="false" stroked="true" strokeweight=".48001pt" strokecolor="#000000">
                <v:path arrowok="t"/>
              </v:shape>
            </v:group>
            <v:group style="position:absolute;left:4325;top:1450;width:2;height:1329" coordorigin="4325,1450" coordsize="2,1329">
              <v:shape style="position:absolute;left:4325;top:1450;width:2;height:1329" coordorigin="4325,1450" coordsize="0,1329" path="m4325,1450l4325,2778e" filled="false" stroked="true" strokeweight=".48pt" strokecolor="#000000">
                <v:path arrowok="t"/>
              </v:shape>
            </v:group>
            <v:group style="position:absolute;left:5388;top:1450;width:2;height:1329" coordorigin="5388,1450" coordsize="2,1329">
              <v:shape style="position:absolute;left:5388;top:1450;width:2;height:1329" coordorigin="5388,1450" coordsize="0,1329" path="m5388,1450l5388,2778e" filled="false" stroked="true" strokeweight=".48001pt" strokecolor="#000000">
                <v:path arrowok="t"/>
              </v:shape>
            </v:group>
            <v:group style="position:absolute;left:6451;top:1450;width:2;height:1329" coordorigin="6451,1450" coordsize="2,1329">
              <v:shape style="position:absolute;left:6451;top:1450;width:2;height:1329" coordorigin="6451,1450" coordsize="0,1329" path="m6451,1450l6451,2778e" filled="false" stroked="true" strokeweight=".48001pt" strokecolor="#000000">
                <v:path arrowok="t"/>
              </v:shape>
            </v:group>
            <v:group style="position:absolute;left:7514;top:1450;width:2;height:1329" coordorigin="7514,1450" coordsize="2,1329">
              <v:shape style="position:absolute;left:7514;top:1450;width:2;height:1329" coordorigin="7514,1450" coordsize="0,1329" path="m7514,1450l7514,2778e" filled="false" stroked="true" strokeweight=".47998pt" strokecolor="#000000">
                <v:path arrowok="t"/>
              </v:shape>
            </v:group>
            <v:group style="position:absolute;left:8578;top:1450;width:2;height:1329" coordorigin="8578,1450" coordsize="2,1329">
              <v:shape style="position:absolute;left:8578;top:1450;width:2;height:1329" coordorigin="8578,1450" coordsize="0,1329" path="m8578,1450l8578,2778e" filled="false" stroked="true" strokeweight=".48001pt" strokecolor="#000000">
                <v:path arrowok="t"/>
              </v:shape>
            </v:group>
            <v:group style="position:absolute;left:9640;top:1450;width:2;height:1329" coordorigin="9640,1450" coordsize="2,1329">
              <v:shape style="position:absolute;left:9640;top:1450;width:2;height:1329" coordorigin="9640,1450" coordsize="0,1329" path="m9640,1450l9640,2778e" filled="false" stroked="true" strokeweight=".47998pt" strokecolor="#000000">
                <v:path arrowok="t"/>
              </v:shape>
            </v:group>
            <v:group style="position:absolute;left:5393;top:2788;width:1054;height:1641" coordorigin="5393,2788" coordsize="1054,1641">
              <v:shape style="position:absolute;left:5393;top:2788;width:1054;height:1641" coordorigin="5393,2788" coordsize="1054,1641" path="m5393,4428l6446,4428,6446,2788,5393,2788,5393,4428xe" filled="true" fillcolor="#ffffff" stroked="false">
                <v:path arrowok="t"/>
                <v:fill type="solid"/>
              </v:shape>
            </v:group>
            <v:group style="position:absolute;left:5416;top:3412;width:1007;height:393" coordorigin="5416,3412" coordsize="1007,393">
              <v:shape style="position:absolute;left:5416;top:3412;width:1007;height:393" coordorigin="5416,3412" coordsize="1007,393" path="m5416,3804l6422,3804,6422,3412,5416,3412,5416,3804xe" filled="true" fillcolor="#ffffff" stroked="false">
                <v:path arrowok="t"/>
                <v:fill type="solid"/>
              </v:shape>
            </v:group>
            <v:group style="position:absolute;left:1129;top:2783;width:9579;height:2" coordorigin="1129,2783" coordsize="9579,2">
              <v:shape style="position:absolute;left:1129;top:2783;width:9579;height:2" coordorigin="1129,2783" coordsize="9579,0" path="m1129,2783l10708,2783e" filled="false" stroked="true" strokeweight=".48004pt" strokecolor="#000000">
                <v:path arrowok="t"/>
              </v:shape>
            </v:group>
            <v:group style="position:absolute;left:2200;top:2788;width:2;height:1641" coordorigin="2200,2788" coordsize="2,1641">
              <v:shape style="position:absolute;left:2200;top:2788;width:2;height:1641" coordorigin="2200,2788" coordsize="0,1641" path="m2200,2788l2200,4428e" filled="false" stroked="true" strokeweight=".48pt" strokecolor="#000000">
                <v:path arrowok="t"/>
              </v:shape>
            </v:group>
            <v:group style="position:absolute;left:3262;top:2788;width:2;height:1641" coordorigin="3262,2788" coordsize="2,1641">
              <v:shape style="position:absolute;left:3262;top:2788;width:2;height:1641" coordorigin="3262,2788" coordsize="0,1641" path="m3262,2788l3262,4428e" filled="false" stroked="true" strokeweight=".48001pt" strokecolor="#000000">
                <v:path arrowok="t"/>
              </v:shape>
            </v:group>
            <v:group style="position:absolute;left:4325;top:2788;width:2;height:1641" coordorigin="4325,2788" coordsize="2,1641">
              <v:shape style="position:absolute;left:4325;top:2788;width:2;height:1641" coordorigin="4325,2788" coordsize="0,1641" path="m4325,2788l4325,4428e" filled="false" stroked="true" strokeweight=".48pt" strokecolor="#000000">
                <v:path arrowok="t"/>
              </v:shape>
            </v:group>
            <v:group style="position:absolute;left:5388;top:2788;width:2;height:1641" coordorigin="5388,2788" coordsize="2,1641">
              <v:shape style="position:absolute;left:5388;top:2788;width:2;height:1641" coordorigin="5388,2788" coordsize="0,1641" path="m5388,2788l5388,4428e" filled="false" stroked="true" strokeweight=".48001pt" strokecolor="#000000">
                <v:path arrowok="t"/>
              </v:shape>
            </v:group>
            <v:group style="position:absolute;left:6451;top:2788;width:2;height:1641" coordorigin="6451,2788" coordsize="2,1641">
              <v:shape style="position:absolute;left:6451;top:2788;width:2;height:1641" coordorigin="6451,2788" coordsize="0,1641" path="m6451,2788l6451,4428e" filled="false" stroked="true" strokeweight=".48001pt" strokecolor="#000000">
                <v:path arrowok="t"/>
              </v:shape>
            </v:group>
            <v:group style="position:absolute;left:7514;top:2788;width:2;height:1641" coordorigin="7514,2788" coordsize="2,1641">
              <v:shape style="position:absolute;left:7514;top:2788;width:2;height:1641" coordorigin="7514,2788" coordsize="0,1641" path="m7514,2788l7514,4428e" filled="false" stroked="true" strokeweight=".47998pt" strokecolor="#000000">
                <v:path arrowok="t"/>
              </v:shape>
            </v:group>
            <v:group style="position:absolute;left:8578;top:2788;width:2;height:1641" coordorigin="8578,2788" coordsize="2,1641">
              <v:shape style="position:absolute;left:8578;top:2788;width:2;height:1641" coordorigin="8578,2788" coordsize="0,1641" path="m8578,2788l8578,4428e" filled="false" stroked="true" strokeweight=".48001pt" strokecolor="#000000">
                <v:path arrowok="t"/>
              </v:shape>
            </v:group>
            <v:group style="position:absolute;left:9640;top:2788;width:2;height:1641" coordorigin="9640,2788" coordsize="2,1641">
              <v:shape style="position:absolute;left:9640;top:2788;width:2;height:1641" coordorigin="9640,2788" coordsize="0,1641" path="m9640,2788l9640,4428e" filled="false" stroked="true" strokeweight=".47998pt" strokecolor="#000000">
                <v:path arrowok="t"/>
              </v:shape>
            </v:group>
            <v:group style="position:absolute;left:5393;top:4438;width:1054;height:1329" coordorigin="5393,4438" coordsize="1054,1329">
              <v:shape style="position:absolute;left:5393;top:4438;width:1054;height:1329" coordorigin="5393,4438" coordsize="1054,1329" path="m5393,5766l6446,5766,6446,4438,5393,4438,5393,5766xe" filled="true" fillcolor="#ffffff" stroked="false">
                <v:path arrowok="t"/>
                <v:fill type="solid"/>
              </v:shape>
            </v:group>
            <v:group style="position:absolute;left:5416;top:4906;width:1007;height:393" coordorigin="5416,4906" coordsize="1007,393">
              <v:shape style="position:absolute;left:5416;top:4906;width:1007;height:393" coordorigin="5416,4906" coordsize="1007,393" path="m5416,5298l6422,5298,6422,4906,5416,4906,5416,5298xe" filled="true" fillcolor="#ffffff" stroked="false">
                <v:path arrowok="t"/>
                <v:fill type="solid"/>
              </v:shape>
            </v:group>
            <v:group style="position:absolute;left:1129;top:4433;width:9579;height:2" coordorigin="1129,4433" coordsize="9579,2">
              <v:shape style="position:absolute;left:1129;top:4433;width:9579;height:2" coordorigin="1129,4433" coordsize="9579,0" path="m1129,4433l10708,4433e" filled="false" stroked="true" strokeweight=".48004pt" strokecolor="#000000">
                <v:path arrowok="t"/>
              </v:shape>
            </v:group>
            <v:group style="position:absolute;left:2200;top:4438;width:2;height:1329" coordorigin="2200,4438" coordsize="2,1329">
              <v:shape style="position:absolute;left:2200;top:4438;width:2;height:1329" coordorigin="2200,4438" coordsize="0,1329" path="m2200,4438l2200,5766e" filled="false" stroked="true" strokeweight=".48pt" strokecolor="#000000">
                <v:path arrowok="t"/>
              </v:shape>
            </v:group>
            <v:group style="position:absolute;left:3262;top:4438;width:2;height:1329" coordorigin="3262,4438" coordsize="2,1329">
              <v:shape style="position:absolute;left:3262;top:4438;width:2;height:1329" coordorigin="3262,4438" coordsize="0,1329" path="m3262,4438l3262,5766e" filled="false" stroked="true" strokeweight=".48001pt" strokecolor="#000000">
                <v:path arrowok="t"/>
              </v:shape>
            </v:group>
            <v:group style="position:absolute;left:4325;top:4438;width:2;height:1329" coordorigin="4325,4438" coordsize="2,1329">
              <v:shape style="position:absolute;left:4325;top:4438;width:2;height:1329" coordorigin="4325,4438" coordsize="0,1329" path="m4325,4438l4325,5766e" filled="false" stroked="true" strokeweight=".48pt" strokecolor="#000000">
                <v:path arrowok="t"/>
              </v:shape>
            </v:group>
            <v:group style="position:absolute;left:5388;top:4438;width:2;height:1329" coordorigin="5388,4438" coordsize="2,1329">
              <v:shape style="position:absolute;left:5388;top:4438;width:2;height:1329" coordorigin="5388,4438" coordsize="0,1329" path="m5388,4438l5388,5766e" filled="false" stroked="true" strokeweight=".48001pt" strokecolor="#000000">
                <v:path arrowok="t"/>
              </v:shape>
            </v:group>
            <v:group style="position:absolute;left:6451;top:4438;width:2;height:1329" coordorigin="6451,4438" coordsize="2,1329">
              <v:shape style="position:absolute;left:6451;top:4438;width:2;height:1329" coordorigin="6451,4438" coordsize="0,1329" path="m6451,4438l6451,5766e" filled="false" stroked="true" strokeweight=".48001pt" strokecolor="#000000">
                <v:path arrowok="t"/>
              </v:shape>
            </v:group>
            <v:group style="position:absolute;left:7514;top:4438;width:2;height:1329" coordorigin="7514,4438" coordsize="2,1329">
              <v:shape style="position:absolute;left:7514;top:4438;width:2;height:1329" coordorigin="7514,4438" coordsize="0,1329" path="m7514,4438l7514,5766e" filled="false" stroked="true" strokeweight=".47998pt" strokecolor="#000000">
                <v:path arrowok="t"/>
              </v:shape>
            </v:group>
            <v:group style="position:absolute;left:8578;top:4438;width:2;height:1329" coordorigin="8578,4438" coordsize="2,1329">
              <v:shape style="position:absolute;left:8578;top:4438;width:2;height:1329" coordorigin="8578,4438" coordsize="0,1329" path="m8578,4438l8578,5766e" filled="false" stroked="true" strokeweight=".48001pt" strokecolor="#000000">
                <v:path arrowok="t"/>
              </v:shape>
            </v:group>
            <v:group style="position:absolute;left:9640;top:4438;width:2;height:1329" coordorigin="9640,4438" coordsize="2,1329">
              <v:shape style="position:absolute;left:9640;top:4438;width:2;height:1329" coordorigin="9640,4438" coordsize="0,1329" path="m9640,4438l9640,5766e" filled="false" stroked="true" strokeweight=".47998pt" strokecolor="#000000">
                <v:path arrowok="t"/>
              </v:shape>
            </v:group>
            <v:group style="position:absolute;left:5393;top:5776;width:1054;height:1329" coordorigin="5393,5776" coordsize="1054,1329">
              <v:shape style="position:absolute;left:5393;top:5776;width:1054;height:1329" coordorigin="5393,5776" coordsize="1054,1329" path="m5393,7104l6446,7104,6446,5776,5393,5776,5393,7104xe" filled="true" fillcolor="#ffffff" stroked="false">
                <v:path arrowok="t"/>
                <v:fill type="solid"/>
              </v:shape>
            </v:group>
            <v:group style="position:absolute;left:5416;top:6244;width:1007;height:393" coordorigin="5416,6244" coordsize="1007,393">
              <v:shape style="position:absolute;left:5416;top:6244;width:1007;height:393" coordorigin="5416,6244" coordsize="1007,393" path="m5416,6636l6422,6636,6422,6244,5416,6244,5416,6636xe" filled="true" fillcolor="#ffffff" stroked="false">
                <v:path arrowok="t"/>
                <v:fill type="solid"/>
              </v:shape>
            </v:group>
            <v:group style="position:absolute;left:1129;top:5771;width:9579;height:2" coordorigin="1129,5771" coordsize="9579,2">
              <v:shape style="position:absolute;left:1129;top:5771;width:9579;height:2" coordorigin="1129,5771" coordsize="9579,0" path="m1129,5771l10708,5771e" filled="false" stroked="true" strokeweight=".47998pt" strokecolor="#000000">
                <v:path arrowok="t"/>
              </v:shape>
            </v:group>
            <v:group style="position:absolute;left:2200;top:5776;width:2;height:1329" coordorigin="2200,5776" coordsize="2,1329">
              <v:shape style="position:absolute;left:2200;top:5776;width:2;height:1329" coordorigin="2200,5776" coordsize="0,1329" path="m2200,5776l2200,7104e" filled="false" stroked="true" strokeweight=".48pt" strokecolor="#000000">
                <v:path arrowok="t"/>
              </v:shape>
            </v:group>
            <v:group style="position:absolute;left:3262;top:5776;width:2;height:1329" coordorigin="3262,5776" coordsize="2,1329">
              <v:shape style="position:absolute;left:3262;top:5776;width:2;height:1329" coordorigin="3262,5776" coordsize="0,1329" path="m3262,5776l3262,7104e" filled="false" stroked="true" strokeweight=".48001pt" strokecolor="#000000">
                <v:path arrowok="t"/>
              </v:shape>
            </v:group>
            <v:group style="position:absolute;left:4325;top:5776;width:2;height:1329" coordorigin="4325,5776" coordsize="2,1329">
              <v:shape style="position:absolute;left:4325;top:5776;width:2;height:1329" coordorigin="4325,5776" coordsize="0,1329" path="m4325,5776l4325,7104e" filled="false" stroked="true" strokeweight=".48pt" strokecolor="#000000">
                <v:path arrowok="t"/>
              </v:shape>
            </v:group>
            <v:group style="position:absolute;left:5388;top:5776;width:2;height:1329" coordorigin="5388,5776" coordsize="2,1329">
              <v:shape style="position:absolute;left:5388;top:5776;width:2;height:1329" coordorigin="5388,5776" coordsize="0,1329" path="m5388,5776l5388,7104e" filled="false" stroked="true" strokeweight=".48001pt" strokecolor="#000000">
                <v:path arrowok="t"/>
              </v:shape>
            </v:group>
            <v:group style="position:absolute;left:6451;top:5776;width:2;height:1329" coordorigin="6451,5776" coordsize="2,1329">
              <v:shape style="position:absolute;left:6451;top:5776;width:2;height:1329" coordorigin="6451,5776" coordsize="0,1329" path="m6451,5776l6451,7104e" filled="false" stroked="true" strokeweight=".48001pt" strokecolor="#000000">
                <v:path arrowok="t"/>
              </v:shape>
            </v:group>
            <v:group style="position:absolute;left:7514;top:5776;width:2;height:1329" coordorigin="7514,5776" coordsize="2,1329">
              <v:shape style="position:absolute;left:7514;top:5776;width:2;height:1329" coordorigin="7514,5776" coordsize="0,1329" path="m7514,5776l7514,7104e" filled="false" stroked="true" strokeweight=".47998pt" strokecolor="#000000">
                <v:path arrowok="t"/>
              </v:shape>
            </v:group>
            <v:group style="position:absolute;left:8578;top:5776;width:2;height:1329" coordorigin="8578,5776" coordsize="2,1329">
              <v:shape style="position:absolute;left:8578;top:5776;width:2;height:1329" coordorigin="8578,5776" coordsize="0,1329" path="m8578,5776l8578,7104e" filled="false" stroked="true" strokeweight=".48001pt" strokecolor="#000000">
                <v:path arrowok="t"/>
              </v:shape>
            </v:group>
            <v:group style="position:absolute;left:9640;top:5776;width:2;height:1329" coordorigin="9640,5776" coordsize="2,1329">
              <v:shape style="position:absolute;left:9640;top:5776;width:2;height:1329" coordorigin="9640,5776" coordsize="0,1329" path="m9640,5776l9640,7104e" filled="false" stroked="true" strokeweight=".47998pt" strokecolor="#000000">
                <v:path arrowok="t"/>
              </v:shape>
            </v:group>
            <v:group style="position:absolute;left:5393;top:7114;width:1054;height:1329" coordorigin="5393,7114" coordsize="1054,1329">
              <v:shape style="position:absolute;left:5393;top:7114;width:1054;height:1329" coordorigin="5393,7114" coordsize="1054,1329" path="m5393,8442l6446,8442,6446,7114,5393,7114,5393,8442xe" filled="true" fillcolor="#ffffff" stroked="false">
                <v:path arrowok="t"/>
                <v:fill type="solid"/>
              </v:shape>
            </v:group>
            <v:group style="position:absolute;left:5416;top:7582;width:1007;height:393" coordorigin="5416,7582" coordsize="1007,393">
              <v:shape style="position:absolute;left:5416;top:7582;width:1007;height:393" coordorigin="5416,7582" coordsize="1007,393" path="m5416,7974l6422,7974,6422,7582,5416,7582,5416,7974xe" filled="true" fillcolor="#ffffff" stroked="false">
                <v:path arrowok="t"/>
                <v:fill type="solid"/>
              </v:shape>
            </v:group>
            <v:group style="position:absolute;left:1129;top:7109;width:9579;height:2" coordorigin="1129,7109" coordsize="9579,2">
              <v:shape style="position:absolute;left:1129;top:7109;width:9579;height:2" coordorigin="1129,7109" coordsize="9579,0" path="m1129,7109l10708,7109e" filled="false" stroked="true" strokeweight=".48001pt" strokecolor="#000000">
                <v:path arrowok="t"/>
              </v:shape>
            </v:group>
            <v:group style="position:absolute;left:2200;top:7114;width:2;height:1329" coordorigin="2200,7114" coordsize="2,1329">
              <v:shape style="position:absolute;left:2200;top:7114;width:2;height:1329" coordorigin="2200,7114" coordsize="0,1329" path="m2200,7114l2200,8442e" filled="false" stroked="true" strokeweight=".48pt" strokecolor="#000000">
                <v:path arrowok="t"/>
              </v:shape>
            </v:group>
            <v:group style="position:absolute;left:3262;top:7114;width:2;height:1329" coordorigin="3262,7114" coordsize="2,1329">
              <v:shape style="position:absolute;left:3262;top:7114;width:2;height:1329" coordorigin="3262,7114" coordsize="0,1329" path="m3262,7114l3262,8442e" filled="false" stroked="true" strokeweight=".48001pt" strokecolor="#000000">
                <v:path arrowok="t"/>
              </v:shape>
            </v:group>
            <v:group style="position:absolute;left:4325;top:7114;width:2;height:1329" coordorigin="4325,7114" coordsize="2,1329">
              <v:shape style="position:absolute;left:4325;top:7114;width:2;height:1329" coordorigin="4325,7114" coordsize="0,1329" path="m4325,7114l4325,8442e" filled="false" stroked="true" strokeweight=".48pt" strokecolor="#000000">
                <v:path arrowok="t"/>
              </v:shape>
            </v:group>
            <v:group style="position:absolute;left:5388;top:7114;width:2;height:1329" coordorigin="5388,7114" coordsize="2,1329">
              <v:shape style="position:absolute;left:5388;top:7114;width:2;height:1329" coordorigin="5388,7114" coordsize="0,1329" path="m5388,7114l5388,8442e" filled="false" stroked="true" strokeweight=".48001pt" strokecolor="#000000">
                <v:path arrowok="t"/>
              </v:shape>
            </v:group>
            <v:group style="position:absolute;left:6451;top:7114;width:2;height:1329" coordorigin="6451,7114" coordsize="2,1329">
              <v:shape style="position:absolute;left:6451;top:7114;width:2;height:1329" coordorigin="6451,7114" coordsize="0,1329" path="m6451,7114l6451,8442e" filled="false" stroked="true" strokeweight=".48001pt" strokecolor="#000000">
                <v:path arrowok="t"/>
              </v:shape>
            </v:group>
            <v:group style="position:absolute;left:7514;top:7114;width:2;height:1329" coordorigin="7514,7114" coordsize="2,1329">
              <v:shape style="position:absolute;left:7514;top:7114;width:2;height:1329" coordorigin="7514,7114" coordsize="0,1329" path="m7514,7114l7514,8442e" filled="false" stroked="true" strokeweight=".47998pt" strokecolor="#000000">
                <v:path arrowok="t"/>
              </v:shape>
            </v:group>
            <v:group style="position:absolute;left:8578;top:7114;width:2;height:1329" coordorigin="8578,7114" coordsize="2,1329">
              <v:shape style="position:absolute;left:8578;top:7114;width:2;height:1329" coordorigin="8578,7114" coordsize="0,1329" path="m8578,7114l8578,8442e" filled="false" stroked="true" strokeweight=".48001pt" strokecolor="#000000">
                <v:path arrowok="t"/>
              </v:shape>
            </v:group>
            <v:group style="position:absolute;left:9640;top:7114;width:2;height:1329" coordorigin="9640,7114" coordsize="2,1329">
              <v:shape style="position:absolute;left:9640;top:7114;width:2;height:1329" coordorigin="9640,7114" coordsize="0,1329" path="m9640,7114l9640,8442e" filled="false" stroked="true" strokeweight=".47998pt" strokecolor="#000000">
                <v:path arrowok="t"/>
              </v:shape>
            </v:group>
            <v:group style="position:absolute;left:5393;top:8452;width:1054;height:1953" coordorigin="5393,8452" coordsize="1054,1953">
              <v:shape style="position:absolute;left:5393;top:8452;width:1054;height:1953" coordorigin="5393,8452" coordsize="1054,1953" path="m5393,10404l6446,10404,6446,8452,5393,8452,5393,10404xe" filled="true" fillcolor="#ffffff" stroked="false">
                <v:path arrowok="t"/>
                <v:fill type="solid"/>
              </v:shape>
            </v:group>
            <v:group style="position:absolute;left:5416;top:9232;width:1007;height:393" coordorigin="5416,9232" coordsize="1007,393">
              <v:shape style="position:absolute;left:5416;top:9232;width:1007;height:393" coordorigin="5416,9232" coordsize="1007,393" path="m5416,9624l6422,9624,6422,9232,5416,9232,5416,9624xe" filled="true" fillcolor="#ffffff" stroked="false">
                <v:path arrowok="t"/>
                <v:fill type="solid"/>
              </v:shape>
            </v:group>
            <v:group style="position:absolute;left:1129;top:8447;width:9579;height:2" coordorigin="1129,8447" coordsize="9579,2">
              <v:shape style="position:absolute;left:1129;top:8447;width:9579;height:2" coordorigin="1129,8447" coordsize="9579,0" path="m1129,8447l10708,8447e" filled="false" stroked="true" strokeweight=".48001pt" strokecolor="#000000">
                <v:path arrowok="t"/>
              </v:shape>
            </v:group>
            <v:group style="position:absolute;left:2200;top:8452;width:2;height:1953" coordorigin="2200,8452" coordsize="2,1953">
              <v:shape style="position:absolute;left:2200;top:8452;width:2;height:1953" coordorigin="2200,8452" coordsize="0,1953" path="m2200,8452l2200,10404e" filled="false" stroked="true" strokeweight=".48pt" strokecolor="#000000">
                <v:path arrowok="t"/>
              </v:shape>
            </v:group>
            <v:group style="position:absolute;left:3262;top:8452;width:2;height:1953" coordorigin="3262,8452" coordsize="2,1953">
              <v:shape style="position:absolute;left:3262;top:8452;width:2;height:1953" coordorigin="3262,8452" coordsize="0,1953" path="m3262,8452l3262,10404e" filled="false" stroked="true" strokeweight=".48001pt" strokecolor="#000000">
                <v:path arrowok="t"/>
              </v:shape>
            </v:group>
            <v:group style="position:absolute;left:4325;top:8452;width:2;height:1953" coordorigin="4325,8452" coordsize="2,1953">
              <v:shape style="position:absolute;left:4325;top:8452;width:2;height:1953" coordorigin="4325,8452" coordsize="0,1953" path="m4325,8452l4325,10404e" filled="false" stroked="true" strokeweight=".48pt" strokecolor="#000000">
                <v:path arrowok="t"/>
              </v:shape>
            </v:group>
            <v:group style="position:absolute;left:5388;top:8452;width:2;height:1953" coordorigin="5388,8452" coordsize="2,1953">
              <v:shape style="position:absolute;left:5388;top:8452;width:2;height:1953" coordorigin="5388,8452" coordsize="0,1953" path="m5388,8452l5388,10404e" filled="false" stroked="true" strokeweight=".48001pt" strokecolor="#000000">
                <v:path arrowok="t"/>
              </v:shape>
            </v:group>
            <v:group style="position:absolute;left:6451;top:8452;width:2;height:1953" coordorigin="6451,8452" coordsize="2,1953">
              <v:shape style="position:absolute;left:6451;top:8452;width:2;height:1953" coordorigin="6451,8452" coordsize="0,1953" path="m6451,8452l6451,10404e" filled="false" stroked="true" strokeweight=".48001pt" strokecolor="#000000">
                <v:path arrowok="t"/>
              </v:shape>
            </v:group>
            <v:group style="position:absolute;left:7514;top:8452;width:2;height:1953" coordorigin="7514,8452" coordsize="2,1953">
              <v:shape style="position:absolute;left:7514;top:8452;width:2;height:1953" coordorigin="7514,8452" coordsize="0,1953" path="m7514,8452l7514,10404e" filled="false" stroked="true" strokeweight=".47998pt" strokecolor="#000000">
                <v:path arrowok="t"/>
              </v:shape>
            </v:group>
            <v:group style="position:absolute;left:8578;top:8452;width:2;height:1953" coordorigin="8578,8452" coordsize="2,1953">
              <v:shape style="position:absolute;left:8578;top:8452;width:2;height:1953" coordorigin="8578,8452" coordsize="0,1953" path="m8578,8452l8578,10404e" filled="false" stroked="true" strokeweight=".48001pt" strokecolor="#000000">
                <v:path arrowok="t"/>
              </v:shape>
            </v:group>
            <v:group style="position:absolute;left:9640;top:8452;width:2;height:1953" coordorigin="9640,8452" coordsize="2,1953">
              <v:shape style="position:absolute;left:9640;top:8452;width:2;height:1953" coordorigin="9640,8452" coordsize="0,1953" path="m9640,8452l9640,10404e" filled="false" stroked="true" strokeweight=".47998pt" strokecolor="#000000">
                <v:path arrowok="t"/>
              </v:shape>
            </v:group>
            <v:group style="position:absolute;left:5393;top:10414;width:1054;height:1953" coordorigin="5393,10414" coordsize="1054,1953">
              <v:shape style="position:absolute;left:5393;top:10414;width:1054;height:1953" coordorigin="5393,10414" coordsize="1054,1953" path="m5393,12366l6446,12366,6446,10414,5393,10414,5393,12366xe" filled="true" fillcolor="#ffffff" stroked="false">
                <v:path arrowok="t"/>
                <v:fill type="solid"/>
              </v:shape>
            </v:group>
            <v:group style="position:absolute;left:5416;top:11194;width:1007;height:393" coordorigin="5416,11194" coordsize="1007,393">
              <v:shape style="position:absolute;left:5416;top:11194;width:1007;height:393" coordorigin="5416,11194" coordsize="1007,393" path="m5416,11586l6422,11586,6422,11194,5416,11194,5416,11586xe" filled="true" fillcolor="#ffffff" stroked="false">
                <v:path arrowok="t"/>
                <v:fill type="solid"/>
              </v:shape>
            </v:group>
            <v:group style="position:absolute;left:1129;top:10409;width:9579;height:2" coordorigin="1129,10409" coordsize="9579,2">
              <v:shape style="position:absolute;left:1129;top:10409;width:9579;height:2" coordorigin="1129,10409" coordsize="9579,0" path="m1129,10409l10708,10409e" filled="false" stroked="true" strokeweight=".48001pt" strokecolor="#000000">
                <v:path arrowok="t"/>
              </v:shape>
            </v:group>
            <v:group style="position:absolute;left:2200;top:10414;width:2;height:1953" coordorigin="2200,10414" coordsize="2,1953">
              <v:shape style="position:absolute;left:2200;top:10414;width:2;height:1953" coordorigin="2200,10414" coordsize="0,1953" path="m2200,10414l2200,12366e" filled="false" stroked="true" strokeweight=".48pt" strokecolor="#000000">
                <v:path arrowok="t"/>
              </v:shape>
            </v:group>
            <v:group style="position:absolute;left:3262;top:10414;width:2;height:1953" coordorigin="3262,10414" coordsize="2,1953">
              <v:shape style="position:absolute;left:3262;top:10414;width:2;height:1953" coordorigin="3262,10414" coordsize="0,1953" path="m3262,10414l3262,12366e" filled="false" stroked="true" strokeweight=".48001pt" strokecolor="#000000">
                <v:path arrowok="t"/>
              </v:shape>
            </v:group>
            <v:group style="position:absolute;left:4325;top:10414;width:2;height:1953" coordorigin="4325,10414" coordsize="2,1953">
              <v:shape style="position:absolute;left:4325;top:10414;width:2;height:1953" coordorigin="4325,10414" coordsize="0,1953" path="m4325,10414l4325,12366e" filled="false" stroked="true" strokeweight=".48pt" strokecolor="#000000">
                <v:path arrowok="t"/>
              </v:shape>
            </v:group>
            <v:group style="position:absolute;left:5388;top:10414;width:2;height:1953" coordorigin="5388,10414" coordsize="2,1953">
              <v:shape style="position:absolute;left:5388;top:10414;width:2;height:1953" coordorigin="5388,10414" coordsize="0,1953" path="m5388,10414l5388,12366e" filled="false" stroked="true" strokeweight=".48001pt" strokecolor="#000000">
                <v:path arrowok="t"/>
              </v:shape>
            </v:group>
            <v:group style="position:absolute;left:6451;top:10414;width:2;height:1953" coordorigin="6451,10414" coordsize="2,1953">
              <v:shape style="position:absolute;left:6451;top:10414;width:2;height:1953" coordorigin="6451,10414" coordsize="0,1953" path="m6451,10414l6451,12366e" filled="false" stroked="true" strokeweight=".48001pt" strokecolor="#000000">
                <v:path arrowok="t"/>
              </v:shape>
            </v:group>
            <v:group style="position:absolute;left:7514;top:10414;width:2;height:1953" coordorigin="7514,10414" coordsize="2,1953">
              <v:shape style="position:absolute;left:7514;top:10414;width:2;height:1953" coordorigin="7514,10414" coordsize="0,1953" path="m7514,10414l7514,12366e" filled="false" stroked="true" strokeweight=".47998pt" strokecolor="#000000">
                <v:path arrowok="t"/>
              </v:shape>
            </v:group>
            <v:group style="position:absolute;left:8578;top:10414;width:2;height:1953" coordorigin="8578,10414" coordsize="2,1953">
              <v:shape style="position:absolute;left:8578;top:10414;width:2;height:1953" coordorigin="8578,10414" coordsize="0,1953" path="m8578,10414l8578,12366e" filled="false" stroked="true" strokeweight=".48001pt" strokecolor="#000000">
                <v:path arrowok="t"/>
              </v:shape>
            </v:group>
            <v:group style="position:absolute;left:9640;top:10414;width:2;height:1953" coordorigin="9640,10414" coordsize="2,1953">
              <v:shape style="position:absolute;left:9640;top:10414;width:2;height:1953" coordorigin="9640,10414" coordsize="0,1953" path="m9640,10414l9640,12366e" filled="false" stroked="true" strokeweight=".47998pt" strokecolor="#000000">
                <v:path arrowok="t"/>
              </v:shape>
            </v:group>
            <v:group style="position:absolute;left:5393;top:12376;width:1054;height:1329" coordorigin="5393,12376" coordsize="1054,1329">
              <v:shape style="position:absolute;left:5393;top:12376;width:1054;height:1329" coordorigin="5393,12376" coordsize="1054,1329" path="m5393,13704l6446,13704,6446,12376,5393,12376,5393,13704xe" filled="true" fillcolor="#ffffff" stroked="false">
                <v:path arrowok="t"/>
                <v:fill type="solid"/>
              </v:shape>
            </v:group>
            <v:group style="position:absolute;left:5416;top:12844;width:1007;height:393" coordorigin="5416,12844" coordsize="1007,393">
              <v:shape style="position:absolute;left:5416;top:12844;width:1007;height:393" coordorigin="5416,12844" coordsize="1007,393" path="m5416,13236l6422,13236,6422,12844,5416,12844,5416,13236xe" filled="true" fillcolor="#ffffff" stroked="false">
                <v:path arrowok="t"/>
                <v:fill type="solid"/>
              </v:shape>
            </v:group>
            <v:group style="position:absolute;left:1129;top:12371;width:9579;height:2" coordorigin="1129,12371" coordsize="9579,2">
              <v:shape style="position:absolute;left:1129;top:12371;width:9579;height:2" coordorigin="1129,12371" coordsize="9579,0" path="m1129,12371l10708,12371e" filled="false" stroked="true" strokeweight=".48001pt" strokecolor="#000000">
                <v:path arrowok="t"/>
              </v:shape>
            </v:group>
            <v:group style="position:absolute;left:2200;top:12376;width:2;height:1329" coordorigin="2200,12376" coordsize="2,1329">
              <v:shape style="position:absolute;left:2200;top:12376;width:2;height:1329" coordorigin="2200,12376" coordsize="0,1329" path="m2200,12376l2200,13704e" filled="false" stroked="true" strokeweight=".48pt" strokecolor="#000000">
                <v:path arrowok="t"/>
              </v:shape>
            </v:group>
            <v:group style="position:absolute;left:3262;top:12376;width:2;height:1329" coordorigin="3262,12376" coordsize="2,1329">
              <v:shape style="position:absolute;left:3262;top:12376;width:2;height:1329" coordorigin="3262,12376" coordsize="0,1329" path="m3262,12376l3262,13704e" filled="false" stroked="true" strokeweight=".48001pt" strokecolor="#000000">
                <v:path arrowok="t"/>
              </v:shape>
            </v:group>
            <v:group style="position:absolute;left:4325;top:12376;width:2;height:1329" coordorigin="4325,12376" coordsize="2,1329">
              <v:shape style="position:absolute;left:4325;top:12376;width:2;height:1329" coordorigin="4325,12376" coordsize="0,1329" path="m4325,12376l4325,13704e" filled="false" stroked="true" strokeweight=".48pt" strokecolor="#000000">
                <v:path arrowok="t"/>
              </v:shape>
            </v:group>
            <v:group style="position:absolute;left:5388;top:12376;width:2;height:1329" coordorigin="5388,12376" coordsize="2,1329">
              <v:shape style="position:absolute;left:5388;top:12376;width:2;height:1329" coordorigin="5388,12376" coordsize="0,1329" path="m5388,12376l5388,13704e" filled="false" stroked="true" strokeweight=".48001pt" strokecolor="#000000">
                <v:path arrowok="t"/>
              </v:shape>
            </v:group>
            <v:group style="position:absolute;left:6451;top:12376;width:2;height:1329" coordorigin="6451,12376" coordsize="2,1329">
              <v:shape style="position:absolute;left:6451;top:12376;width:2;height:1329" coordorigin="6451,12376" coordsize="0,1329" path="m6451,12376l6451,13704e" filled="false" stroked="true" strokeweight=".48001pt" strokecolor="#000000">
                <v:path arrowok="t"/>
              </v:shape>
            </v:group>
            <v:group style="position:absolute;left:7514;top:12376;width:2;height:1329" coordorigin="7514,12376" coordsize="2,1329">
              <v:shape style="position:absolute;left:7514;top:12376;width:2;height:1329" coordorigin="7514,12376" coordsize="0,1329" path="m7514,12376l7514,13704e" filled="false" stroked="true" strokeweight=".47998pt" strokecolor="#000000">
                <v:path arrowok="t"/>
              </v:shape>
            </v:group>
            <v:group style="position:absolute;left:8578;top:12376;width:2;height:1329" coordorigin="8578,12376" coordsize="2,1329">
              <v:shape style="position:absolute;left:8578;top:12376;width:2;height:1329" coordorigin="8578,12376" coordsize="0,1329" path="m8578,12376l8578,13704e" filled="false" stroked="true" strokeweight=".48001pt" strokecolor="#000000">
                <v:path arrowok="t"/>
              </v:shape>
            </v:group>
            <v:group style="position:absolute;left:9640;top:12376;width:2;height:1329" coordorigin="9640,12376" coordsize="2,1329">
              <v:shape style="position:absolute;left:9640;top:12376;width:2;height:1329" coordorigin="9640,12376" coordsize="0,1329" path="m9640,12376l9640,13704e" filled="false" stroked="true" strokeweight=".47998pt" strokecolor="#000000">
                <v:path arrowok="t"/>
              </v:shape>
            </v:group>
            <v:group style="position:absolute;left:5393;top:13714;width:1054;height:1329" coordorigin="5393,13714" coordsize="1054,1329">
              <v:shape style="position:absolute;left:5393;top:13714;width:1054;height:1329" coordorigin="5393,13714" coordsize="1054,1329" path="m5393,15042l6446,15042,6446,13714,5393,13714,5393,15042xe" filled="true" fillcolor="#ffffff" stroked="false">
                <v:path arrowok="t"/>
                <v:fill type="solid"/>
              </v:shape>
            </v:group>
            <v:group style="position:absolute;left:5416;top:14182;width:1007;height:393" coordorigin="5416,14182" coordsize="1007,393">
              <v:shape style="position:absolute;left:5416;top:14182;width:1007;height:393" coordorigin="5416,14182" coordsize="1007,393" path="m5416,14574l6422,14574,6422,14182,5416,14182,5416,14574xe" filled="true" fillcolor="#ffffff" stroked="false">
                <v:path arrowok="t"/>
                <v:fill type="solid"/>
              </v:shape>
            </v:group>
            <v:group style="position:absolute;left:1129;top:13709;width:9579;height:2" coordorigin="1129,13709" coordsize="9579,2">
              <v:shape style="position:absolute;left:1129;top:13709;width:9579;height:2" coordorigin="1129,13709" coordsize="9579,0" path="m1129,13709l10708,13709e" filled="false" stroked="true" strokeweight=".48001pt" strokecolor="#000000">
                <v:path arrowok="t"/>
              </v:shape>
            </v:group>
            <v:group style="position:absolute;left:1134;top:1440;width:2;height:13612" coordorigin="1134,1440" coordsize="2,13612">
              <v:shape style="position:absolute;left:1134;top:1440;width:2;height:13612" coordorigin="1134,1440" coordsize="0,13612" path="m1134,1440l1134,15052e" filled="false" stroked="true" strokeweight=".48001pt" strokecolor="#000000">
                <v:path arrowok="t"/>
              </v:shape>
            </v:group>
            <v:group style="position:absolute;left:1129;top:15047;width:1066;height:2" coordorigin="1129,15047" coordsize="1066,2">
              <v:shape style="position:absolute;left:1129;top:15047;width:1066;height:2" coordorigin="1129,15047" coordsize="1066,0" path="m1129,15047l2195,15047e" filled="false" stroked="true" strokeweight=".47998pt" strokecolor="#000000">
                <v:path arrowok="t"/>
              </v:shape>
            </v:group>
            <v:group style="position:absolute;left:2200;top:13714;width:2;height:1338" coordorigin="2200,13714" coordsize="2,1338">
              <v:shape style="position:absolute;left:2200;top:13714;width:2;height:1338" coordorigin="2200,13714" coordsize="0,1338" path="m2200,13714l2200,15052e" filled="false" stroked="true" strokeweight=".48pt" strokecolor="#000000">
                <v:path arrowok="t"/>
              </v:shape>
            </v:group>
            <v:group style="position:absolute;left:2204;top:15047;width:1053;height:2" coordorigin="2204,15047" coordsize="1053,2">
              <v:shape style="position:absolute;left:2204;top:15047;width:1053;height:2" coordorigin="2204,15047" coordsize="1053,0" path="m2204,15047l3257,15047e" filled="false" stroked="true" strokeweight=".47998pt" strokecolor="#000000">
                <v:path arrowok="t"/>
              </v:shape>
            </v:group>
            <v:group style="position:absolute;left:3262;top:13714;width:2;height:1338" coordorigin="3262,13714" coordsize="2,1338">
              <v:shape style="position:absolute;left:3262;top:13714;width:2;height:1338" coordorigin="3262,13714" coordsize="0,1338" path="m3262,13714l3262,15052e" filled="false" stroked="true" strokeweight=".48001pt" strokecolor="#000000">
                <v:path arrowok="t"/>
              </v:shape>
            </v:group>
            <v:group style="position:absolute;left:3266;top:15047;width:1054;height:2" coordorigin="3266,15047" coordsize="1054,2">
              <v:shape style="position:absolute;left:3266;top:15047;width:1054;height:2" coordorigin="3266,15047" coordsize="1054,0" path="m3266,15047l4320,15047e" filled="false" stroked="true" strokeweight=".47998pt" strokecolor="#000000">
                <v:path arrowok="t"/>
              </v:shape>
            </v:group>
            <v:group style="position:absolute;left:4325;top:13714;width:2;height:1338" coordorigin="4325,13714" coordsize="2,1338">
              <v:shape style="position:absolute;left:4325;top:13714;width:2;height:1338" coordorigin="4325,13714" coordsize="0,1338" path="m4325,13714l4325,15052e" filled="false" stroked="true" strokeweight=".48pt" strokecolor="#000000">
                <v:path arrowok="t"/>
              </v:shape>
            </v:group>
            <v:group style="position:absolute;left:4330;top:15047;width:1054;height:2" coordorigin="4330,15047" coordsize="1054,2">
              <v:shape style="position:absolute;left:4330;top:15047;width:1054;height:2" coordorigin="4330,15047" coordsize="1054,0" path="m4330,15047l5383,15047e" filled="false" stroked="true" strokeweight=".47998pt" strokecolor="#000000">
                <v:path arrowok="t"/>
              </v:shape>
            </v:group>
            <v:group style="position:absolute;left:5388;top:13714;width:2;height:1338" coordorigin="5388,13714" coordsize="2,1338">
              <v:shape style="position:absolute;left:5388;top:13714;width:2;height:1338" coordorigin="5388,13714" coordsize="0,1338" path="m5388,13714l5388,15052e" filled="false" stroked="true" strokeweight=".48001pt" strokecolor="#000000">
                <v:path arrowok="t"/>
              </v:shape>
            </v:group>
            <v:group style="position:absolute;left:5393;top:15047;width:1054;height:2" coordorigin="5393,15047" coordsize="1054,2">
              <v:shape style="position:absolute;left:5393;top:15047;width:1054;height:2" coordorigin="5393,15047" coordsize="1054,0" path="m5393,15047l6446,15047e" filled="false" stroked="true" strokeweight=".47998pt" strokecolor="#000000">
                <v:path arrowok="t"/>
              </v:shape>
            </v:group>
            <v:group style="position:absolute;left:6451;top:13714;width:2;height:1338" coordorigin="6451,13714" coordsize="2,1338">
              <v:shape style="position:absolute;left:6451;top:13714;width:2;height:1338" coordorigin="6451,13714" coordsize="0,1338" path="m6451,13714l6451,15052e" filled="false" stroked="true" strokeweight=".48001pt" strokecolor="#000000">
                <v:path arrowok="t"/>
              </v:shape>
            </v:group>
            <v:group style="position:absolute;left:6456;top:15047;width:1054;height:2" coordorigin="6456,15047" coordsize="1054,2">
              <v:shape style="position:absolute;left:6456;top:15047;width:1054;height:2" coordorigin="6456,15047" coordsize="1054,0" path="m6456,15047l7510,15047e" filled="false" stroked="true" strokeweight=".47998pt" strokecolor="#000000">
                <v:path arrowok="t"/>
              </v:shape>
            </v:group>
            <v:group style="position:absolute;left:7514;top:13714;width:2;height:1338" coordorigin="7514,13714" coordsize="2,1338">
              <v:shape style="position:absolute;left:7514;top:13714;width:2;height:1338" coordorigin="7514,13714" coordsize="0,1338" path="m7514,13714l7514,15052e" filled="false" stroked="true" strokeweight=".47998pt" strokecolor="#000000">
                <v:path arrowok="t"/>
              </v:shape>
            </v:group>
            <v:group style="position:absolute;left:7519;top:15047;width:1054;height:2" coordorigin="7519,15047" coordsize="1054,2">
              <v:shape style="position:absolute;left:7519;top:15047;width:1054;height:2" coordorigin="7519,15047" coordsize="1054,0" path="m7519,15047l8573,15047e" filled="false" stroked="true" strokeweight=".47998pt" strokecolor="#000000">
                <v:path arrowok="t"/>
              </v:shape>
            </v:group>
            <v:group style="position:absolute;left:8578;top:13714;width:2;height:1338" coordorigin="8578,13714" coordsize="2,1338">
              <v:shape style="position:absolute;left:8578;top:13714;width:2;height:1338" coordorigin="8578,13714" coordsize="0,1338" path="m8578,13714l8578,15052e" filled="false" stroked="true" strokeweight=".48001pt" strokecolor="#000000">
                <v:path arrowok="t"/>
              </v:shape>
            </v:group>
            <v:group style="position:absolute;left:8582;top:15047;width:1053;height:2" coordorigin="8582,15047" coordsize="1053,2">
              <v:shape style="position:absolute;left:8582;top:15047;width:1053;height:2" coordorigin="8582,15047" coordsize="1053,0" path="m8582,15047l9635,15047e" filled="false" stroked="true" strokeweight=".47998pt" strokecolor="#000000">
                <v:path arrowok="t"/>
              </v:shape>
            </v:group>
            <v:group style="position:absolute;left:9640;top:13714;width:2;height:1338" coordorigin="9640,13714" coordsize="2,1338">
              <v:shape style="position:absolute;left:9640;top:13714;width:2;height:1338" coordorigin="9640,13714" coordsize="0,1338" path="m9640,13714l9640,15052e" filled="false" stroked="true" strokeweight=".47998pt" strokecolor="#000000">
                <v:path arrowok="t"/>
              </v:shape>
            </v:group>
            <v:group style="position:absolute;left:9644;top:15047;width:1054;height:2" coordorigin="9644,15047" coordsize="1054,2">
              <v:shape style="position:absolute;left:9644;top:15047;width:1054;height:2" coordorigin="9644,15047" coordsize="1054,0" path="m9644,15047l10698,15047e" filled="false" stroked="true" strokeweight=".47998pt" strokecolor="#000000">
                <v:path arrowok="t"/>
              </v:shape>
            </v:group>
            <v:group style="position:absolute;left:10703;top:1440;width:2;height:13612" coordorigin="10703,1440" coordsize="2,13612">
              <v:shape style="position:absolute;left:10703;top:1440;width:2;height:13612" coordorigin="10703,1440" coordsize="0,13612" path="m10703,1440l10703,15052e" filled="false" stroked="true" strokeweight=".47998pt" strokecolor="#000000">
                <v:path arrowok="t"/>
              </v:shape>
            </v:group>
            <w10:wrap type="none"/>
          </v:group>
        </w:pict>
      </w:r>
    </w:p>
    <w:p>
      <w:pPr>
        <w:spacing w:line="240" w:lineRule="auto" w:before="11"/>
        <w:rPr>
          <w:rFonts w:ascii="宋体" w:hAnsi="宋体" w:cs="宋体" w:eastAsia="宋体" w:hint="default"/>
          <w:sz w:val="25"/>
          <w:szCs w:val="25"/>
        </w:rPr>
      </w:pPr>
    </w:p>
    <w:p>
      <w:pPr>
        <w:pStyle w:val="BodyText"/>
        <w:spacing w:line="240" w:lineRule="auto"/>
        <w:ind w:left="181" w:right="-20"/>
        <w:jc w:val="left"/>
      </w:pPr>
      <w:r>
        <w:rPr/>
        <w:t>专利奖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81" w:right="0"/>
        <w:jc w:val="left"/>
      </w:pPr>
      <w:r>
        <w:rPr/>
        <w:t>当地政府机</w:t>
      </w:r>
    </w:p>
    <w:p>
      <w:pPr>
        <w:pStyle w:val="BodyText"/>
        <w:spacing w:line="157" w:lineRule="exact"/>
        <w:ind w:left="0" w:right="0"/>
        <w:jc w:val="right"/>
      </w:pPr>
      <w:r>
        <w:rPr/>
        <w:t>奖励</w:t>
      </w:r>
    </w:p>
    <w:p>
      <w:pPr>
        <w:pStyle w:val="BodyText"/>
        <w:spacing w:line="196" w:lineRule="exact"/>
        <w:ind w:left="181" w:right="0"/>
        <w:jc w:val="left"/>
      </w:pPr>
      <w:r>
        <w:rPr/>
        <w:t>关</w:t>
      </w:r>
    </w:p>
    <w:p>
      <w:pPr>
        <w:pStyle w:val="BodyText"/>
        <w:spacing w:line="310" w:lineRule="atLeast" w:before="31"/>
        <w:ind w:left="181" w:right="5472"/>
        <w:jc w:val="left"/>
      </w:pPr>
      <w:r>
        <w:rPr/>
        <w:br w:type="column"/>
      </w:r>
      <w:r>
        <w:rPr/>
        <w:t>因研究开发、 技术更新及</w:t>
      </w:r>
    </w:p>
    <w:p>
      <w:pPr>
        <w:pStyle w:val="BodyText"/>
        <w:tabs>
          <w:tab w:pos="2307" w:val="left" w:leader="none"/>
          <w:tab w:pos="3657" w:val="left" w:leader="none"/>
          <w:tab w:pos="5497" w:val="left" w:leader="none"/>
        </w:tabs>
        <w:spacing w:line="123" w:lineRule="exact"/>
        <w:ind w:left="1244" w:right="0"/>
        <w:jc w:val="left"/>
      </w:pPr>
      <w:r>
        <w:rPr/>
        <w:t>是</w:t>
        <w:tab/>
        <w:t>是</w:t>
        <w:tab/>
      </w:r>
      <w:r>
        <w:rPr>
          <w:rFonts w:ascii="Times New Roman" w:hAnsi="Times New Roman" w:cs="Times New Roman" w:eastAsia="Times New Roman" w:hint="default"/>
        </w:rPr>
        <w:t>20,000.00</w:t>
        <w:tab/>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722" w:space="343"/>
            <w:col w:w="1605" w:space="520"/>
            <w:col w:w="6760"/>
          </w:cols>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982" w:top="1060" w:bottom="1180" w:left="980" w:right="980"/>
        </w:sectPr>
      </w:pPr>
    </w:p>
    <w:p>
      <w:pPr>
        <w:spacing w:line="240" w:lineRule="auto" w:before="0"/>
        <w:rPr>
          <w:rFonts w:ascii="宋体" w:hAnsi="宋体" w:cs="宋体" w:eastAsia="宋体" w:hint="default"/>
          <w:sz w:val="18"/>
          <w:szCs w:val="18"/>
        </w:rPr>
      </w:pPr>
    </w:p>
    <w:p>
      <w:pPr>
        <w:pStyle w:val="BodyText"/>
        <w:spacing w:line="314" w:lineRule="auto" w:before="121"/>
        <w:ind w:left="181" w:right="-19"/>
        <w:jc w:val="left"/>
      </w:pPr>
      <w:r>
        <w:rPr/>
        <w:t>关于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 普通高校毕 业生和中小 企业社保申 领的通知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36" w:right="0"/>
        <w:jc w:val="left"/>
      </w:pPr>
      <w:r>
        <w:rPr/>
        <w:t>当地政府机</w:t>
      </w:r>
    </w:p>
    <w:p>
      <w:pPr>
        <w:pStyle w:val="BodyText"/>
        <w:spacing w:line="157" w:lineRule="exact"/>
        <w:ind w:left="0" w:right="0"/>
        <w:jc w:val="right"/>
      </w:pPr>
      <w:r>
        <w:rPr/>
        <w:t>补助</w:t>
      </w:r>
    </w:p>
    <w:p>
      <w:pPr>
        <w:pStyle w:val="BodyText"/>
        <w:spacing w:line="196" w:lineRule="exact"/>
        <w:ind w:left="36" w:right="0"/>
        <w:jc w:val="left"/>
      </w:pPr>
      <w:r>
        <w:rPr/>
        <w:t>关</w:t>
      </w:r>
    </w:p>
    <w:p>
      <w:pPr>
        <w:pStyle w:val="BodyText"/>
        <w:spacing w:line="319" w:lineRule="auto" w:before="44"/>
        <w:ind w:left="181" w:right="-15"/>
        <w:jc w:val="left"/>
      </w:pPr>
      <w:r>
        <w:rPr/>
        <w:br w:type="column"/>
      </w:r>
      <w:r>
        <w:rPr/>
        <w:t>因从事国家 鼓励和扶持 </w:t>
      </w:r>
      <w:r>
        <w:rPr>
          <w:spacing w:val="-13"/>
        </w:rPr>
        <w:t>特定行业、产</w:t>
      </w:r>
      <w:r>
        <w:rPr>
          <w:spacing w:val="-86"/>
        </w:rPr>
        <w:t> </w:t>
      </w:r>
      <w:r>
        <w:rPr>
          <w:spacing w:val="-86"/>
        </w:rPr>
      </w:r>
      <w:r>
        <w:rPr/>
        <w:t>业而获得的 </w:t>
      </w:r>
      <w:r>
        <w:rPr>
          <w:spacing w:val="-13"/>
        </w:rPr>
        <w:t>补助（按国家</w:t>
      </w:r>
      <w:r>
        <w:rPr>
          <w:spacing w:val="-86"/>
        </w:rPr>
        <w:t> </w:t>
      </w:r>
      <w:r>
        <w:rPr>
          <w:spacing w:val="-86"/>
        </w:rPr>
      </w:r>
      <w:r>
        <w:rPr/>
        <w:t>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9" w:val="left" w:leader="none"/>
          <w:tab w:pos="2429" w:val="left" w:leader="none"/>
          <w:tab w:pos="4269" w:val="left" w:leader="none"/>
        </w:tabs>
        <w:spacing w:line="240" w:lineRule="auto"/>
        <w:ind w:left="16" w:right="0"/>
        <w:jc w:val="left"/>
      </w:pPr>
      <w:r>
        <w:rPr/>
        <w:t>是</w:t>
        <w:tab/>
        <w:t>是</w:t>
        <w:tab/>
      </w:r>
      <w:r>
        <w:rPr>
          <w:rFonts w:ascii="Times New Roman" w:hAnsi="Times New Roman" w:cs="Times New Roman" w:eastAsia="Times New Roman" w:hint="default"/>
        </w:rPr>
        <w:t>16,700.00</w:t>
        <w:tab/>
      </w:r>
      <w:r>
        <w:rPr/>
        <w:t>与收益相关</w:t>
      </w:r>
    </w:p>
    <w:p>
      <w:pPr>
        <w:spacing w:after="0" w:line="240" w:lineRule="auto"/>
        <w:jc w:val="left"/>
        <w:sectPr>
          <w:type w:val="continuous"/>
          <w:pgSz w:w="11910" w:h="16840"/>
          <w:pgMar w:top="1060" w:bottom="1180" w:left="980" w:right="980"/>
          <w:cols w:num="4" w:equalWidth="0">
            <w:col w:w="1171" w:space="40"/>
            <w:col w:w="1460" w:space="520"/>
            <w:col w:w="1189" w:space="40"/>
            <w:col w:w="553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9" w:lineRule="auto"/>
        <w:ind w:left="181" w:right="-20"/>
        <w:jc w:val="left"/>
      </w:pPr>
      <w:r>
        <w:rPr/>
        <w:t>高校毕业生 社保补贴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196" w:lineRule="exact"/>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9" w:lineRule="auto" w:before="106"/>
        <w:ind w:left="181" w:right="-15"/>
        <w:jc w:val="left"/>
      </w:pPr>
      <w:r>
        <w:rPr/>
        <w:br w:type="column"/>
      </w:r>
      <w:r>
        <w:rPr/>
        <w:t>因从事国家 鼓励和扶持 </w:t>
      </w:r>
      <w:r>
        <w:rPr>
          <w:spacing w:val="-13"/>
        </w:rPr>
        <w:t>特定行业、产</w:t>
      </w:r>
      <w:r>
        <w:rPr>
          <w:spacing w:val="-86"/>
        </w:rPr>
        <w:t> </w:t>
      </w:r>
      <w:r>
        <w:rPr>
          <w:spacing w:val="-86"/>
        </w:rPr>
      </w:r>
      <w:r>
        <w:rPr/>
        <w:t>业而获得的 </w:t>
      </w:r>
      <w:r>
        <w:rPr>
          <w:spacing w:val="-13"/>
        </w:rPr>
        <w:t>补助（按国家</w:t>
      </w:r>
      <w:r>
        <w:rPr>
          <w:spacing w:val="-86"/>
        </w:rPr>
        <w:t> </w:t>
      </w:r>
      <w:r>
        <w:rPr>
          <w:spacing w:val="-86"/>
        </w:rPr>
      </w:r>
      <w:r>
        <w:rPr/>
        <w:t>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tabs>
          <w:tab w:pos="1079" w:val="left" w:leader="none"/>
          <w:tab w:pos="2655" w:val="left" w:leader="none"/>
          <w:tab w:pos="4269" w:val="left" w:leader="none"/>
        </w:tabs>
        <w:spacing w:line="240" w:lineRule="auto"/>
        <w:ind w:left="16" w:right="0"/>
        <w:jc w:val="left"/>
      </w:pPr>
      <w:r>
        <w:rPr/>
        <w:t>是</w:t>
        <w:tab/>
        <w:t>是</w:t>
        <w:tab/>
      </w:r>
      <w:r>
        <w:rPr>
          <w:rFonts w:ascii="Times New Roman" w:hAnsi="Times New Roman" w:cs="Times New Roman" w:eastAsia="Times New Roman" w:hint="default"/>
        </w:rPr>
        <w:t>500.00</w:t>
        <w:tab/>
      </w:r>
      <w:r>
        <w:rPr/>
        <w:t>与收益相关</w:t>
      </w:r>
    </w:p>
    <w:p>
      <w:pPr>
        <w:spacing w:after="0" w:line="240" w:lineRule="auto"/>
        <w:jc w:val="left"/>
        <w:sectPr>
          <w:type w:val="continuous"/>
          <w:pgSz w:w="11910" w:h="16840"/>
          <w:pgMar w:top="1060" w:bottom="1180" w:left="980" w:right="980"/>
          <w:cols w:num="4" w:equalWidth="0">
            <w:col w:w="1082" w:space="40"/>
            <w:col w:w="1549" w:space="520"/>
            <w:col w:w="1189" w:space="40"/>
            <w:col w:w="5530"/>
          </w:cols>
        </w:sectPr>
      </w:pPr>
    </w:p>
    <w:p>
      <w:pPr>
        <w:pStyle w:val="BodyText"/>
        <w:spacing w:line="314" w:lineRule="auto" w:before="106"/>
        <w:ind w:left="181" w:right="-20"/>
        <w:jc w:val="left"/>
      </w:pPr>
      <w:r>
        <w:rPr/>
        <w:t>榕基质检三 电工程 </w:t>
      </w:r>
      <w:r>
        <w:rPr>
          <w:rFonts w:ascii="Times New Roman" w:hAnsi="Times New Roman" w:cs="Times New Roman" w:eastAsia="Times New Roman" w:hint="default"/>
        </w:rPr>
        <w:t>SAAS</w:t>
      </w:r>
      <w:r>
        <w:rPr>
          <w:rFonts w:ascii="Times New Roman" w:hAnsi="Times New Roman" w:cs="Times New Roman" w:eastAsia="Times New Roman" w:hint="default"/>
          <w:spacing w:val="-3"/>
        </w:rPr>
        <w:t> </w:t>
      </w:r>
      <w:r>
        <w:rPr/>
        <w:t>服务 平台研发及 产业化项目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5"/>
          <w:szCs w:val="25"/>
        </w:rPr>
      </w:pPr>
    </w:p>
    <w:p>
      <w:pPr>
        <w:pStyle w:val="BodyText"/>
        <w:spacing w:line="196" w:lineRule="exact"/>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spacing w:line="240" w:lineRule="auto" w:before="4"/>
        <w:rPr>
          <w:rFonts w:ascii="宋体" w:hAnsi="宋体" w:cs="宋体" w:eastAsia="宋体" w:hint="default"/>
          <w:sz w:val="14"/>
          <w:szCs w:val="14"/>
        </w:rPr>
      </w:pPr>
      <w:r>
        <w:rPr/>
        <w:br w:type="column"/>
      </w:r>
      <w:r>
        <w:rPr>
          <w:rFonts w:ascii="宋体"/>
          <w:sz w:val="14"/>
        </w:rPr>
      </w:r>
    </w:p>
    <w:p>
      <w:pPr>
        <w:pStyle w:val="BodyText"/>
        <w:spacing w:line="310" w:lineRule="atLeast"/>
        <w:ind w:left="181" w:right="5472"/>
        <w:jc w:val="left"/>
      </w:pPr>
      <w:r>
        <w:rPr/>
        <w:t>因研究开发、 技术更新及</w:t>
      </w:r>
    </w:p>
    <w:p>
      <w:pPr>
        <w:pStyle w:val="BodyText"/>
        <w:tabs>
          <w:tab w:pos="2307" w:val="left" w:leader="none"/>
          <w:tab w:pos="4496" w:val="left" w:leader="none"/>
        </w:tabs>
        <w:spacing w:line="123" w:lineRule="exact"/>
        <w:ind w:left="1244" w:right="0"/>
        <w:jc w:val="left"/>
      </w:pPr>
      <w:r>
        <w:rPr/>
        <w:t>是</w:t>
        <w:tab/>
        <w:t>是</w:t>
        <w:tab/>
      </w:r>
      <w:r>
        <w:rPr>
          <w:rFonts w:ascii="Times New Roman" w:hAnsi="Times New Roman" w:cs="Times New Roman" w:eastAsia="Times New Roman" w:hint="default"/>
        </w:rPr>
        <w:t>2,909,090.90</w:t>
      </w:r>
      <w:r>
        <w:rPr>
          <w:rFonts w:ascii="Times New Roman" w:hAnsi="Times New Roman" w:cs="Times New Roman" w:eastAsia="Times New Roman" w:hint="default"/>
          <w:spacing w:val="8"/>
        </w:rPr>
        <w:t> </w:t>
      </w:r>
      <w:r>
        <w:rPr/>
        <w:t>与资产相关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20"/>
          <w:szCs w:val="20"/>
        </w:rPr>
      </w:pPr>
    </w:p>
    <w:p>
      <w:pPr>
        <w:pStyle w:val="BodyText"/>
        <w:spacing w:line="319" w:lineRule="auto"/>
        <w:ind w:left="181" w:right="0"/>
        <w:jc w:val="both"/>
      </w:pPr>
      <w:r>
        <w:rPr/>
        <w:t>创新型企业 创新成果补 助项目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4631" w:val="left" w:leader="none"/>
        </w:tabs>
        <w:spacing w:line="123" w:lineRule="exact"/>
        <w:ind w:left="1244" w:right="0"/>
        <w:jc w:val="left"/>
      </w:pPr>
      <w:r>
        <w:rPr/>
        <w:t>是</w:t>
        <w:tab/>
        <w:t>是</w:t>
        <w:tab/>
      </w:r>
      <w:r>
        <w:rPr>
          <w:rFonts w:ascii="Times New Roman" w:hAnsi="Times New Roman" w:cs="Times New Roman" w:eastAsia="Times New Roman" w:hint="default"/>
        </w:rPr>
        <w:t>200,000.00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9" w:lineRule="auto" w:before="121"/>
        <w:ind w:left="181" w:right="-20"/>
        <w:jc w:val="left"/>
      </w:pPr>
      <w:r>
        <w:rPr/>
        <w:t>软件人才培 训补助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631" w:val="left" w:leader="none"/>
        </w:tabs>
        <w:spacing w:line="86" w:lineRule="exact"/>
        <w:ind w:left="1244" w:right="0"/>
        <w:jc w:val="left"/>
      </w:pPr>
      <w:r>
        <w:rPr/>
        <w:t>是</w:t>
        <w:tab/>
        <w:t>是</w:t>
        <w:tab/>
      </w:r>
      <w:r>
        <w:rPr>
          <w:rFonts w:ascii="Times New Roman" w:hAnsi="Times New Roman" w:cs="Times New Roman" w:eastAsia="Times New Roman" w:hint="default"/>
        </w:rPr>
        <w:t>159,000.00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年福建 省软人才实 训基地补贴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1" w:right="0"/>
        <w:jc w:val="left"/>
      </w:pPr>
      <w:r>
        <w:rPr/>
        <w:t>当地政府机</w:t>
      </w:r>
    </w:p>
    <w:p>
      <w:pPr>
        <w:pStyle w:val="BodyText"/>
        <w:spacing w:line="157" w:lineRule="exact"/>
        <w:ind w:left="0" w:right="0"/>
        <w:jc w:val="right"/>
      </w:pPr>
      <w:r>
        <w:rPr/>
        <w:t>补助</w:t>
      </w:r>
    </w:p>
    <w:p>
      <w:pPr>
        <w:pStyle w:val="BodyText"/>
        <w:spacing w:line="196" w:lineRule="exact"/>
        <w:ind w:left="81"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631" w:val="left" w:leader="none"/>
        </w:tabs>
        <w:spacing w:line="86" w:lineRule="exact"/>
        <w:ind w:left="1244" w:right="0"/>
        <w:jc w:val="left"/>
      </w:pPr>
      <w:r>
        <w:rPr/>
        <w:t>是</w:t>
        <w:tab/>
        <w:t>是</w:t>
        <w:tab/>
      </w:r>
      <w:r>
        <w:rPr>
          <w:rFonts w:ascii="Times New Roman" w:hAnsi="Times New Roman" w:cs="Times New Roman" w:eastAsia="Times New Roman" w:hint="default"/>
        </w:rPr>
        <w:t>132,000.00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127" w:space="40"/>
            <w:col w:w="1505" w:space="520"/>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20"/>
        <w:jc w:val="left"/>
      </w:pPr>
      <w:r>
        <w:rPr/>
        <w:t>无线信息服 务平台</w:t>
      </w:r>
    </w:p>
    <w:p>
      <w:pPr>
        <w:pStyle w:val="BodyText"/>
        <w:spacing w:line="240" w:lineRule="auto" w:before="60"/>
        <w:ind w:left="181" w:right="-20"/>
        <w:jc w:val="left"/>
        <w:rPr>
          <w:rFonts w:ascii="Times New Roman" w:hAnsi="Times New Roman" w:cs="Times New Roman" w:eastAsia="Times New Roman" w:hint="default"/>
        </w:rPr>
      </w:pPr>
      <w:r>
        <w:rPr>
          <w:rFonts w:ascii="Times New Roman"/>
        </w:rPr>
        <w:t>(RJ-WISP)</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196" w:lineRule="exact" w:before="149"/>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631" w:val="left" w:leader="none"/>
        </w:tabs>
        <w:spacing w:line="86" w:lineRule="exact"/>
        <w:ind w:left="1244" w:right="0"/>
        <w:jc w:val="left"/>
      </w:pPr>
      <w:r>
        <w:rPr/>
        <w:t>是</w:t>
        <w:tab/>
        <w:t>是</w:t>
        <w:tab/>
      </w:r>
      <w:r>
        <w:rPr>
          <w:rFonts w:ascii="Times New Roman" w:hAnsi="Times New Roman" w:cs="Times New Roman" w:eastAsia="Times New Roman" w:hint="default"/>
        </w:rPr>
        <w:t>121,951.20</w:t>
      </w:r>
      <w:r>
        <w:rPr>
          <w:rFonts w:ascii="Times New Roman" w:hAnsi="Times New Roman" w:cs="Times New Roman" w:eastAsia="Times New Roman" w:hint="default"/>
          <w:spacing w:val="10"/>
        </w:rPr>
        <w:t> </w:t>
      </w:r>
      <w:r>
        <w:rPr/>
        <w:t>与资产相关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80" w:left="980" w:right="980"/>
          <w:cols w:num="3" w:equalWidth="0">
            <w:col w:w="1082" w:space="40"/>
            <w:col w:w="1549" w:space="520"/>
            <w:col w:w="6759"/>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r>
        <w:rPr/>
        <w:pict>
          <v:group style="position:absolute;margin-left:56.219978pt;margin-top:71.759956pt;width:479.4pt;height:692.2pt;mso-position-horizontal-relative:page;mso-position-vertical-relative:page;z-index:-1142104" coordorigin="1124,1435" coordsize="9588,13844">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2265" coordorigin="2200,1450" coordsize="2,2265">
              <v:shape style="position:absolute;left:2200;top:1450;width:2;height:2265" coordorigin="2200,1450" coordsize="0,2265" path="m2200,1450l2200,3714e" filled="false" stroked="true" strokeweight=".48pt" strokecolor="#000000">
                <v:path arrowok="t"/>
              </v:shape>
            </v:group>
            <v:group style="position:absolute;left:3262;top:1450;width:2;height:2265" coordorigin="3262,1450" coordsize="2,2265">
              <v:shape style="position:absolute;left:3262;top:1450;width:2;height:2265" coordorigin="3262,1450" coordsize="0,2265" path="m3262,1450l3262,3714e" filled="false" stroked="true" strokeweight=".48001pt" strokecolor="#000000">
                <v:path arrowok="t"/>
              </v:shape>
            </v:group>
            <v:group style="position:absolute;left:4325;top:1450;width:2;height:2265" coordorigin="4325,1450" coordsize="2,2265">
              <v:shape style="position:absolute;left:4325;top:1450;width:2;height:2265" coordorigin="4325,1450" coordsize="0,2265" path="m4325,1450l4325,3714e" filled="false" stroked="true" strokeweight=".48pt" strokecolor="#000000">
                <v:path arrowok="t"/>
              </v:shape>
            </v:group>
            <v:group style="position:absolute;left:5388;top:1450;width:2;height:2265" coordorigin="5388,1450" coordsize="2,2265">
              <v:shape style="position:absolute;left:5388;top:1450;width:2;height:2265" coordorigin="5388,1450" coordsize="0,2265" path="m5388,1450l5388,3714e" filled="false" stroked="true" strokeweight=".48001pt" strokecolor="#000000">
                <v:path arrowok="t"/>
              </v:shape>
            </v:group>
            <v:group style="position:absolute;left:6451;top:1450;width:2;height:2265" coordorigin="6451,1450" coordsize="2,2265">
              <v:shape style="position:absolute;left:6451;top:1450;width:2;height:2265" coordorigin="6451,1450" coordsize="0,2265" path="m6451,1450l6451,3714e" filled="false" stroked="true" strokeweight=".48001pt" strokecolor="#000000">
                <v:path arrowok="t"/>
              </v:shape>
            </v:group>
            <v:group style="position:absolute;left:7514;top:1450;width:2;height:2265" coordorigin="7514,1450" coordsize="2,2265">
              <v:shape style="position:absolute;left:7514;top:1450;width:2;height:2265" coordorigin="7514,1450" coordsize="0,2265" path="m7514,1450l7514,3714e" filled="false" stroked="true" strokeweight=".47998pt" strokecolor="#000000">
                <v:path arrowok="t"/>
              </v:shape>
            </v:group>
            <v:group style="position:absolute;left:8578;top:1450;width:2;height:2265" coordorigin="8578,1450" coordsize="2,2265">
              <v:shape style="position:absolute;left:8578;top:1450;width:2;height:2265" coordorigin="8578,1450" coordsize="0,2265" path="m8578,1450l8578,3714e" filled="false" stroked="true" strokeweight=".48001pt" strokecolor="#000000">
                <v:path arrowok="t"/>
              </v:shape>
            </v:group>
            <v:group style="position:absolute;left:9640;top:1450;width:2;height:2265" coordorigin="9640,1450" coordsize="2,2265">
              <v:shape style="position:absolute;left:9640;top:1450;width:2;height:2265" coordorigin="9640,1450" coordsize="0,2265" path="m9640,1450l9640,3714e" filled="false" stroked="true" strokeweight=".47998pt" strokecolor="#000000">
                <v:path arrowok="t"/>
              </v:shape>
            </v:group>
            <v:group style="position:absolute;left:1129;top:3719;width:9579;height:2" coordorigin="1129,3719" coordsize="9579,2">
              <v:shape style="position:absolute;left:1129;top:3719;width:9579;height:2" coordorigin="1129,3719" coordsize="9579,0" path="m1129,3719l10708,3719e" filled="false" stroked="true" strokeweight=".47998pt" strokecolor="#000000">
                <v:path arrowok="t"/>
              </v:shape>
            </v:group>
            <v:group style="position:absolute;left:2200;top:3724;width:2;height:2265" coordorigin="2200,3724" coordsize="2,2265">
              <v:shape style="position:absolute;left:2200;top:3724;width:2;height:2265" coordorigin="2200,3724" coordsize="0,2265" path="m2200,3724l2200,5988e" filled="false" stroked="true" strokeweight=".48pt" strokecolor="#000000">
                <v:path arrowok="t"/>
              </v:shape>
            </v:group>
            <v:group style="position:absolute;left:3262;top:3724;width:2;height:2265" coordorigin="3262,3724" coordsize="2,2265">
              <v:shape style="position:absolute;left:3262;top:3724;width:2;height:2265" coordorigin="3262,3724" coordsize="0,2265" path="m3262,3724l3262,5988e" filled="false" stroked="true" strokeweight=".48001pt" strokecolor="#000000">
                <v:path arrowok="t"/>
              </v:shape>
            </v:group>
            <v:group style="position:absolute;left:4325;top:3724;width:2;height:2265" coordorigin="4325,3724" coordsize="2,2265">
              <v:shape style="position:absolute;left:4325;top:3724;width:2;height:2265" coordorigin="4325,3724" coordsize="0,2265" path="m4325,3724l4325,5988e" filled="false" stroked="true" strokeweight=".48pt" strokecolor="#000000">
                <v:path arrowok="t"/>
              </v:shape>
            </v:group>
            <v:group style="position:absolute;left:5388;top:3724;width:2;height:2265" coordorigin="5388,3724" coordsize="2,2265">
              <v:shape style="position:absolute;left:5388;top:3724;width:2;height:2265" coordorigin="5388,3724" coordsize="0,2265" path="m5388,3724l5388,5988e" filled="false" stroked="true" strokeweight=".48001pt" strokecolor="#000000">
                <v:path arrowok="t"/>
              </v:shape>
            </v:group>
            <v:group style="position:absolute;left:6451;top:3724;width:2;height:2265" coordorigin="6451,3724" coordsize="2,2265">
              <v:shape style="position:absolute;left:6451;top:3724;width:2;height:2265" coordorigin="6451,3724" coordsize="0,2265" path="m6451,3724l6451,5988e" filled="false" stroked="true" strokeweight=".48001pt" strokecolor="#000000">
                <v:path arrowok="t"/>
              </v:shape>
            </v:group>
            <v:group style="position:absolute;left:7514;top:3724;width:2;height:2265" coordorigin="7514,3724" coordsize="2,2265">
              <v:shape style="position:absolute;left:7514;top:3724;width:2;height:2265" coordorigin="7514,3724" coordsize="0,2265" path="m7514,3724l7514,5988e" filled="false" stroked="true" strokeweight=".47998pt" strokecolor="#000000">
                <v:path arrowok="t"/>
              </v:shape>
            </v:group>
            <v:group style="position:absolute;left:8578;top:3724;width:2;height:2265" coordorigin="8578,3724" coordsize="2,2265">
              <v:shape style="position:absolute;left:8578;top:3724;width:2;height:2265" coordorigin="8578,3724" coordsize="0,2265" path="m8578,3724l8578,5988e" filled="false" stroked="true" strokeweight=".48001pt" strokecolor="#000000">
                <v:path arrowok="t"/>
              </v:shape>
            </v:group>
            <v:group style="position:absolute;left:9640;top:3724;width:2;height:2265" coordorigin="9640,3724" coordsize="2,2265">
              <v:shape style="position:absolute;left:9640;top:3724;width:2;height:2265" coordorigin="9640,3724" coordsize="0,2265" path="m9640,3724l9640,5988e" filled="false" stroked="true" strokeweight=".47998pt" strokecolor="#000000">
                <v:path arrowok="t"/>
              </v:shape>
            </v:group>
            <v:group style="position:absolute;left:5393;top:5998;width:1054;height:1641" coordorigin="5393,5998" coordsize="1054,1641">
              <v:shape style="position:absolute;left:5393;top:5998;width:1054;height:1641" coordorigin="5393,5998" coordsize="1054,1641" path="m5393,7638l6446,7638,6446,5998,5393,5998,5393,7638xe" filled="true" fillcolor="#ffffff" stroked="false">
                <v:path arrowok="t"/>
                <v:fill type="solid"/>
              </v:shape>
            </v:group>
            <v:group style="position:absolute;left:5416;top:6622;width:1007;height:393" coordorigin="5416,6622" coordsize="1007,393">
              <v:shape style="position:absolute;left:5416;top:6622;width:1007;height:393" coordorigin="5416,6622" coordsize="1007,393" path="m5416,7014l6422,7014,6422,6622,5416,6622,5416,7014xe" filled="true" fillcolor="#ffffff" stroked="false">
                <v:path arrowok="t"/>
                <v:fill type="solid"/>
              </v:shape>
            </v:group>
            <v:group style="position:absolute;left:1129;top:5993;width:9579;height:2" coordorigin="1129,5993" coordsize="9579,2">
              <v:shape style="position:absolute;left:1129;top:5993;width:9579;height:2" coordorigin="1129,5993" coordsize="9579,0" path="m1129,5993l10708,5993e" filled="false" stroked="true" strokeweight=".47998pt" strokecolor="#000000">
                <v:path arrowok="t"/>
              </v:shape>
            </v:group>
            <v:group style="position:absolute;left:2200;top:5998;width:2;height:1641" coordorigin="2200,5998" coordsize="2,1641">
              <v:shape style="position:absolute;left:2200;top:5998;width:2;height:1641" coordorigin="2200,5998" coordsize="0,1641" path="m2200,5998l2200,7638e" filled="false" stroked="true" strokeweight=".48pt" strokecolor="#000000">
                <v:path arrowok="t"/>
              </v:shape>
            </v:group>
            <v:group style="position:absolute;left:3262;top:5998;width:2;height:1641" coordorigin="3262,5998" coordsize="2,1641">
              <v:shape style="position:absolute;left:3262;top:5998;width:2;height:1641" coordorigin="3262,5998" coordsize="0,1641" path="m3262,5998l3262,7638e" filled="false" stroked="true" strokeweight=".48001pt" strokecolor="#000000">
                <v:path arrowok="t"/>
              </v:shape>
            </v:group>
            <v:group style="position:absolute;left:4325;top:5998;width:2;height:1641" coordorigin="4325,5998" coordsize="2,1641">
              <v:shape style="position:absolute;left:4325;top:5998;width:2;height:1641" coordorigin="4325,5998" coordsize="0,1641" path="m4325,5998l4325,7638e" filled="false" stroked="true" strokeweight=".48pt" strokecolor="#000000">
                <v:path arrowok="t"/>
              </v:shape>
            </v:group>
            <v:group style="position:absolute;left:5388;top:5998;width:2;height:1641" coordorigin="5388,5998" coordsize="2,1641">
              <v:shape style="position:absolute;left:5388;top:5998;width:2;height:1641" coordorigin="5388,5998" coordsize="0,1641" path="m5388,5998l5388,7638e" filled="false" stroked="true" strokeweight=".48001pt" strokecolor="#000000">
                <v:path arrowok="t"/>
              </v:shape>
            </v:group>
            <v:group style="position:absolute;left:6451;top:5998;width:2;height:1641" coordorigin="6451,5998" coordsize="2,1641">
              <v:shape style="position:absolute;left:6451;top:5998;width:2;height:1641" coordorigin="6451,5998" coordsize="0,1641" path="m6451,5998l6451,7638e" filled="false" stroked="true" strokeweight=".48001pt" strokecolor="#000000">
                <v:path arrowok="t"/>
              </v:shape>
            </v:group>
            <v:group style="position:absolute;left:7514;top:5998;width:2;height:1641" coordorigin="7514,5998" coordsize="2,1641">
              <v:shape style="position:absolute;left:7514;top:5998;width:2;height:1641" coordorigin="7514,5998" coordsize="0,1641" path="m7514,5998l7514,7638e" filled="false" stroked="true" strokeweight=".47998pt" strokecolor="#000000">
                <v:path arrowok="t"/>
              </v:shape>
            </v:group>
            <v:group style="position:absolute;left:8578;top:5998;width:2;height:1641" coordorigin="8578,5998" coordsize="2,1641">
              <v:shape style="position:absolute;left:8578;top:5998;width:2;height:1641" coordorigin="8578,5998" coordsize="0,1641" path="m8578,5998l8578,7638e" filled="false" stroked="true" strokeweight=".48001pt" strokecolor="#000000">
                <v:path arrowok="t"/>
              </v:shape>
            </v:group>
            <v:group style="position:absolute;left:9640;top:5998;width:2;height:1641" coordorigin="9640,5998" coordsize="2,1641">
              <v:shape style="position:absolute;left:9640;top:5998;width:2;height:1641" coordorigin="9640,5998" coordsize="0,1641" path="m9640,5998l9640,7638e" filled="false" stroked="true" strokeweight=".47998pt" strokecolor="#000000">
                <v:path arrowok="t"/>
              </v:shape>
            </v:group>
            <v:group style="position:absolute;left:5393;top:7648;width:1054;height:1329" coordorigin="5393,7648" coordsize="1054,1329">
              <v:shape style="position:absolute;left:5393;top:7648;width:1054;height:1329" coordorigin="5393,7648" coordsize="1054,1329" path="m5393,8976l6446,8976,6446,7648,5393,7648,5393,8976xe" filled="true" fillcolor="#ffffff" stroked="false">
                <v:path arrowok="t"/>
                <v:fill type="solid"/>
              </v:shape>
            </v:group>
            <v:group style="position:absolute;left:5416;top:8116;width:1007;height:393" coordorigin="5416,8116" coordsize="1007,393">
              <v:shape style="position:absolute;left:5416;top:8116;width:1007;height:393" coordorigin="5416,8116" coordsize="1007,393" path="m5416,8508l6422,8508,6422,8116,5416,8116,5416,8508xe" filled="true" fillcolor="#ffffff" stroked="false">
                <v:path arrowok="t"/>
                <v:fill type="solid"/>
              </v:shape>
            </v:group>
            <v:group style="position:absolute;left:1129;top:7643;width:9579;height:2" coordorigin="1129,7643" coordsize="9579,2">
              <v:shape style="position:absolute;left:1129;top:7643;width:9579;height:2" coordorigin="1129,7643" coordsize="9579,0" path="m1129,7643l10708,7643e" filled="false" stroked="true" strokeweight=".47998pt" strokecolor="#000000">
                <v:path arrowok="t"/>
              </v:shape>
            </v:group>
            <v:group style="position:absolute;left:2200;top:7648;width:2;height:1329" coordorigin="2200,7648" coordsize="2,1329">
              <v:shape style="position:absolute;left:2200;top:7648;width:2;height:1329" coordorigin="2200,7648" coordsize="0,1329" path="m2200,7648l2200,8976e" filled="false" stroked="true" strokeweight=".48pt" strokecolor="#000000">
                <v:path arrowok="t"/>
              </v:shape>
            </v:group>
            <v:group style="position:absolute;left:3262;top:7648;width:2;height:1329" coordorigin="3262,7648" coordsize="2,1329">
              <v:shape style="position:absolute;left:3262;top:7648;width:2;height:1329" coordorigin="3262,7648" coordsize="0,1329" path="m3262,7648l3262,8976e" filled="false" stroked="true" strokeweight=".48001pt" strokecolor="#000000">
                <v:path arrowok="t"/>
              </v:shape>
            </v:group>
            <v:group style="position:absolute;left:4325;top:7648;width:2;height:1329" coordorigin="4325,7648" coordsize="2,1329">
              <v:shape style="position:absolute;left:4325;top:7648;width:2;height:1329" coordorigin="4325,7648" coordsize="0,1329" path="m4325,7648l4325,8976e" filled="false" stroked="true" strokeweight=".48pt" strokecolor="#000000">
                <v:path arrowok="t"/>
              </v:shape>
            </v:group>
            <v:group style="position:absolute;left:5388;top:7648;width:2;height:1329" coordorigin="5388,7648" coordsize="2,1329">
              <v:shape style="position:absolute;left:5388;top:7648;width:2;height:1329" coordorigin="5388,7648" coordsize="0,1329" path="m5388,7648l5388,8976e" filled="false" stroked="true" strokeweight=".48001pt" strokecolor="#000000">
                <v:path arrowok="t"/>
              </v:shape>
            </v:group>
            <v:group style="position:absolute;left:6451;top:7648;width:2;height:1329" coordorigin="6451,7648" coordsize="2,1329">
              <v:shape style="position:absolute;left:6451;top:7648;width:2;height:1329" coordorigin="6451,7648" coordsize="0,1329" path="m6451,7648l6451,8976e" filled="false" stroked="true" strokeweight=".48001pt" strokecolor="#000000">
                <v:path arrowok="t"/>
              </v:shape>
            </v:group>
            <v:group style="position:absolute;left:7514;top:7648;width:2;height:1329" coordorigin="7514,7648" coordsize="2,1329">
              <v:shape style="position:absolute;left:7514;top:7648;width:2;height:1329" coordorigin="7514,7648" coordsize="0,1329" path="m7514,7648l7514,8976e" filled="false" stroked="true" strokeweight=".47998pt" strokecolor="#000000">
                <v:path arrowok="t"/>
              </v:shape>
            </v:group>
            <v:group style="position:absolute;left:8578;top:7648;width:2;height:1329" coordorigin="8578,7648" coordsize="2,1329">
              <v:shape style="position:absolute;left:8578;top:7648;width:2;height:1329" coordorigin="8578,7648" coordsize="0,1329" path="m8578,7648l8578,8976e" filled="false" stroked="true" strokeweight=".48001pt" strokecolor="#000000">
                <v:path arrowok="t"/>
              </v:shape>
            </v:group>
            <v:group style="position:absolute;left:9640;top:7648;width:2;height:1329" coordorigin="9640,7648" coordsize="2,1329">
              <v:shape style="position:absolute;left:9640;top:7648;width:2;height:1329" coordorigin="9640,7648" coordsize="0,1329" path="m9640,7648l9640,8976e" filled="false" stroked="true" strokeweight=".47998pt" strokecolor="#000000">
                <v:path arrowok="t"/>
              </v:shape>
            </v:group>
            <v:group style="position:absolute;left:5393;top:8986;width:1054;height:1329" coordorigin="5393,8986" coordsize="1054,1329">
              <v:shape style="position:absolute;left:5393;top:8986;width:1054;height:1329" coordorigin="5393,8986" coordsize="1054,1329" path="m5393,10314l6446,10314,6446,8986,5393,8986,5393,10314xe" filled="true" fillcolor="#ffffff" stroked="false">
                <v:path arrowok="t"/>
                <v:fill type="solid"/>
              </v:shape>
            </v:group>
            <v:group style="position:absolute;left:5416;top:9454;width:1007;height:393" coordorigin="5416,9454" coordsize="1007,393">
              <v:shape style="position:absolute;left:5416;top:9454;width:1007;height:393" coordorigin="5416,9454" coordsize="1007,393" path="m5416,9846l6422,9846,6422,9454,5416,9454,5416,9846xe" filled="true" fillcolor="#ffffff" stroked="false">
                <v:path arrowok="t"/>
                <v:fill type="solid"/>
              </v:shape>
            </v:group>
            <v:group style="position:absolute;left:1129;top:8981;width:9579;height:2" coordorigin="1129,8981" coordsize="9579,2">
              <v:shape style="position:absolute;left:1129;top:8981;width:9579;height:2" coordorigin="1129,8981" coordsize="9579,0" path="m1129,8981l10708,8981e" filled="false" stroked="true" strokeweight=".47998pt" strokecolor="#000000">
                <v:path arrowok="t"/>
              </v:shape>
            </v:group>
            <v:group style="position:absolute;left:2200;top:8986;width:2;height:1329" coordorigin="2200,8986" coordsize="2,1329">
              <v:shape style="position:absolute;left:2200;top:8986;width:2;height:1329" coordorigin="2200,8986" coordsize="0,1329" path="m2200,8986l2200,10314e" filled="false" stroked="true" strokeweight=".48pt" strokecolor="#000000">
                <v:path arrowok="t"/>
              </v:shape>
            </v:group>
            <v:group style="position:absolute;left:3262;top:8986;width:2;height:1329" coordorigin="3262,8986" coordsize="2,1329">
              <v:shape style="position:absolute;left:3262;top:8986;width:2;height:1329" coordorigin="3262,8986" coordsize="0,1329" path="m3262,8986l3262,10314e" filled="false" stroked="true" strokeweight=".48001pt" strokecolor="#000000">
                <v:path arrowok="t"/>
              </v:shape>
            </v:group>
            <v:group style="position:absolute;left:4325;top:8986;width:2;height:1329" coordorigin="4325,8986" coordsize="2,1329">
              <v:shape style="position:absolute;left:4325;top:8986;width:2;height:1329" coordorigin="4325,8986" coordsize="0,1329" path="m4325,8986l4325,10314e" filled="false" stroked="true" strokeweight=".48pt" strokecolor="#000000">
                <v:path arrowok="t"/>
              </v:shape>
            </v:group>
            <v:group style="position:absolute;left:5388;top:8986;width:2;height:1329" coordorigin="5388,8986" coordsize="2,1329">
              <v:shape style="position:absolute;left:5388;top:8986;width:2;height:1329" coordorigin="5388,8986" coordsize="0,1329" path="m5388,8986l5388,10314e" filled="false" stroked="true" strokeweight=".48001pt" strokecolor="#000000">
                <v:path arrowok="t"/>
              </v:shape>
            </v:group>
            <v:group style="position:absolute;left:6451;top:8986;width:2;height:1329" coordorigin="6451,8986" coordsize="2,1329">
              <v:shape style="position:absolute;left:6451;top:8986;width:2;height:1329" coordorigin="6451,8986" coordsize="0,1329" path="m6451,8986l6451,10314e" filled="false" stroked="true" strokeweight=".48001pt" strokecolor="#000000">
                <v:path arrowok="t"/>
              </v:shape>
            </v:group>
            <v:group style="position:absolute;left:7514;top:8986;width:2;height:1329" coordorigin="7514,8986" coordsize="2,1329">
              <v:shape style="position:absolute;left:7514;top:8986;width:2;height:1329" coordorigin="7514,8986" coordsize="0,1329" path="m7514,8986l7514,10314e" filled="false" stroked="true" strokeweight=".47998pt" strokecolor="#000000">
                <v:path arrowok="t"/>
              </v:shape>
            </v:group>
            <v:group style="position:absolute;left:8578;top:8986;width:2;height:1329" coordorigin="8578,8986" coordsize="2,1329">
              <v:shape style="position:absolute;left:8578;top:8986;width:2;height:1329" coordorigin="8578,8986" coordsize="0,1329" path="m8578,8986l8578,10314e" filled="false" stroked="true" strokeweight=".48001pt" strokecolor="#000000">
                <v:path arrowok="t"/>
              </v:shape>
            </v:group>
            <v:group style="position:absolute;left:9640;top:8986;width:2;height:1329" coordorigin="9640,8986" coordsize="2,1329">
              <v:shape style="position:absolute;left:9640;top:8986;width:2;height:1329" coordorigin="9640,8986" coordsize="0,1329" path="m9640,8986l9640,10314e" filled="false" stroked="true" strokeweight=".47998pt" strokecolor="#000000">
                <v:path arrowok="t"/>
              </v:shape>
            </v:group>
            <v:group style="position:absolute;left:5393;top:10324;width:1054;height:1329" coordorigin="5393,10324" coordsize="1054,1329">
              <v:shape style="position:absolute;left:5393;top:10324;width:1054;height:1329" coordorigin="5393,10324" coordsize="1054,1329" path="m5393,11652l6446,11652,6446,10324,5393,10324,5393,11652xe" filled="true" fillcolor="#ffffff" stroked="false">
                <v:path arrowok="t"/>
                <v:fill type="solid"/>
              </v:shape>
            </v:group>
            <v:group style="position:absolute;left:5416;top:10792;width:1007;height:393" coordorigin="5416,10792" coordsize="1007,393">
              <v:shape style="position:absolute;left:5416;top:10792;width:1007;height:393" coordorigin="5416,10792" coordsize="1007,393" path="m5416,11184l6422,11184,6422,10792,5416,10792,5416,11184xe" filled="true" fillcolor="#ffffff" stroked="false">
                <v:path arrowok="t"/>
                <v:fill type="solid"/>
              </v:shape>
            </v:group>
            <v:group style="position:absolute;left:1129;top:10319;width:9579;height:2" coordorigin="1129,10319" coordsize="9579,2">
              <v:shape style="position:absolute;left:1129;top:10319;width:9579;height:2" coordorigin="1129,10319" coordsize="9579,0" path="m1129,10319l10708,10319e" filled="false" stroked="true" strokeweight=".48001pt" strokecolor="#000000">
                <v:path arrowok="t"/>
              </v:shape>
            </v:group>
            <v:group style="position:absolute;left:2200;top:10324;width:2;height:1329" coordorigin="2200,10324" coordsize="2,1329">
              <v:shape style="position:absolute;left:2200;top:10324;width:2;height:1329" coordorigin="2200,10324" coordsize="0,1329" path="m2200,10324l2200,11652e" filled="false" stroked="true" strokeweight=".48pt" strokecolor="#000000">
                <v:path arrowok="t"/>
              </v:shape>
            </v:group>
            <v:group style="position:absolute;left:3262;top:10324;width:2;height:1329" coordorigin="3262,10324" coordsize="2,1329">
              <v:shape style="position:absolute;left:3262;top:10324;width:2;height:1329" coordorigin="3262,10324" coordsize="0,1329" path="m3262,10324l3262,11652e" filled="false" stroked="true" strokeweight=".48001pt" strokecolor="#000000">
                <v:path arrowok="t"/>
              </v:shape>
            </v:group>
            <v:group style="position:absolute;left:4325;top:10324;width:2;height:1329" coordorigin="4325,10324" coordsize="2,1329">
              <v:shape style="position:absolute;left:4325;top:10324;width:2;height:1329" coordorigin="4325,10324" coordsize="0,1329" path="m4325,10324l4325,11652e" filled="false" stroked="true" strokeweight=".48pt" strokecolor="#000000">
                <v:path arrowok="t"/>
              </v:shape>
            </v:group>
            <v:group style="position:absolute;left:5388;top:10324;width:2;height:1329" coordorigin="5388,10324" coordsize="2,1329">
              <v:shape style="position:absolute;left:5388;top:10324;width:2;height:1329" coordorigin="5388,10324" coordsize="0,1329" path="m5388,10324l5388,11652e" filled="false" stroked="true" strokeweight=".48001pt" strokecolor="#000000">
                <v:path arrowok="t"/>
              </v:shape>
            </v:group>
            <v:group style="position:absolute;left:6451;top:10324;width:2;height:1329" coordorigin="6451,10324" coordsize="2,1329">
              <v:shape style="position:absolute;left:6451;top:10324;width:2;height:1329" coordorigin="6451,10324" coordsize="0,1329" path="m6451,10324l6451,11652e" filled="false" stroked="true" strokeweight=".48001pt" strokecolor="#000000">
                <v:path arrowok="t"/>
              </v:shape>
            </v:group>
            <v:group style="position:absolute;left:7514;top:10324;width:2;height:1329" coordorigin="7514,10324" coordsize="2,1329">
              <v:shape style="position:absolute;left:7514;top:10324;width:2;height:1329" coordorigin="7514,10324" coordsize="0,1329" path="m7514,10324l7514,11652e" filled="false" stroked="true" strokeweight=".47998pt" strokecolor="#000000">
                <v:path arrowok="t"/>
              </v:shape>
            </v:group>
            <v:group style="position:absolute;left:8578;top:10324;width:2;height:1329" coordorigin="8578,10324" coordsize="2,1329">
              <v:shape style="position:absolute;left:8578;top:10324;width:2;height:1329" coordorigin="8578,10324" coordsize="0,1329" path="m8578,10324l8578,11652e" filled="false" stroked="true" strokeweight=".48001pt" strokecolor="#000000">
                <v:path arrowok="t"/>
              </v:shape>
            </v:group>
            <v:group style="position:absolute;left:9640;top:10324;width:2;height:1329" coordorigin="9640,10324" coordsize="2,1329">
              <v:shape style="position:absolute;left:9640;top:10324;width:2;height:1329" coordorigin="9640,10324" coordsize="0,1329" path="m9640,10324l9640,11652e" filled="false" stroked="true" strokeweight=".47998pt" strokecolor="#000000">
                <v:path arrowok="t"/>
              </v:shape>
            </v:group>
            <v:group style="position:absolute;left:5393;top:11662;width:1054;height:1329" coordorigin="5393,11662" coordsize="1054,1329">
              <v:shape style="position:absolute;left:5393;top:11662;width:1054;height:1329" coordorigin="5393,11662" coordsize="1054,1329" path="m5393,12990l6446,12990,6446,11662,5393,11662,5393,12990xe" filled="true" fillcolor="#ffffff" stroked="false">
                <v:path arrowok="t"/>
                <v:fill type="solid"/>
              </v:shape>
            </v:group>
            <v:group style="position:absolute;left:5416;top:12130;width:1007;height:393" coordorigin="5416,12130" coordsize="1007,393">
              <v:shape style="position:absolute;left:5416;top:12130;width:1007;height:393" coordorigin="5416,12130" coordsize="1007,393" path="m5416,12522l6422,12522,6422,12130,5416,12130,5416,12522xe" filled="true" fillcolor="#ffffff" stroked="false">
                <v:path arrowok="t"/>
                <v:fill type="solid"/>
              </v:shape>
            </v:group>
            <v:group style="position:absolute;left:1129;top:11657;width:9579;height:2" coordorigin="1129,11657" coordsize="9579,2">
              <v:shape style="position:absolute;left:1129;top:11657;width:9579;height:2" coordorigin="1129,11657" coordsize="9579,0" path="m1129,11657l10708,11657e" filled="false" stroked="true" strokeweight=".47998pt" strokecolor="#000000">
                <v:path arrowok="t"/>
              </v:shape>
            </v:group>
            <v:group style="position:absolute;left:2200;top:11662;width:2;height:1329" coordorigin="2200,11662" coordsize="2,1329">
              <v:shape style="position:absolute;left:2200;top:11662;width:2;height:1329" coordorigin="2200,11662" coordsize="0,1329" path="m2200,11662l2200,12990e" filled="false" stroked="true" strokeweight=".48pt" strokecolor="#000000">
                <v:path arrowok="t"/>
              </v:shape>
            </v:group>
            <v:group style="position:absolute;left:3262;top:11662;width:2;height:1329" coordorigin="3262,11662" coordsize="2,1329">
              <v:shape style="position:absolute;left:3262;top:11662;width:2;height:1329" coordorigin="3262,11662" coordsize="0,1329" path="m3262,11662l3262,12990e" filled="false" stroked="true" strokeweight=".48001pt" strokecolor="#000000">
                <v:path arrowok="t"/>
              </v:shape>
            </v:group>
            <v:group style="position:absolute;left:4325;top:11662;width:2;height:1329" coordorigin="4325,11662" coordsize="2,1329">
              <v:shape style="position:absolute;left:4325;top:11662;width:2;height:1329" coordorigin="4325,11662" coordsize="0,1329" path="m4325,11662l4325,12990e" filled="false" stroked="true" strokeweight=".48pt" strokecolor="#000000">
                <v:path arrowok="t"/>
              </v:shape>
            </v:group>
            <v:group style="position:absolute;left:5388;top:11662;width:2;height:1329" coordorigin="5388,11662" coordsize="2,1329">
              <v:shape style="position:absolute;left:5388;top:11662;width:2;height:1329" coordorigin="5388,11662" coordsize="0,1329" path="m5388,11662l5388,12990e" filled="false" stroked="true" strokeweight=".48001pt" strokecolor="#000000">
                <v:path arrowok="t"/>
              </v:shape>
            </v:group>
            <v:group style="position:absolute;left:6451;top:11662;width:2;height:1329" coordorigin="6451,11662" coordsize="2,1329">
              <v:shape style="position:absolute;left:6451;top:11662;width:2;height:1329" coordorigin="6451,11662" coordsize="0,1329" path="m6451,11662l6451,12990e" filled="false" stroked="true" strokeweight=".48001pt" strokecolor="#000000">
                <v:path arrowok="t"/>
              </v:shape>
            </v:group>
            <v:group style="position:absolute;left:7514;top:11662;width:2;height:1329" coordorigin="7514,11662" coordsize="2,1329">
              <v:shape style="position:absolute;left:7514;top:11662;width:2;height:1329" coordorigin="7514,11662" coordsize="0,1329" path="m7514,11662l7514,12990e" filled="false" stroked="true" strokeweight=".47998pt" strokecolor="#000000">
                <v:path arrowok="t"/>
              </v:shape>
            </v:group>
            <v:group style="position:absolute;left:8578;top:11662;width:2;height:1329" coordorigin="8578,11662" coordsize="2,1329">
              <v:shape style="position:absolute;left:8578;top:11662;width:2;height:1329" coordorigin="8578,11662" coordsize="0,1329" path="m8578,11662l8578,12990e" filled="false" stroked="true" strokeweight=".48001pt" strokecolor="#000000">
                <v:path arrowok="t"/>
              </v:shape>
            </v:group>
            <v:group style="position:absolute;left:9640;top:11662;width:2;height:1329" coordorigin="9640,11662" coordsize="2,1329">
              <v:shape style="position:absolute;left:9640;top:11662;width:2;height:1329" coordorigin="9640,11662" coordsize="0,1329" path="m9640,11662l9640,12990e" filled="false" stroked="true" strokeweight=".47998pt" strokecolor="#000000">
                <v:path arrowok="t"/>
              </v:shape>
            </v:group>
            <v:group style="position:absolute;left:1129;top:12995;width:9579;height:2" coordorigin="1129,12995" coordsize="9579,2">
              <v:shape style="position:absolute;left:1129;top:12995;width:9579;height:2" coordorigin="1129,12995" coordsize="9579,0" path="m1129,12995l10708,12995e" filled="false" stroked="true" strokeweight=".48pt" strokecolor="#000000">
                <v:path arrowok="t"/>
              </v:shape>
            </v:group>
            <v:group style="position:absolute;left:1134;top:1440;width:2;height:13834" coordorigin="1134,1440" coordsize="2,13834">
              <v:shape style="position:absolute;left:1134;top:1440;width:2;height:13834" coordorigin="1134,1440" coordsize="0,13834" path="m1134,1440l1134,15274e" filled="false" stroked="true" strokeweight=".48001pt" strokecolor="#000000">
                <v:path arrowok="t"/>
              </v:shape>
            </v:group>
            <v:group style="position:absolute;left:1129;top:15269;width:1066;height:2" coordorigin="1129,15269" coordsize="1066,2">
              <v:shape style="position:absolute;left:1129;top:15269;width:1066;height:2" coordorigin="1129,15269" coordsize="1066,0" path="m1129,15269l2195,15269e" filled="false" stroked="true" strokeweight=".47998pt" strokecolor="#000000">
                <v:path arrowok="t"/>
              </v:shape>
            </v:group>
            <v:group style="position:absolute;left:2200;top:13000;width:2;height:2274" coordorigin="2200,13000" coordsize="2,2274">
              <v:shape style="position:absolute;left:2200;top:13000;width:2;height:2274" coordorigin="2200,13000" coordsize="0,2274" path="m2200,13000l2200,15274e" filled="false" stroked="true" strokeweight=".48pt" strokecolor="#000000">
                <v:path arrowok="t"/>
              </v:shape>
            </v:group>
            <v:group style="position:absolute;left:2204;top:15269;width:1053;height:2" coordorigin="2204,15269" coordsize="1053,2">
              <v:shape style="position:absolute;left:2204;top:15269;width:1053;height:2" coordorigin="2204,15269" coordsize="1053,0" path="m2204,15269l3257,15269e" filled="false" stroked="true" strokeweight=".47998pt" strokecolor="#000000">
                <v:path arrowok="t"/>
              </v:shape>
            </v:group>
            <v:group style="position:absolute;left:3262;top:13000;width:2;height:2274" coordorigin="3262,13000" coordsize="2,2274">
              <v:shape style="position:absolute;left:3262;top:13000;width:2;height:2274" coordorigin="3262,13000" coordsize="0,2274" path="m3262,13000l3262,15274e" filled="false" stroked="true" strokeweight=".48001pt" strokecolor="#000000">
                <v:path arrowok="t"/>
              </v:shape>
            </v:group>
            <v:group style="position:absolute;left:3266;top:15269;width:1054;height:2" coordorigin="3266,15269" coordsize="1054,2">
              <v:shape style="position:absolute;left:3266;top:15269;width:1054;height:2" coordorigin="3266,15269" coordsize="1054,0" path="m3266,15269l4320,15269e" filled="false" stroked="true" strokeweight=".47998pt" strokecolor="#000000">
                <v:path arrowok="t"/>
              </v:shape>
            </v:group>
            <v:group style="position:absolute;left:4325;top:13000;width:2;height:2274" coordorigin="4325,13000" coordsize="2,2274">
              <v:shape style="position:absolute;left:4325;top:13000;width:2;height:2274" coordorigin="4325,13000" coordsize="0,2274" path="m4325,13000l4325,15274e" filled="false" stroked="true" strokeweight=".48pt" strokecolor="#000000">
                <v:path arrowok="t"/>
              </v:shape>
            </v:group>
            <v:group style="position:absolute;left:4330;top:15269;width:1054;height:2" coordorigin="4330,15269" coordsize="1054,2">
              <v:shape style="position:absolute;left:4330;top:15269;width:1054;height:2" coordorigin="4330,15269" coordsize="1054,0" path="m4330,15269l5383,15269e" filled="false" stroked="true" strokeweight=".47998pt" strokecolor="#000000">
                <v:path arrowok="t"/>
              </v:shape>
            </v:group>
            <v:group style="position:absolute;left:5388;top:13000;width:2;height:2274" coordorigin="5388,13000" coordsize="2,2274">
              <v:shape style="position:absolute;left:5388;top:13000;width:2;height:2274" coordorigin="5388,13000" coordsize="0,2274" path="m5388,13000l5388,15274e" filled="false" stroked="true" strokeweight=".48001pt" strokecolor="#000000">
                <v:path arrowok="t"/>
              </v:shape>
            </v:group>
            <v:group style="position:absolute;left:5393;top:15269;width:1054;height:2" coordorigin="5393,15269" coordsize="1054,2">
              <v:shape style="position:absolute;left:5393;top:15269;width:1054;height:2" coordorigin="5393,15269" coordsize="1054,0" path="m5393,15269l6446,15269e" filled="false" stroked="true" strokeweight=".47998pt" strokecolor="#000000">
                <v:path arrowok="t"/>
              </v:shape>
            </v:group>
            <v:group style="position:absolute;left:6451;top:13000;width:2;height:2274" coordorigin="6451,13000" coordsize="2,2274">
              <v:shape style="position:absolute;left:6451;top:13000;width:2;height:2274" coordorigin="6451,13000" coordsize="0,2274" path="m6451,13000l6451,15274e" filled="false" stroked="true" strokeweight=".48001pt" strokecolor="#000000">
                <v:path arrowok="t"/>
              </v:shape>
            </v:group>
            <v:group style="position:absolute;left:6456;top:15269;width:1054;height:2" coordorigin="6456,15269" coordsize="1054,2">
              <v:shape style="position:absolute;left:6456;top:15269;width:1054;height:2" coordorigin="6456,15269" coordsize="1054,0" path="m6456,15269l7510,15269e" filled="false" stroked="true" strokeweight=".47998pt" strokecolor="#000000">
                <v:path arrowok="t"/>
              </v:shape>
            </v:group>
            <v:group style="position:absolute;left:7514;top:13000;width:2;height:2274" coordorigin="7514,13000" coordsize="2,2274">
              <v:shape style="position:absolute;left:7514;top:13000;width:2;height:2274" coordorigin="7514,13000" coordsize="0,2274" path="m7514,13000l7514,15274e" filled="false" stroked="true" strokeweight=".47998pt" strokecolor="#000000">
                <v:path arrowok="t"/>
              </v:shape>
            </v:group>
            <v:group style="position:absolute;left:7519;top:15269;width:1054;height:2" coordorigin="7519,15269" coordsize="1054,2">
              <v:shape style="position:absolute;left:7519;top:15269;width:1054;height:2" coordorigin="7519,15269" coordsize="1054,0" path="m7519,15269l8573,15269e" filled="false" stroked="true" strokeweight=".47998pt" strokecolor="#000000">
                <v:path arrowok="t"/>
              </v:shape>
            </v:group>
            <v:group style="position:absolute;left:8578;top:13000;width:2;height:2274" coordorigin="8578,13000" coordsize="2,2274">
              <v:shape style="position:absolute;left:8578;top:13000;width:2;height:2274" coordorigin="8578,13000" coordsize="0,2274" path="m8578,13000l8578,15274e" filled="false" stroked="true" strokeweight=".48001pt" strokecolor="#000000">
                <v:path arrowok="t"/>
              </v:shape>
            </v:group>
            <v:group style="position:absolute;left:8582;top:15269;width:1053;height:2" coordorigin="8582,15269" coordsize="1053,2">
              <v:shape style="position:absolute;left:8582;top:15269;width:1053;height:2" coordorigin="8582,15269" coordsize="1053,0" path="m8582,15269l9635,15269e" filled="false" stroked="true" strokeweight=".47998pt" strokecolor="#000000">
                <v:path arrowok="t"/>
              </v:shape>
            </v:group>
            <v:group style="position:absolute;left:9640;top:13000;width:2;height:2274" coordorigin="9640,13000" coordsize="2,2274">
              <v:shape style="position:absolute;left:9640;top:13000;width:2;height:2274" coordorigin="9640,13000" coordsize="0,2274" path="m9640,13000l9640,15274e" filled="false" stroked="true" strokeweight=".47998pt" strokecolor="#000000">
                <v:path arrowok="t"/>
              </v:shape>
            </v:group>
            <v:group style="position:absolute;left:9644;top:15269;width:1054;height:2" coordorigin="9644,15269" coordsize="1054,2">
              <v:shape style="position:absolute;left:9644;top:15269;width:1054;height:2" coordorigin="9644,15269" coordsize="1054,0" path="m9644,15269l10698,15269e" filled="false" stroked="true" strokeweight=".47998pt" strokecolor="#000000">
                <v:path arrowok="t"/>
              </v:shape>
            </v:group>
            <v:group style="position:absolute;left:10703;top:1440;width:2;height:13834" coordorigin="10703,1440" coordsize="2,13834">
              <v:shape style="position:absolute;left:10703;top:1440;width:2;height:13834" coordorigin="10703,1440" coordsize="0,13834" path="m10703,1440l10703,15274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9" w:lineRule="auto" w:before="118"/>
        <w:ind w:left="181" w:right="-20"/>
        <w:jc w:val="left"/>
      </w:pPr>
      <w:r>
        <w:rPr/>
        <w:t>技术经纪补 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125" w:right="0"/>
        <w:jc w:val="left"/>
      </w:pPr>
      <w:r>
        <w:rPr/>
        <w:t>当地政府机</w:t>
      </w:r>
    </w:p>
    <w:p>
      <w:pPr>
        <w:pStyle w:val="BodyText"/>
        <w:spacing w:line="157" w:lineRule="exact"/>
        <w:ind w:left="0" w:right="0"/>
        <w:jc w:val="right"/>
      </w:pPr>
      <w:r>
        <w:rPr/>
        <w:t>补助</w:t>
      </w:r>
    </w:p>
    <w:p>
      <w:pPr>
        <w:pStyle w:val="BodyText"/>
        <w:spacing w:line="196" w:lineRule="exact"/>
        <w:ind w:left="125" w:right="0"/>
        <w:jc w:val="left"/>
      </w:pPr>
      <w:r>
        <w:rPr/>
        <w:t>关</w:t>
      </w:r>
    </w:p>
    <w:p>
      <w:pPr>
        <w:pStyle w:val="BodyText"/>
        <w:spacing w:line="319" w:lineRule="auto" w:before="44"/>
        <w:ind w:left="181" w:right="-15"/>
        <w:jc w:val="left"/>
      </w:pPr>
      <w:r>
        <w:rPr/>
        <w:br w:type="column"/>
      </w:r>
      <w:r>
        <w:rPr/>
        <w:t>因从事国家 鼓励和扶持 </w:t>
      </w:r>
      <w:r>
        <w:rPr>
          <w:spacing w:val="-13"/>
        </w:rPr>
        <w:t>特定行业、产</w:t>
      </w:r>
      <w:r>
        <w:rPr>
          <w:spacing w:val="-86"/>
        </w:rPr>
        <w:t> </w:t>
      </w:r>
      <w:r>
        <w:rPr>
          <w:spacing w:val="-86"/>
        </w:rPr>
      </w:r>
      <w:r>
        <w:rPr/>
        <w:t>业而获得的 </w:t>
      </w:r>
      <w:r>
        <w:rPr>
          <w:spacing w:val="-13"/>
        </w:rPr>
        <w:t>补助（按国家</w:t>
      </w:r>
      <w:r>
        <w:rPr>
          <w:spacing w:val="-86"/>
        </w:rPr>
        <w:t> </w:t>
      </w:r>
      <w:r>
        <w:rPr>
          <w:spacing w:val="-86"/>
        </w:rPr>
      </w:r>
      <w:r>
        <w:rPr/>
        <w:t>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9" w:val="left" w:leader="none"/>
          <w:tab w:pos="3492" w:val="left" w:leader="none"/>
        </w:tabs>
        <w:spacing w:line="240" w:lineRule="auto"/>
        <w:ind w:left="16" w:right="0"/>
        <w:jc w:val="left"/>
      </w:pPr>
      <w:r>
        <w:rPr/>
        <w:t>是</w:t>
        <w:tab/>
        <w:t>是</w:t>
        <w:tab/>
      </w:r>
      <w:r>
        <w:rPr>
          <w:rFonts w:ascii="Times New Roman" w:hAnsi="Times New Roman" w:cs="Times New Roman" w:eastAsia="Times New Roman" w:hint="default"/>
        </w:rPr>
        <w:t>72,017.00</w:t>
      </w:r>
      <w:r>
        <w:rPr>
          <w:rFonts w:ascii="Times New Roman" w:hAnsi="Times New Roman" w:cs="Times New Roman" w:eastAsia="Times New Roman" w:hint="default"/>
          <w:spacing w:val="10"/>
        </w:rPr>
        <w:t> </w:t>
      </w:r>
      <w:r>
        <w:rPr/>
        <w:t>与收益相关</w:t>
      </w:r>
    </w:p>
    <w:p>
      <w:pPr>
        <w:spacing w:after="0" w:line="240" w:lineRule="auto"/>
        <w:jc w:val="left"/>
        <w:sectPr>
          <w:type w:val="continuous"/>
          <w:pgSz w:w="11910" w:h="16840"/>
          <w:pgMar w:top="1060" w:bottom="1180" w:left="980" w:right="980"/>
          <w:cols w:num="4" w:equalWidth="0">
            <w:col w:w="1082" w:space="40"/>
            <w:col w:w="1549" w:space="520"/>
            <w:col w:w="1189" w:space="40"/>
            <w:col w:w="5530"/>
          </w:cols>
        </w:sectPr>
      </w:pPr>
    </w:p>
    <w:p>
      <w:pPr>
        <w:spacing w:line="240" w:lineRule="auto" w:before="2"/>
        <w:rPr>
          <w:rFonts w:ascii="宋体" w:hAnsi="宋体" w:cs="宋体" w:eastAsia="宋体" w:hint="default"/>
          <w:sz w:val="28"/>
          <w:szCs w:val="28"/>
        </w:rPr>
      </w:pPr>
    </w:p>
    <w:p>
      <w:pPr>
        <w:spacing w:line="8449" w:lineRule="exact"/>
        <w:ind w:left="144" w:right="0" w:firstLine="0"/>
        <w:rPr>
          <w:rFonts w:ascii="宋体" w:hAnsi="宋体" w:cs="宋体" w:eastAsia="宋体" w:hint="default"/>
          <w:sz w:val="20"/>
          <w:szCs w:val="20"/>
        </w:rPr>
      </w:pPr>
      <w:r>
        <w:rPr>
          <w:rFonts w:ascii="宋体" w:hAnsi="宋体" w:cs="宋体" w:eastAsia="宋体" w:hint="default"/>
          <w:position w:val="-168"/>
          <w:sz w:val="20"/>
          <w:szCs w:val="20"/>
        </w:rPr>
        <w:pict>
          <v:group style="width:479.4pt;height:422.5pt;mso-position-horizontal-relative:char;mso-position-vertical-relative:line" coordorigin="0,0" coordsize="9588,8450">
            <v:group style="position:absolute;left:4268;top:14;width:1054;height:1329" coordorigin="4268,14" coordsize="1054,1329">
              <v:shape style="position:absolute;left:4268;top:14;width:1054;height:1329" coordorigin="4268,14" coordsize="1054,1329" path="m4268,1343l5322,1343,5322,14,4268,14,4268,1343xe" filled="true" fillcolor="#ffffff" stroked="false">
                <v:path arrowok="t"/>
                <v:fill type="solid"/>
              </v:shape>
            </v:group>
            <v:group style="position:absolute;left:4291;top:482;width:1007;height:393" coordorigin="4291,482" coordsize="1007,393">
              <v:shape style="position:absolute;left:4291;top:482;width:1007;height:393" coordorigin="4291,482" coordsize="1007,393" path="m4291,875l5298,875,5298,482,4291,482,4291,875xe" filled="true" fillcolor="#ffffff"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004pt" strokecolor="#000000">
                <v:path arrowok="t"/>
              </v:shape>
            </v:group>
            <v:group style="position:absolute;left:1075;top:14;width:2;height:1329" coordorigin="1075,14" coordsize="2,1329">
              <v:shape style="position:absolute;left:1075;top:14;width:2;height:1329" coordorigin="1075,14" coordsize="0,1329" path="m1075,14l1075,1343e" filled="false" stroked="true" strokeweight=".48pt" strokecolor="#000000">
                <v:path arrowok="t"/>
              </v:shape>
            </v:group>
            <v:group style="position:absolute;left:2137;top:14;width:2;height:1329" coordorigin="2137,14" coordsize="2,1329">
              <v:shape style="position:absolute;left:2137;top:14;width:2;height:1329" coordorigin="2137,14" coordsize="0,1329" path="m2137,14l2137,1343e" filled="false" stroked="true" strokeweight=".48001pt" strokecolor="#000000">
                <v:path arrowok="t"/>
              </v:shape>
            </v:group>
            <v:group style="position:absolute;left:3200;top:14;width:2;height:1329" coordorigin="3200,14" coordsize="2,1329">
              <v:shape style="position:absolute;left:3200;top:14;width:2;height:1329" coordorigin="3200,14" coordsize="0,1329" path="m3200,14l3200,1343e" filled="false" stroked="true" strokeweight=".48pt" strokecolor="#000000">
                <v:path arrowok="t"/>
              </v:shape>
            </v:group>
            <v:group style="position:absolute;left:4264;top:14;width:2;height:1329" coordorigin="4264,14" coordsize="2,1329">
              <v:shape style="position:absolute;left:4264;top:14;width:2;height:1329" coordorigin="4264,14" coordsize="0,1329" path="m4264,14l4264,1343e" filled="false" stroked="true" strokeweight=".48001pt" strokecolor="#000000">
                <v:path arrowok="t"/>
              </v:shape>
            </v:group>
            <v:group style="position:absolute;left:5327;top:14;width:2;height:1329" coordorigin="5327,14" coordsize="2,1329">
              <v:shape style="position:absolute;left:5327;top:14;width:2;height:1329" coordorigin="5327,14" coordsize="0,1329" path="m5327,14l5327,1343e" filled="false" stroked="true" strokeweight=".48001pt" strokecolor="#000000">
                <v:path arrowok="t"/>
              </v:shape>
            </v:group>
            <v:group style="position:absolute;left:6390;top:14;width:2;height:1329" coordorigin="6390,14" coordsize="2,1329">
              <v:shape style="position:absolute;left:6390;top:14;width:2;height:1329" coordorigin="6390,14" coordsize="0,1329" path="m6390,14l6390,1343e" filled="false" stroked="true" strokeweight=".47998pt" strokecolor="#000000">
                <v:path arrowok="t"/>
              </v:shape>
            </v:group>
            <v:group style="position:absolute;left:7453;top:14;width:2;height:1329" coordorigin="7453,14" coordsize="2,1329">
              <v:shape style="position:absolute;left:7453;top:14;width:2;height:1329" coordorigin="7453,14" coordsize="0,1329" path="m7453,14l7453,1343e" filled="false" stroked="true" strokeweight=".48001pt" strokecolor="#000000">
                <v:path arrowok="t"/>
              </v:shape>
            </v:group>
            <v:group style="position:absolute;left:8515;top:14;width:2;height:1329" coordorigin="8515,14" coordsize="2,1329">
              <v:shape style="position:absolute;left:8515;top:14;width:2;height:1329" coordorigin="8515,14" coordsize="0,1329" path="m8515,14l8515,1343e" filled="false" stroked="true" strokeweight=".47998pt" strokecolor="#000000">
                <v:path arrowok="t"/>
              </v:shape>
            </v:group>
            <v:group style="position:absolute;left:4268;top:1352;width:1054;height:1329" coordorigin="4268,1352" coordsize="1054,1329">
              <v:shape style="position:absolute;left:4268;top:1352;width:1054;height:1329" coordorigin="4268,1352" coordsize="1054,1329" path="m4268,2681l5322,2681,5322,1352,4268,1352,4268,2681xe" filled="true" fillcolor="#ffffff" stroked="false">
                <v:path arrowok="t"/>
                <v:fill type="solid"/>
              </v:shape>
            </v:group>
            <v:group style="position:absolute;left:4291;top:1820;width:1007;height:393" coordorigin="4291,1820" coordsize="1007,393">
              <v:shape style="position:absolute;left:4291;top:1820;width:1007;height:393" coordorigin="4291,1820" coordsize="1007,393" path="m4291,2213l5298,2213,5298,1820,4291,1820,4291,2213xe" filled="true" fillcolor="#ffffff" stroked="false">
                <v:path arrowok="t"/>
                <v:fill type="solid"/>
              </v:shape>
            </v:group>
            <v:group style="position:absolute;left:5;top:1348;width:9579;height:2" coordorigin="5,1348" coordsize="9579,2">
              <v:shape style="position:absolute;left:5;top:1348;width:9579;height:2" coordorigin="5,1348" coordsize="9579,0" path="m5,1348l9583,1348e" filled="false" stroked="true" strokeweight=".48004pt" strokecolor="#000000">
                <v:path arrowok="t"/>
              </v:shape>
            </v:group>
            <v:group style="position:absolute;left:1075;top:1352;width:2;height:1329" coordorigin="1075,1352" coordsize="2,1329">
              <v:shape style="position:absolute;left:1075;top:1352;width:2;height:1329" coordorigin="1075,1352" coordsize="0,1329" path="m1075,1352l1075,2681e" filled="false" stroked="true" strokeweight=".48pt" strokecolor="#000000">
                <v:path arrowok="t"/>
              </v:shape>
            </v:group>
            <v:group style="position:absolute;left:2137;top:1352;width:2;height:1329" coordorigin="2137,1352" coordsize="2,1329">
              <v:shape style="position:absolute;left:2137;top:1352;width:2;height:1329" coordorigin="2137,1352" coordsize="0,1329" path="m2137,1352l2137,2681e" filled="false" stroked="true" strokeweight=".48001pt" strokecolor="#000000">
                <v:path arrowok="t"/>
              </v:shape>
            </v:group>
            <v:group style="position:absolute;left:3200;top:1352;width:2;height:1329" coordorigin="3200,1352" coordsize="2,1329">
              <v:shape style="position:absolute;left:3200;top:1352;width:2;height:1329" coordorigin="3200,1352" coordsize="0,1329" path="m3200,1352l3200,2681e" filled="false" stroked="true" strokeweight=".48pt" strokecolor="#000000">
                <v:path arrowok="t"/>
              </v:shape>
            </v:group>
            <v:group style="position:absolute;left:4264;top:1352;width:2;height:1329" coordorigin="4264,1352" coordsize="2,1329">
              <v:shape style="position:absolute;left:4264;top:1352;width:2;height:1329" coordorigin="4264,1352" coordsize="0,1329" path="m4264,1352l4264,2681e" filled="false" stroked="true" strokeweight=".48001pt" strokecolor="#000000">
                <v:path arrowok="t"/>
              </v:shape>
            </v:group>
            <v:group style="position:absolute;left:5327;top:1352;width:2;height:1329" coordorigin="5327,1352" coordsize="2,1329">
              <v:shape style="position:absolute;left:5327;top:1352;width:2;height:1329" coordorigin="5327,1352" coordsize="0,1329" path="m5327,1352l5327,2681e" filled="false" stroked="true" strokeweight=".48001pt" strokecolor="#000000">
                <v:path arrowok="t"/>
              </v:shape>
            </v:group>
            <v:group style="position:absolute;left:6390;top:1352;width:2;height:1329" coordorigin="6390,1352" coordsize="2,1329">
              <v:shape style="position:absolute;left:6390;top:1352;width:2;height:1329" coordorigin="6390,1352" coordsize="0,1329" path="m6390,1352l6390,2681e" filled="false" stroked="true" strokeweight=".47998pt" strokecolor="#000000">
                <v:path arrowok="t"/>
              </v:shape>
            </v:group>
            <v:group style="position:absolute;left:7453;top:1352;width:2;height:1329" coordorigin="7453,1352" coordsize="2,1329">
              <v:shape style="position:absolute;left:7453;top:1352;width:2;height:1329" coordorigin="7453,1352" coordsize="0,1329" path="m7453,1352l7453,2681e" filled="false" stroked="true" strokeweight=".48001pt" strokecolor="#000000">
                <v:path arrowok="t"/>
              </v:shape>
            </v:group>
            <v:group style="position:absolute;left:8515;top:1352;width:2;height:1329" coordorigin="8515,1352" coordsize="2,1329">
              <v:shape style="position:absolute;left:8515;top:1352;width:2;height:1329" coordorigin="8515,1352" coordsize="0,1329" path="m8515,1352l8515,2681e" filled="false" stroked="true" strokeweight=".47998pt" strokecolor="#000000">
                <v:path arrowok="t"/>
              </v:shape>
            </v:group>
            <v:group style="position:absolute;left:4268;top:2690;width:1054;height:1329" coordorigin="4268,2690" coordsize="1054,1329">
              <v:shape style="position:absolute;left:4268;top:2690;width:1054;height:1329" coordorigin="4268,2690" coordsize="1054,1329" path="m4268,4019l5322,4019,5322,2690,4268,2690,4268,4019xe" filled="true" fillcolor="#ffffff" stroked="false">
                <v:path arrowok="t"/>
                <v:fill type="solid"/>
              </v:shape>
            </v:group>
            <v:group style="position:absolute;left:4291;top:3158;width:1007;height:393" coordorigin="4291,3158" coordsize="1007,393">
              <v:shape style="position:absolute;left:4291;top:3158;width:1007;height:393" coordorigin="4291,3158" coordsize="1007,393" path="m4291,3551l5298,3551,5298,3158,4291,3158,4291,3551xe" filled="true" fillcolor="#ffffff" stroked="false">
                <v:path arrowok="t"/>
                <v:fill type="solid"/>
              </v:shape>
            </v:group>
            <v:group style="position:absolute;left:5;top:2686;width:9579;height:2" coordorigin="5,2686" coordsize="9579,2">
              <v:shape style="position:absolute;left:5;top:2686;width:9579;height:2" coordorigin="5,2686" coordsize="9579,0" path="m5,2686l9583,2686e" filled="false" stroked="true" strokeweight=".47998pt" strokecolor="#000000">
                <v:path arrowok="t"/>
              </v:shape>
            </v:group>
            <v:group style="position:absolute;left:1075;top:2690;width:2;height:1329" coordorigin="1075,2690" coordsize="2,1329">
              <v:shape style="position:absolute;left:1075;top:2690;width:2;height:1329" coordorigin="1075,2690" coordsize="0,1329" path="m1075,2690l1075,4019e" filled="false" stroked="true" strokeweight=".48pt" strokecolor="#000000">
                <v:path arrowok="t"/>
              </v:shape>
            </v:group>
            <v:group style="position:absolute;left:2137;top:2690;width:2;height:1329" coordorigin="2137,2690" coordsize="2,1329">
              <v:shape style="position:absolute;left:2137;top:2690;width:2;height:1329" coordorigin="2137,2690" coordsize="0,1329" path="m2137,2690l2137,4019e" filled="false" stroked="true" strokeweight=".48001pt" strokecolor="#000000">
                <v:path arrowok="t"/>
              </v:shape>
            </v:group>
            <v:group style="position:absolute;left:3200;top:2690;width:2;height:1329" coordorigin="3200,2690" coordsize="2,1329">
              <v:shape style="position:absolute;left:3200;top:2690;width:2;height:1329" coordorigin="3200,2690" coordsize="0,1329" path="m3200,2690l3200,4019e" filled="false" stroked="true" strokeweight=".48pt" strokecolor="#000000">
                <v:path arrowok="t"/>
              </v:shape>
            </v:group>
            <v:group style="position:absolute;left:4264;top:2690;width:2;height:1329" coordorigin="4264,2690" coordsize="2,1329">
              <v:shape style="position:absolute;left:4264;top:2690;width:2;height:1329" coordorigin="4264,2690" coordsize="0,1329" path="m4264,2690l4264,4019e" filled="false" stroked="true" strokeweight=".48001pt" strokecolor="#000000">
                <v:path arrowok="t"/>
              </v:shape>
            </v:group>
            <v:group style="position:absolute;left:5327;top:2690;width:2;height:1329" coordorigin="5327,2690" coordsize="2,1329">
              <v:shape style="position:absolute;left:5327;top:2690;width:2;height:1329" coordorigin="5327,2690" coordsize="0,1329" path="m5327,2690l5327,4019e" filled="false" stroked="true" strokeweight=".48001pt" strokecolor="#000000">
                <v:path arrowok="t"/>
              </v:shape>
            </v:group>
            <v:group style="position:absolute;left:6390;top:2690;width:2;height:1329" coordorigin="6390,2690" coordsize="2,1329">
              <v:shape style="position:absolute;left:6390;top:2690;width:2;height:1329" coordorigin="6390,2690" coordsize="0,1329" path="m6390,2690l6390,4019e" filled="false" stroked="true" strokeweight=".47998pt" strokecolor="#000000">
                <v:path arrowok="t"/>
              </v:shape>
            </v:group>
            <v:group style="position:absolute;left:7453;top:2690;width:2;height:1329" coordorigin="7453,2690" coordsize="2,1329">
              <v:shape style="position:absolute;left:7453;top:2690;width:2;height:1329" coordorigin="7453,2690" coordsize="0,1329" path="m7453,2690l7453,4019e" filled="false" stroked="true" strokeweight=".48001pt" strokecolor="#000000">
                <v:path arrowok="t"/>
              </v:shape>
            </v:group>
            <v:group style="position:absolute;left:8515;top:2690;width:2;height:1329" coordorigin="8515,2690" coordsize="2,1329">
              <v:shape style="position:absolute;left:8515;top:2690;width:2;height:1329" coordorigin="8515,2690" coordsize="0,1329" path="m8515,2690l8515,4019e" filled="false" stroked="true" strokeweight=".47998pt" strokecolor="#000000">
                <v:path arrowok="t"/>
              </v:shape>
            </v:group>
            <v:group style="position:absolute;left:4268;top:4028;width:1054;height:1329" coordorigin="4268,4028" coordsize="1054,1329">
              <v:shape style="position:absolute;left:4268;top:4028;width:1054;height:1329" coordorigin="4268,4028" coordsize="1054,1329" path="m4268,5357l5322,5357,5322,4028,4268,4028,4268,5357xe" filled="true" fillcolor="#ffffff" stroked="false">
                <v:path arrowok="t"/>
                <v:fill type="solid"/>
              </v:shape>
            </v:group>
            <v:group style="position:absolute;left:4291;top:4496;width:1007;height:393" coordorigin="4291,4496" coordsize="1007,393">
              <v:shape style="position:absolute;left:4291;top:4496;width:1007;height:393" coordorigin="4291,4496" coordsize="1007,393" path="m4291,4889l5298,4889,5298,4496,4291,4496,4291,4889xe" filled="true" fillcolor="#ffffff" stroked="false">
                <v:path arrowok="t"/>
                <v:fill type="solid"/>
              </v:shape>
            </v:group>
            <v:group style="position:absolute;left:5;top:4024;width:9579;height:2" coordorigin="5,4024" coordsize="9579,2">
              <v:shape style="position:absolute;left:5;top:4024;width:9579;height:2" coordorigin="5,4024" coordsize="9579,0" path="m5,4024l9583,4024e" filled="false" stroked="true" strokeweight=".47998pt" strokecolor="#000000">
                <v:path arrowok="t"/>
              </v:shape>
            </v:group>
            <v:group style="position:absolute;left:1075;top:4028;width:2;height:1329" coordorigin="1075,4028" coordsize="2,1329">
              <v:shape style="position:absolute;left:1075;top:4028;width:2;height:1329" coordorigin="1075,4028" coordsize="0,1329" path="m1075,4028l1075,5357e" filled="false" stroked="true" strokeweight=".48pt" strokecolor="#000000">
                <v:path arrowok="t"/>
              </v:shape>
            </v:group>
            <v:group style="position:absolute;left:2137;top:4028;width:2;height:1329" coordorigin="2137,4028" coordsize="2,1329">
              <v:shape style="position:absolute;left:2137;top:4028;width:2;height:1329" coordorigin="2137,4028" coordsize="0,1329" path="m2137,4028l2137,5357e" filled="false" stroked="true" strokeweight=".48001pt" strokecolor="#000000">
                <v:path arrowok="t"/>
              </v:shape>
            </v:group>
            <v:group style="position:absolute;left:3200;top:4028;width:2;height:1329" coordorigin="3200,4028" coordsize="2,1329">
              <v:shape style="position:absolute;left:3200;top:4028;width:2;height:1329" coordorigin="3200,4028" coordsize="0,1329" path="m3200,4028l3200,5357e" filled="false" stroked="true" strokeweight=".48pt" strokecolor="#000000">
                <v:path arrowok="t"/>
              </v:shape>
            </v:group>
            <v:group style="position:absolute;left:4264;top:4028;width:2;height:1329" coordorigin="4264,4028" coordsize="2,1329">
              <v:shape style="position:absolute;left:4264;top:4028;width:2;height:1329" coordorigin="4264,4028" coordsize="0,1329" path="m4264,4028l4264,5357e" filled="false" stroked="true" strokeweight=".48001pt" strokecolor="#000000">
                <v:path arrowok="t"/>
              </v:shape>
            </v:group>
            <v:group style="position:absolute;left:5327;top:4028;width:2;height:1329" coordorigin="5327,4028" coordsize="2,1329">
              <v:shape style="position:absolute;left:5327;top:4028;width:2;height:1329" coordorigin="5327,4028" coordsize="0,1329" path="m5327,4028l5327,5357e" filled="false" stroked="true" strokeweight=".48001pt" strokecolor="#000000">
                <v:path arrowok="t"/>
              </v:shape>
            </v:group>
            <v:group style="position:absolute;left:6390;top:4028;width:2;height:1329" coordorigin="6390,4028" coordsize="2,1329">
              <v:shape style="position:absolute;left:6390;top:4028;width:2;height:1329" coordorigin="6390,4028" coordsize="0,1329" path="m6390,4028l6390,5357e" filled="false" stroked="true" strokeweight=".47998pt" strokecolor="#000000">
                <v:path arrowok="t"/>
              </v:shape>
            </v:group>
            <v:group style="position:absolute;left:7453;top:4028;width:2;height:1329" coordorigin="7453,4028" coordsize="2,1329">
              <v:shape style="position:absolute;left:7453;top:4028;width:2;height:1329" coordorigin="7453,4028" coordsize="0,1329" path="m7453,4028l7453,5357e" filled="false" stroked="true" strokeweight=".48001pt" strokecolor="#000000">
                <v:path arrowok="t"/>
              </v:shape>
            </v:group>
            <v:group style="position:absolute;left:8515;top:4028;width:2;height:1329" coordorigin="8515,4028" coordsize="2,1329">
              <v:shape style="position:absolute;left:8515;top:4028;width:2;height:1329" coordorigin="8515,4028" coordsize="0,1329" path="m8515,4028l8515,5357e" filled="false" stroked="true" strokeweight=".47998pt" strokecolor="#000000">
                <v:path arrowok="t"/>
              </v:shape>
            </v:group>
            <v:group style="position:absolute;left:4268;top:5366;width:1054;height:1329" coordorigin="4268,5366" coordsize="1054,1329">
              <v:shape style="position:absolute;left:4268;top:5366;width:1054;height:1329" coordorigin="4268,5366" coordsize="1054,1329" path="m4268,6695l5322,6695,5322,5366,4268,5366,4268,6695xe" filled="true" fillcolor="#ffffff" stroked="false">
                <v:path arrowok="t"/>
                <v:fill type="solid"/>
              </v:shape>
            </v:group>
            <v:group style="position:absolute;left:4291;top:5834;width:1007;height:393" coordorigin="4291,5834" coordsize="1007,393">
              <v:shape style="position:absolute;left:4291;top:5834;width:1007;height:393" coordorigin="4291,5834" coordsize="1007,393" path="m4291,6227l5298,6227,5298,5834,4291,5834,4291,6227xe" filled="true" fillcolor="#ffffff" stroked="false">
                <v:path arrowok="t"/>
                <v:fill type="solid"/>
              </v:shape>
            </v:group>
            <v:group style="position:absolute;left:5;top:5362;width:9579;height:2" coordorigin="5,5362" coordsize="9579,2">
              <v:shape style="position:absolute;left:5;top:5362;width:9579;height:2" coordorigin="5,5362" coordsize="9579,0" path="m5,5362l9583,5362e" filled="false" stroked="true" strokeweight=".48001pt" strokecolor="#000000">
                <v:path arrowok="t"/>
              </v:shape>
            </v:group>
            <v:group style="position:absolute;left:1075;top:5366;width:2;height:1329" coordorigin="1075,5366" coordsize="2,1329">
              <v:shape style="position:absolute;left:1075;top:5366;width:2;height:1329" coordorigin="1075,5366" coordsize="0,1329" path="m1075,5366l1075,6695e" filled="false" stroked="true" strokeweight=".48pt" strokecolor="#000000">
                <v:path arrowok="t"/>
              </v:shape>
            </v:group>
            <v:group style="position:absolute;left:2137;top:5366;width:2;height:1329" coordorigin="2137,5366" coordsize="2,1329">
              <v:shape style="position:absolute;left:2137;top:5366;width:2;height:1329" coordorigin="2137,5366" coordsize="0,1329" path="m2137,5366l2137,6695e" filled="false" stroked="true" strokeweight=".48001pt" strokecolor="#000000">
                <v:path arrowok="t"/>
              </v:shape>
            </v:group>
            <v:group style="position:absolute;left:3200;top:5366;width:2;height:1329" coordorigin="3200,5366" coordsize="2,1329">
              <v:shape style="position:absolute;left:3200;top:5366;width:2;height:1329" coordorigin="3200,5366" coordsize="0,1329" path="m3200,5366l3200,6695e" filled="false" stroked="true" strokeweight=".48pt" strokecolor="#000000">
                <v:path arrowok="t"/>
              </v:shape>
            </v:group>
            <v:group style="position:absolute;left:4264;top:5366;width:2;height:1329" coordorigin="4264,5366" coordsize="2,1329">
              <v:shape style="position:absolute;left:4264;top:5366;width:2;height:1329" coordorigin="4264,5366" coordsize="0,1329" path="m4264,5366l4264,6695e" filled="false" stroked="true" strokeweight=".48001pt" strokecolor="#000000">
                <v:path arrowok="t"/>
              </v:shape>
            </v:group>
            <v:group style="position:absolute;left:5327;top:5366;width:2;height:1329" coordorigin="5327,5366" coordsize="2,1329">
              <v:shape style="position:absolute;left:5327;top:5366;width:2;height:1329" coordorigin="5327,5366" coordsize="0,1329" path="m5327,5366l5327,6695e" filled="false" stroked="true" strokeweight=".48001pt" strokecolor="#000000">
                <v:path arrowok="t"/>
              </v:shape>
            </v:group>
            <v:group style="position:absolute;left:6390;top:5366;width:2;height:1329" coordorigin="6390,5366" coordsize="2,1329">
              <v:shape style="position:absolute;left:6390;top:5366;width:2;height:1329" coordorigin="6390,5366" coordsize="0,1329" path="m6390,5366l6390,6695e" filled="false" stroked="true" strokeweight=".47998pt" strokecolor="#000000">
                <v:path arrowok="t"/>
              </v:shape>
            </v:group>
            <v:group style="position:absolute;left:7453;top:5366;width:2;height:1329" coordorigin="7453,5366" coordsize="2,1329">
              <v:shape style="position:absolute;left:7453;top:5366;width:2;height:1329" coordorigin="7453,5366" coordsize="0,1329" path="m7453,5366l7453,6695e" filled="false" stroked="true" strokeweight=".48001pt" strokecolor="#000000">
                <v:path arrowok="t"/>
              </v:shape>
            </v:group>
            <v:group style="position:absolute;left:8515;top:5366;width:2;height:1329" coordorigin="8515,5366" coordsize="2,1329">
              <v:shape style="position:absolute;left:8515;top:5366;width:2;height:1329" coordorigin="8515,5366" coordsize="0,1329" path="m8515,5366l8515,6695e" filled="false" stroked="true" strokeweight=".47998pt" strokecolor="#000000">
                <v:path arrowok="t"/>
              </v:shape>
            </v:group>
            <v:group style="position:absolute;left:4268;top:6704;width:1054;height:1329" coordorigin="4268,6704" coordsize="1054,1329">
              <v:shape style="position:absolute;left:4268;top:6704;width:1054;height:1329" coordorigin="4268,6704" coordsize="1054,1329" path="m4268,8033l5322,8033,5322,6704,4268,6704,4268,8033xe" filled="true" fillcolor="#ffffff" stroked="false">
                <v:path arrowok="t"/>
                <v:fill type="solid"/>
              </v:shape>
            </v:group>
            <v:group style="position:absolute;left:4291;top:7172;width:1007;height:393" coordorigin="4291,7172" coordsize="1007,393">
              <v:shape style="position:absolute;left:4291;top:7172;width:1007;height:393" coordorigin="4291,7172" coordsize="1007,393" path="m4291,7565l5298,7565,5298,7172,4291,7172,4291,7565xe" filled="true" fillcolor="#ffffff" stroked="false">
                <v:path arrowok="t"/>
                <v:fill type="solid"/>
              </v:shape>
            </v:group>
            <v:group style="position:absolute;left:5;top:6700;width:9579;height:2" coordorigin="5,6700" coordsize="9579,2">
              <v:shape style="position:absolute;left:5;top:6700;width:9579;height:2" coordorigin="5,6700" coordsize="9579,0" path="m5,6700l9583,6700e" filled="false" stroked="true" strokeweight=".48001pt" strokecolor="#000000">
                <v:path arrowok="t"/>
              </v:shape>
            </v:group>
            <v:group style="position:absolute;left:1075;top:6704;width:2;height:1329" coordorigin="1075,6704" coordsize="2,1329">
              <v:shape style="position:absolute;left:1075;top:6704;width:2;height:1329" coordorigin="1075,6704" coordsize="0,1329" path="m1075,6704l1075,8033e" filled="false" stroked="true" strokeweight=".48pt" strokecolor="#000000">
                <v:path arrowok="t"/>
              </v:shape>
            </v:group>
            <v:group style="position:absolute;left:2137;top:6704;width:2;height:1329" coordorigin="2137,6704" coordsize="2,1329">
              <v:shape style="position:absolute;left:2137;top:6704;width:2;height:1329" coordorigin="2137,6704" coordsize="0,1329" path="m2137,6704l2137,8033e" filled="false" stroked="true" strokeweight=".48001pt" strokecolor="#000000">
                <v:path arrowok="t"/>
              </v:shape>
            </v:group>
            <v:group style="position:absolute;left:3200;top:6704;width:2;height:1329" coordorigin="3200,6704" coordsize="2,1329">
              <v:shape style="position:absolute;left:3200;top:6704;width:2;height:1329" coordorigin="3200,6704" coordsize="0,1329" path="m3200,6704l3200,8033e" filled="false" stroked="true" strokeweight=".48pt" strokecolor="#000000">
                <v:path arrowok="t"/>
              </v:shape>
            </v:group>
            <v:group style="position:absolute;left:4264;top:6704;width:2;height:1329" coordorigin="4264,6704" coordsize="2,1329">
              <v:shape style="position:absolute;left:4264;top:6704;width:2;height:1329" coordorigin="4264,6704" coordsize="0,1329" path="m4264,6704l4264,8033e" filled="false" stroked="true" strokeweight=".48001pt" strokecolor="#000000">
                <v:path arrowok="t"/>
              </v:shape>
            </v:group>
            <v:group style="position:absolute;left:5327;top:6704;width:2;height:1329" coordorigin="5327,6704" coordsize="2,1329">
              <v:shape style="position:absolute;left:5327;top:6704;width:2;height:1329" coordorigin="5327,6704" coordsize="0,1329" path="m5327,6704l5327,8033e" filled="false" stroked="true" strokeweight=".48001pt" strokecolor="#000000">
                <v:path arrowok="t"/>
              </v:shape>
            </v:group>
            <v:group style="position:absolute;left:6390;top:6704;width:2;height:1329" coordorigin="6390,6704" coordsize="2,1329">
              <v:shape style="position:absolute;left:6390;top:6704;width:2;height:1329" coordorigin="6390,6704" coordsize="0,1329" path="m6390,6704l6390,8033e" filled="false" stroked="true" strokeweight=".47998pt" strokecolor="#000000">
                <v:path arrowok="t"/>
              </v:shape>
            </v:group>
            <v:group style="position:absolute;left:7453;top:6704;width:2;height:1329" coordorigin="7453,6704" coordsize="2,1329">
              <v:shape style="position:absolute;left:7453;top:6704;width:2;height:1329" coordorigin="7453,6704" coordsize="0,1329" path="m7453,6704l7453,8033e" filled="false" stroked="true" strokeweight=".48001pt" strokecolor="#000000">
                <v:path arrowok="t"/>
              </v:shape>
            </v:group>
            <v:group style="position:absolute;left:8515;top:6704;width:2;height:1329" coordorigin="8515,6704" coordsize="2,1329">
              <v:shape style="position:absolute;left:8515;top:6704;width:2;height:1329" coordorigin="8515,6704" coordsize="0,1329" path="m8515,6704l8515,8033e" filled="false" stroked="true" strokeweight=".47998pt" strokecolor="#000000">
                <v:path arrowok="t"/>
              </v:shape>
            </v:group>
            <v:group style="position:absolute;left:1046;top:8042;width:23;height:393" coordorigin="1046,8042" coordsize="23,393">
              <v:shape style="position:absolute;left:1046;top:8042;width:23;height:393" coordorigin="1046,8042" coordsize="23,393" path="m1046,8435l1069,8435,1069,8042,1046,8042,1046,8435xe" filled="true" fillcolor="#d3d3d3" stroked="false">
                <v:path arrowok="t"/>
                <v:fill type="solid"/>
              </v:shape>
            </v:group>
            <v:group style="position:absolute;left:14;top:8042;width:23;height:393" coordorigin="14,8042" coordsize="23,393">
              <v:shape style="position:absolute;left:14;top:8042;width:23;height:393" coordorigin="14,8042" coordsize="23,393" path="m14,8435l37,8435,37,8042,14,8042,14,8435xe" filled="true" fillcolor="#d3d3d3" stroked="false">
                <v:path arrowok="t"/>
                <v:fill type="solid"/>
              </v:shape>
            </v:group>
            <v:group style="position:absolute;left:37;top:8042;width:1010;height:393" coordorigin="37,8042" coordsize="1010,393">
              <v:shape style="position:absolute;left:37;top:8042;width:1010;height:393" coordorigin="37,8042" coordsize="1010,393" path="m37,8435l1046,8435,1046,8042,37,8042,37,8435xe" filled="true" fillcolor="#d3d3d3" stroked="false">
                <v:path arrowok="t"/>
                <v:fill type="solid"/>
              </v:shape>
            </v:group>
            <v:group style="position:absolute;left:2110;top:8042;width:23;height:393" coordorigin="2110,8042" coordsize="23,393">
              <v:shape style="position:absolute;left:2110;top:8042;width:23;height:393" coordorigin="2110,8042" coordsize="23,393" path="m2110,8435l2132,8435,2132,8042,2110,8042,2110,8435xe" filled="true" fillcolor="#d3d3d3" stroked="false">
                <v:path arrowok="t"/>
                <v:fill type="solid"/>
              </v:shape>
            </v:group>
            <v:group style="position:absolute;left:1080;top:8042;width:23;height:393" coordorigin="1080,8042" coordsize="23,393">
              <v:shape style="position:absolute;left:1080;top:8042;width:23;height:393" coordorigin="1080,8042" coordsize="23,393" path="m1080,8435l1103,8435,1103,8042,1080,8042,1080,8435xe" filled="true" fillcolor="#d3d3d3" stroked="false">
                <v:path arrowok="t"/>
                <v:fill type="solid"/>
              </v:shape>
            </v:group>
            <v:group style="position:absolute;left:1103;top:8042;width:1007;height:393" coordorigin="1103,8042" coordsize="1007,393">
              <v:shape style="position:absolute;left:1103;top:8042;width:1007;height:393" coordorigin="1103,8042" coordsize="1007,393" path="m1103,8435l2110,8435,2110,8042,1103,8042,1103,8435xe" filled="true" fillcolor="#d3d3d3" stroked="false">
                <v:path arrowok="t"/>
                <v:fill type="solid"/>
              </v:shape>
            </v:group>
            <v:group style="position:absolute;left:3173;top:8042;width:23;height:393" coordorigin="3173,8042" coordsize="23,393">
              <v:shape style="position:absolute;left:3173;top:8042;width:23;height:393" coordorigin="3173,8042" coordsize="23,393" path="m3173,8435l3196,8435,3196,8042,3173,8042,3173,8435xe" filled="true" fillcolor="#d3d3d3" stroked="false">
                <v:path arrowok="t"/>
                <v:fill type="solid"/>
              </v:shape>
            </v:group>
            <v:group style="position:absolute;left:2142;top:8042;width:24;height:393" coordorigin="2142,8042" coordsize="24,393">
              <v:shape style="position:absolute;left:2142;top:8042;width:24;height:393" coordorigin="2142,8042" coordsize="24,393" path="m2142,8435l2166,8435,2166,8042,2142,8042,2142,8435xe" filled="true" fillcolor="#d3d3d3" stroked="false">
                <v:path arrowok="t"/>
                <v:fill type="solid"/>
              </v:shape>
            </v:group>
            <v:group style="position:absolute;left:2166;top:8042;width:1007;height:393" coordorigin="2166,8042" coordsize="1007,393">
              <v:shape style="position:absolute;left:2166;top:8042;width:1007;height:393" coordorigin="2166,8042" coordsize="1007,393" path="m2166,8435l3173,8435,3173,8042,2166,8042,2166,8435xe" filled="true" fillcolor="#d3d3d3" stroked="false">
                <v:path arrowok="t"/>
                <v:fill type="solid"/>
              </v:shape>
            </v:group>
            <v:group style="position:absolute;left:4236;top:8042;width:23;height:393" coordorigin="4236,8042" coordsize="23,393">
              <v:shape style="position:absolute;left:4236;top:8042;width:23;height:393" coordorigin="4236,8042" coordsize="23,393" path="m4236,8435l4259,8435,4259,8042,4236,8042,4236,8435xe" filled="true" fillcolor="#d3d3d3" stroked="false">
                <v:path arrowok="t"/>
                <v:fill type="solid"/>
              </v:shape>
            </v:group>
            <v:group style="position:absolute;left:3205;top:8042;width:23;height:393" coordorigin="3205,8042" coordsize="23,393">
              <v:shape style="position:absolute;left:3205;top:8042;width:23;height:393" coordorigin="3205,8042" coordsize="23,393" path="m3205,8435l3228,8435,3228,8042,3205,8042,3205,8435xe" filled="true" fillcolor="#d3d3d3" stroked="false">
                <v:path arrowok="t"/>
                <v:fill type="solid"/>
              </v:shape>
            </v:group>
            <v:group style="position:absolute;left:3228;top:8042;width:1008;height:393" coordorigin="3228,8042" coordsize="1008,393">
              <v:shape style="position:absolute;left:3228;top:8042;width:1008;height:393" coordorigin="3228,8042" coordsize="1008,393" path="m3228,8435l4236,8435,4236,8042,3228,8042,3228,8435xe" filled="true" fillcolor="#d3d3d3" stroked="false">
                <v:path arrowok="t"/>
                <v:fill type="solid"/>
              </v:shape>
            </v:group>
            <v:group style="position:absolute;left:5298;top:8042;width:24;height:393" coordorigin="5298,8042" coordsize="24,393">
              <v:shape style="position:absolute;left:5298;top:8042;width:24;height:393" coordorigin="5298,8042" coordsize="24,393" path="m5298,8435l5322,8435,5322,8042,5298,8042,5298,8435xe" filled="true" fillcolor="#d3d3d3" stroked="false">
                <v:path arrowok="t"/>
                <v:fill type="solid"/>
              </v:shape>
            </v:group>
            <v:group style="position:absolute;left:4268;top:8042;width:23;height:393" coordorigin="4268,8042" coordsize="23,393">
              <v:shape style="position:absolute;left:4268;top:8042;width:23;height:393" coordorigin="4268,8042" coordsize="23,393" path="m4268,8435l4291,8435,4291,8042,4268,8042,4268,8435xe" filled="true" fillcolor="#d3d3d3" stroked="false">
                <v:path arrowok="t"/>
                <v:fill type="solid"/>
              </v:shape>
            </v:group>
            <v:group style="position:absolute;left:4291;top:8042;width:1007;height:393" coordorigin="4291,8042" coordsize="1007,393">
              <v:shape style="position:absolute;left:4291;top:8042;width:1007;height:393" coordorigin="4291,8042" coordsize="1007,393" path="m4291,8435l5298,8435,5298,8042,4291,8042,4291,8435xe" filled="true" fillcolor="#d3d3d3" stroked="false">
                <v:path arrowok="t"/>
                <v:fill type="solid"/>
              </v:shape>
            </v:group>
            <v:group style="position:absolute;left:6361;top:8042;width:23;height:393" coordorigin="6361,8042" coordsize="23,393">
              <v:shape style="position:absolute;left:6361;top:8042;width:23;height:393" coordorigin="6361,8042" coordsize="23,393" path="m6361,8435l6384,8435,6384,8042,6361,8042,6361,8435xe" filled="true" fillcolor="#d3d3d3" stroked="false">
                <v:path arrowok="t"/>
                <v:fill type="solid"/>
              </v:shape>
            </v:group>
            <v:group style="position:absolute;left:5332;top:8042;width:23;height:393" coordorigin="5332,8042" coordsize="23,393">
              <v:shape style="position:absolute;left:5332;top:8042;width:23;height:393" coordorigin="5332,8042" coordsize="23,393" path="m5332,8435l5354,8435,5354,8042,5332,8042,5332,8435xe" filled="true" fillcolor="#d3d3d3" stroked="false">
                <v:path arrowok="t"/>
                <v:fill type="solid"/>
              </v:shape>
            </v:group>
            <v:group style="position:absolute;left:5354;top:8042;width:1007;height:393" coordorigin="5354,8042" coordsize="1007,393">
              <v:shape style="position:absolute;left:5354;top:8042;width:1007;height:393" coordorigin="5354,8042" coordsize="1007,393" path="m5354,8435l6361,8435,6361,8042,5354,8042,5354,8435xe" filled="true" fillcolor="#d3d3d3" stroked="false">
                <v:path arrowok="t"/>
                <v:fill type="solid"/>
              </v:shape>
            </v:group>
            <v:group style="position:absolute;left:9551;top:8042;width:23;height:393" coordorigin="9551,8042" coordsize="23,393">
              <v:shape style="position:absolute;left:9551;top:8042;width:23;height:393" coordorigin="9551,8042" coordsize="23,393" path="m9551,8435l9574,8435,9574,8042,9551,8042,9551,8435xe" filled="true" fillcolor="#d3d3d3" stroked="false">
                <v:path arrowok="t"/>
                <v:fill type="solid"/>
              </v:shape>
            </v:group>
            <v:group style="position:absolute;left:8521;top:8042;width:23;height:393" coordorigin="8521,8042" coordsize="23,393">
              <v:shape style="position:absolute;left:8521;top:8042;width:23;height:393" coordorigin="8521,8042" coordsize="23,393" path="m8521,8435l8544,8435,8544,8042,8521,8042,8521,8435xe" filled="true" fillcolor="#d3d3d3" stroked="false">
                <v:path arrowok="t"/>
                <v:fill type="solid"/>
              </v:shape>
            </v:group>
            <v:group style="position:absolute;left:8544;top:8042;width:1007;height:393" coordorigin="8544,8042" coordsize="1007,393">
              <v:shape style="position:absolute;left:8544;top:8042;width:1007;height:393" coordorigin="8544,8042" coordsize="1007,393" path="m8544,8435l9551,8435,9551,8042,8544,8042,8544,8435xe" filled="true" fillcolor="#d3d3d3" stroked="false">
                <v:path arrowok="t"/>
                <v:fill type="solid"/>
              </v:shape>
            </v:group>
            <v:group style="position:absolute;left:5;top:8038;width:9579;height:2" coordorigin="5,8038" coordsize="9579,2">
              <v:shape style="position:absolute;left:5;top:8038;width:9579;height:2" coordorigin="5,8038" coordsize="9579,0" path="m5,8038l9583,8038e" filled="false" stroked="true" strokeweight=".47998pt" strokecolor="#000000">
                <v:path arrowok="t"/>
              </v:shape>
            </v:group>
            <v:group style="position:absolute;left:10;top:5;width:2;height:8440" coordorigin="10,5" coordsize="2,8440">
              <v:shape style="position:absolute;left:10;top:5;width:2;height:8440" coordorigin="10,5" coordsize="0,8440" path="m10,5l10,8444e" filled="false" stroked="true" strokeweight=".48001pt" strokecolor="#000000">
                <v:path arrowok="t"/>
              </v:shape>
            </v:group>
            <v:group style="position:absolute;left:5;top:8440;width:1066;height:2" coordorigin="5,8440" coordsize="1066,2">
              <v:shape style="position:absolute;left:5;top:8440;width:1066;height:2" coordorigin="5,8440" coordsize="1066,0" path="m5,8440l1070,8440e" filled="false" stroked="true" strokeweight=".48001pt" strokecolor="#000000">
                <v:path arrowok="t"/>
              </v:shape>
            </v:group>
            <v:group style="position:absolute;left:1075;top:8042;width:2;height:402" coordorigin="1075,8042" coordsize="2,402">
              <v:shape style="position:absolute;left:1075;top:8042;width:2;height:402" coordorigin="1075,8042" coordsize="0,402" path="m1075,8042l1075,8444e" filled="false" stroked="true" strokeweight=".48pt" strokecolor="#000000">
                <v:path arrowok="t"/>
              </v:shape>
            </v:group>
            <v:group style="position:absolute;left:1080;top:8440;width:1053;height:2" coordorigin="1080,8440" coordsize="1053,2">
              <v:shape style="position:absolute;left:1080;top:8440;width:1053;height:2" coordorigin="1080,8440" coordsize="1053,0" path="m1080,8440l2132,8440e" filled="false" stroked="true" strokeweight=".48001pt" strokecolor="#000000">
                <v:path arrowok="t"/>
              </v:shape>
            </v:group>
            <v:group style="position:absolute;left:2137;top:8042;width:2;height:402" coordorigin="2137,8042" coordsize="2,402">
              <v:shape style="position:absolute;left:2137;top:8042;width:2;height:402" coordorigin="2137,8042" coordsize="0,402" path="m2137,8042l2137,8444e" filled="false" stroked="true" strokeweight=".48001pt" strokecolor="#000000">
                <v:path arrowok="t"/>
              </v:shape>
            </v:group>
            <v:group style="position:absolute;left:2142;top:8440;width:1054;height:2" coordorigin="2142,8440" coordsize="1054,2">
              <v:shape style="position:absolute;left:2142;top:8440;width:1054;height:2" coordorigin="2142,8440" coordsize="1054,0" path="m2142,8440l3196,8440e" filled="false" stroked="true" strokeweight=".48001pt" strokecolor="#000000">
                <v:path arrowok="t"/>
              </v:shape>
            </v:group>
            <v:group style="position:absolute;left:3200;top:8042;width:2;height:402" coordorigin="3200,8042" coordsize="2,402">
              <v:shape style="position:absolute;left:3200;top:8042;width:2;height:402" coordorigin="3200,8042" coordsize="0,402" path="m3200,8042l3200,8444e" filled="false" stroked="true" strokeweight=".48pt" strokecolor="#000000">
                <v:path arrowok="t"/>
              </v:shape>
            </v:group>
            <v:group style="position:absolute;left:3205;top:8440;width:1054;height:2" coordorigin="3205,8440" coordsize="1054,2">
              <v:shape style="position:absolute;left:3205;top:8440;width:1054;height:2" coordorigin="3205,8440" coordsize="1054,0" path="m3205,8440l4259,8440e" filled="false" stroked="true" strokeweight=".48001pt" strokecolor="#000000">
                <v:path arrowok="t"/>
              </v:shape>
            </v:group>
            <v:group style="position:absolute;left:4264;top:8042;width:2;height:402" coordorigin="4264,8042" coordsize="2,402">
              <v:shape style="position:absolute;left:4264;top:8042;width:2;height:402" coordorigin="4264,8042" coordsize="0,402" path="m4264,8042l4264,8444e" filled="false" stroked="true" strokeweight=".48001pt" strokecolor="#000000">
                <v:path arrowok="t"/>
              </v:shape>
            </v:group>
            <v:group style="position:absolute;left:4268;top:8440;width:1054;height:2" coordorigin="4268,8440" coordsize="1054,2">
              <v:shape style="position:absolute;left:4268;top:8440;width:1054;height:2" coordorigin="4268,8440" coordsize="1054,0" path="m4268,8440l5322,8440e" filled="false" stroked="true" strokeweight=".48001pt" strokecolor="#000000">
                <v:path arrowok="t"/>
              </v:shape>
            </v:group>
            <v:group style="position:absolute;left:5327;top:8042;width:2;height:402" coordorigin="5327,8042" coordsize="2,402">
              <v:shape style="position:absolute;left:5327;top:8042;width:2;height:402" coordorigin="5327,8042" coordsize="0,402" path="m5327,8042l5327,8444e" filled="false" stroked="true" strokeweight=".48001pt" strokecolor="#000000">
                <v:path arrowok="t"/>
              </v:shape>
            </v:group>
            <v:group style="position:absolute;left:5332;top:8440;width:1054;height:2" coordorigin="5332,8440" coordsize="1054,2">
              <v:shape style="position:absolute;left:5332;top:8440;width:1054;height:2" coordorigin="5332,8440" coordsize="1054,0" path="m5332,8440l6385,8440e" filled="false" stroked="true" strokeweight=".48001pt" strokecolor="#000000">
                <v:path arrowok="t"/>
              </v:shape>
            </v:group>
            <v:group style="position:absolute;left:6390;top:8042;width:2;height:402" coordorigin="6390,8042" coordsize="2,402">
              <v:shape style="position:absolute;left:6390;top:8042;width:2;height:402" coordorigin="6390,8042" coordsize="0,402" path="m6390,8042l6390,8444e" filled="false" stroked="true" strokeweight=".47998pt" strokecolor="#000000">
                <v:path arrowok="t"/>
              </v:shape>
            </v:group>
            <v:group style="position:absolute;left:6395;top:8440;width:1054;height:2" coordorigin="6395,8440" coordsize="1054,2">
              <v:shape style="position:absolute;left:6395;top:8440;width:1054;height:2" coordorigin="6395,8440" coordsize="1054,0" path="m6395,8440l7448,8440e" filled="false" stroked="true" strokeweight=".48001pt" strokecolor="#000000">
                <v:path arrowok="t"/>
              </v:shape>
            </v:group>
            <v:group style="position:absolute;left:7453;top:8042;width:2;height:402" coordorigin="7453,8042" coordsize="2,402">
              <v:shape style="position:absolute;left:7453;top:8042;width:2;height:402" coordorigin="7453,8042" coordsize="0,402" path="m7453,8042l7453,8444e" filled="false" stroked="true" strokeweight=".48001pt" strokecolor="#000000">
                <v:path arrowok="t"/>
              </v:shape>
            </v:group>
            <v:group style="position:absolute;left:7458;top:8440;width:1053;height:2" coordorigin="7458,8440" coordsize="1053,2">
              <v:shape style="position:absolute;left:7458;top:8440;width:1053;height:2" coordorigin="7458,8440" coordsize="1053,0" path="m7458,8440l8510,8440e" filled="false" stroked="true" strokeweight=".48001pt" strokecolor="#000000">
                <v:path arrowok="t"/>
              </v:shape>
            </v:group>
            <v:group style="position:absolute;left:8515;top:8042;width:2;height:402" coordorigin="8515,8042" coordsize="2,402">
              <v:shape style="position:absolute;left:8515;top:8042;width:2;height:402" coordorigin="8515,8042" coordsize="0,402" path="m8515,8042l8515,8444e" filled="false" stroked="true" strokeweight=".47998pt" strokecolor="#000000">
                <v:path arrowok="t"/>
              </v:shape>
            </v:group>
            <v:group style="position:absolute;left:8520;top:8440;width:1054;height:2" coordorigin="8520,8440" coordsize="1054,2">
              <v:shape style="position:absolute;left:8520;top:8440;width:1054;height:2" coordorigin="8520,8440" coordsize="1054,0" path="m8520,8440l9574,8440e" filled="false" stroked="true" strokeweight=".48001pt" strokecolor="#000000">
                <v:path arrowok="t"/>
              </v:shape>
            </v:group>
            <v:group style="position:absolute;left:9578;top:5;width:2;height:8440" coordorigin="9578,5" coordsize="2,8440">
              <v:shape style="position:absolute;left:9578;top:5;width:2;height:8440" coordorigin="9578,5" coordsize="0,8440" path="m9578,5l9578,8444e" filled="false" stroked="true" strokeweight=".47998pt" strokecolor="#000000">
                <v:path arrowok="t"/>
              </v:shape>
              <v:shape style="position:absolute;left:37;top:58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奖励金</w:t>
                      </w:r>
                    </w:p>
                  </w:txbxContent>
                </v:textbox>
                <w10:wrap type="none"/>
              </v:shape>
              <v:shape style="position:absolute;left:1103;top:433;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121;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58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1;top:58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58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768;top:589;width:167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74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1771;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展会扶持资</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金</w:t>
                      </w:r>
                    </w:p>
                  </w:txbxContent>
                </v:textbox>
                <w10:wrap type="none"/>
              </v:shape>
              <v:shape style="position:absolute;left:1103;top:1771;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1459;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19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19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768;top:1927;width:167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2083;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310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专利申请和</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奖励经费</w:t>
                      </w:r>
                    </w:p>
                  </w:txbxContent>
                </v:textbox>
                <w10:wrap type="none"/>
              </v:shape>
              <v:shape style="position:absolute;left:1103;top:310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2797;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326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1;top:326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326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768;top:3265;width:167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3421;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460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专利资助</w:t>
                      </w:r>
                    </w:p>
                  </w:txbxContent>
                </v:textbox>
                <w10:wrap type="none"/>
              </v:shape>
              <v:shape style="position:absolute;left:1103;top:4447;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4135;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460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460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858;top:4603;width:158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475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578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雨山区财政</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局奖励款</w:t>
                      </w:r>
                    </w:p>
                  </w:txbxContent>
                </v:textbox>
                <w10:wrap type="none"/>
              </v:shape>
              <v:shape style="position:absolute;left:1103;top:578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5473;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594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59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59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858;top:5941;width:158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6097;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6967;width:945;height:806"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年中小</w:t>
                      </w:r>
                    </w:p>
                    <w:p>
                      <w:pPr>
                        <w:spacing w:line="314" w:lineRule="exact" w:before="22"/>
                        <w:ind w:left="0" w:right="42" w:firstLine="0"/>
                        <w:jc w:val="left"/>
                        <w:rPr>
                          <w:rFonts w:ascii="宋体" w:hAnsi="宋体" w:cs="宋体" w:eastAsia="宋体" w:hint="default"/>
                          <w:sz w:val="18"/>
                          <w:szCs w:val="18"/>
                        </w:rPr>
                      </w:pPr>
                      <w:r>
                        <w:rPr>
                          <w:rFonts w:ascii="宋体" w:hAnsi="宋体" w:cs="宋体" w:eastAsia="宋体" w:hint="default"/>
                          <w:sz w:val="18"/>
                          <w:szCs w:val="18"/>
                        </w:rPr>
                        <w:t>企业开拓资 金补贴</w:t>
                      </w:r>
                    </w:p>
                  </w:txbxContent>
                </v:textbox>
                <w10:wrap type="none"/>
              </v:shape>
              <v:shape style="position:absolute;left:1103;top:7123;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当地政府机</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关</w:t>
                      </w:r>
                    </w:p>
                  </w:txbxContent>
                </v:textbox>
                <w10:wrap type="none"/>
              </v:shape>
              <v:shape style="position:absolute;left:3228;top:6811;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6;top:72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72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5354;top:72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7858;top:7279;width:1587;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743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814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546;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609;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71;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734;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797;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480;top:8157;width:200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5,822,237.71 </w:t>
                      </w:r>
                      <w:r>
                        <w:rPr>
                          <w:rFonts w:ascii="Times New Roman"/>
                          <w:spacing w:val="23"/>
                          <w:sz w:val="18"/>
                        </w:rPr>
                        <w:t> </w:t>
                      </w:r>
                      <w:r>
                        <w:rPr>
                          <w:rFonts w:ascii="Times New Roman"/>
                          <w:sz w:val="18"/>
                        </w:rPr>
                        <w:t>4,643,214.66</w:t>
                      </w:r>
                    </w:p>
                  </w:txbxContent>
                </v:textbox>
                <w10:wrap type="none"/>
              </v:shape>
              <v:shape style="position:absolute;left:8987;top:815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168"/>
          <w:sz w:val="20"/>
          <w:szCs w:val="20"/>
        </w:rPr>
      </w:r>
    </w:p>
    <w:p>
      <w:pPr>
        <w:pStyle w:val="BodyText"/>
        <w:spacing w:line="240" w:lineRule="auto" w:before="46"/>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46,235.33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10,162.57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40,162.57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66,235.33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40,162.57</w:t>
            </w: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4,104,643.76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7,983,021.15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-4,828,348.87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-5,885,838.55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-723,705.11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2,097,182.60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14,726,522.21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2,208,978.33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-2,059,633.54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-168,576.05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-426,951.36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3,813,782.13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-236,730.42</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2,017,183.32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-4,339,587.65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-1,532,169.87</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-723,705.11</w:t>
            </w:r>
          </w:p>
        </w:tc>
      </w:tr>
    </w:tbl>
    <w:p>
      <w:pPr>
        <w:pStyle w:val="BodyText"/>
        <w:spacing w:line="240" w:lineRule="auto" w:before="51"/>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6,593,383.00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26,272,617.00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3,684,977.85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7,423,735.38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2,354,870.24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1,574,802.94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12,633,231.09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35,271,155.32</w:t>
            </w:r>
          </w:p>
        </w:tc>
      </w:tr>
    </w:tbl>
    <w:p>
      <w:pPr>
        <w:pStyle w:val="BodyText"/>
        <w:spacing w:line="240" w:lineRule="auto" w:before="51"/>
        <w:ind w:right="704"/>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30,336,890.50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33,409,121.74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87,794,598.43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60,650,091.80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13,266,220.92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6,900,906.09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14,109,164.72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29,773,058.00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145,506,874.57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130,733,177.63</w:t>
            </w:r>
          </w:p>
        </w:tc>
      </w:tr>
    </w:tbl>
    <w:p>
      <w:pPr>
        <w:pStyle w:val="BodyText"/>
        <w:spacing w:line="240" w:lineRule="auto" w:before="51"/>
        <w:ind w:right="704"/>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704"/>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704"/>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704"/>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短期融资券承销费用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90.140594pt;margin-top:401.100006pt;width:185.55pt;height:19.650pt;mso-position-horizontal-relative:page;mso-position-vertical-relative:page;z-index:-1140712"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15,450,227.32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21,967,604.17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1,410,756.33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4,031,929.50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11,003,315.40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9,591,658.07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31,832,223.01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25,229,169.19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403,838.90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609,908.52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5,912,865.37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99,555.56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-33,607,086.70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-36,546,321.67</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-5,914,887.33</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-5,885,838.55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-64,016,835.85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-41,264,194.20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-58,800,505.41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-37,787,420.05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114,328,251.89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16,797,809.29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18,002,162.93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-43,156,140.17</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347,236,683.56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342,664,951.87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45,703,433.30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-41,131,701.61</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347,236,683.56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561,118.58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166,981.40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346,675,564.98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301,366,268.86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347,236,683.56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301,533,250.26</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4391"/>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4"/>
        <w:rPr>
          <w:rFonts w:ascii="宋体" w:hAnsi="宋体" w:cs="宋体" w:eastAsia="宋体" w:hint="default"/>
          <w:sz w:val="21"/>
          <w:szCs w:val="21"/>
        </w:rPr>
      </w:pPr>
    </w:p>
    <w:p>
      <w:pPr>
        <w:pStyle w:val="Heading3"/>
        <w:spacing w:line="240" w:lineRule="auto"/>
        <w:ind w:right="704"/>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100,836,364.42</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定期存款、保函保证金、银行承兑汇票 保证金</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vMerge/>
            <w:tcBorders>
              <w:left w:val="single" w:sz="4" w:space="0" w:color="000000"/>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6" w:type="dxa"/>
            <w:vMerge/>
            <w:tcBorders>
              <w:left w:val="single" w:sz="4" w:space="0" w:color="000000"/>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100,836,364.42</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12,701,107.71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82,475,913.03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2,025,899.03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1,697,298.21</w:t>
            </w:r>
          </w:p>
        </w:tc>
      </w:tr>
    </w:tbl>
    <w:p>
      <w:pPr>
        <w:pStyle w:val="BodyText"/>
        <w:spacing w:line="240" w:lineRule="auto" w:before="51"/>
        <w:ind w:right="704"/>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704"/>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5091"/>
        <w:jc w:val="left"/>
      </w:pPr>
      <w:r>
        <w:rPr/>
        <w:t>合并成本公允价值的确定方法、或有对价及其变动的说明： 大额商誉形成的主要原因：</w:t>
      </w:r>
    </w:p>
    <w:p>
      <w:pPr>
        <w:pStyle w:val="BodyText"/>
        <w:spacing w:line="240" w:lineRule="auto" w:before="26"/>
        <w:ind w:left="153"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2"/>
        <w:ind w:left="153" w:right="6548"/>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7611"/>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824"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5pt;mso-position-horizontal-relative:char;mso-position-vertical-relative:line" coordorigin="0,0" coordsize="9590,825">
            <v:group style="position:absolute;left:3172;top:16;width:23;height:392" coordorigin="3172,16" coordsize="23,392">
              <v:shape style="position:absolute;left:3172;top:16;width:23;height:392" coordorigin="3172,16" coordsize="23,392" path="m3172,407l3194,407,3194,16,3172,16,317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135;height:392" coordorigin="37,16" coordsize="3135,392">
              <v:shape style="position:absolute;left:37;top:16;width:3135;height:392" coordorigin="37,16" coordsize="3135,392" path="m37,407l3172,407,3172,16,37,16,37,407xe" filled="true" fillcolor="#d3d3d3" stroked="false">
                <v:path arrowok="t"/>
                <v:fill type="solid"/>
              </v:shape>
            </v:group>
            <v:group style="position:absolute;left:3204;top:16;width:24;height:392" coordorigin="3204,16" coordsize="24,392">
              <v:shape style="position:absolute;left:3204;top:16;width:24;height:392" coordorigin="3204,16" coordsize="24,392" path="m3204,407l3228,407,3228,16,3204,16,3204,407xe" filled="true" fillcolor="#e1ffff" stroked="false">
                <v:path arrowok="t"/>
                <v:fill type="solid"/>
              </v:shape>
            </v:group>
            <v:group style="position:absolute;left:9552;top:16;width:23;height:392" coordorigin="9552,16" coordsize="23,392">
              <v:shape style="position:absolute;left:9552;top:16;width:23;height:392" coordorigin="9552,16" coordsize="23,392" path="m9552,407l9575,407,9575,16,9552,16,9552,407xe" filled="true" fillcolor="#e1ffff" stroked="false">
                <v:path arrowok="t"/>
                <v:fill type="solid"/>
              </v:shape>
            </v:group>
            <v:group style="position:absolute;left:3228;top:16;width:6324;height:392" coordorigin="3228,16" coordsize="6324,392">
              <v:shape style="position:absolute;left:3228;top:16;width:6324;height:392" coordorigin="3228,16" coordsize="6324,392" path="m3228,407l9552,407,9552,16,3228,16,3228,407xe" filled="true" fillcolor="#e1ffff"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3172;top:418;width:23;height:392" coordorigin="3172,418" coordsize="23,392">
              <v:shape style="position:absolute;left:3172;top:418;width:23;height:392" coordorigin="3172,418" coordsize="23,392" path="m3172,809l3194,809,3194,418,3172,418,3172,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3135;height:392" coordorigin="37,418" coordsize="3135,392">
              <v:shape style="position:absolute;left:37;top:418;width:3135;height:392" coordorigin="37,418" coordsize="3135,392" path="m37,809l3172,809,3172,418,37,418,37,809xe" filled="true" fillcolor="#d3d3d3" stroked="false">
                <v:path arrowok="t"/>
                <v:fill type="solid"/>
              </v:shape>
            </v:group>
            <v:group style="position:absolute;left:6361;top:418;width:23;height:392" coordorigin="6361,418" coordsize="23,392">
              <v:shape style="position:absolute;left:6361;top:418;width:23;height:392" coordorigin="6361,418" coordsize="23,392" path="m6361,809l6384,809,6384,418,6361,418,6361,809xe" filled="true" fillcolor="#d3d3d3" stroked="false">
                <v:path arrowok="t"/>
                <v:fill type="solid"/>
              </v:shape>
            </v:group>
            <v:group style="position:absolute;left:3204;top:418;width:24;height:392" coordorigin="3204,418" coordsize="24,392">
              <v:shape style="position:absolute;left:3204;top:418;width:24;height:392" coordorigin="3204,418" coordsize="24,392" path="m3204,809l3228,809,3228,418,3204,418,3204,809xe" filled="true" fillcolor="#d3d3d3" stroked="false">
                <v:path arrowok="t"/>
                <v:fill type="solid"/>
              </v:shape>
            </v:group>
            <v:group style="position:absolute;left:3228;top:418;width:3134;height:392" coordorigin="3228,418" coordsize="3134,392">
              <v:shape style="position:absolute;left:3228;top:418;width:3134;height:392" coordorigin="3228,418" coordsize="3134,392" path="m3228,809l6361,809,6361,418,3228,418,3228,809xe" filled="true" fillcolor="#d3d3d3" stroked="false">
                <v:path arrowok="t"/>
                <v:fill type="solid"/>
              </v:shape>
            </v:group>
            <v:group style="position:absolute;left:9552;top:418;width:23;height:392" coordorigin="9552,418" coordsize="23,392">
              <v:shape style="position:absolute;left:9552;top:418;width:23;height:392" coordorigin="9552,418" coordsize="23,392" path="m9552,809l9575,809,9575,418,9552,418,9552,809xe" filled="true" fillcolor="#d3d3d3" stroked="false">
                <v:path arrowok="t"/>
                <v:fill type="solid"/>
              </v:shape>
            </v:group>
            <v:group style="position:absolute;left:6395;top:418;width:23;height:392" coordorigin="6395,418" coordsize="23,392">
              <v:shape style="position:absolute;left:6395;top:418;width:23;height:392" coordorigin="6395,418" coordsize="23,392" path="m6395,809l6418,809,6418,418,6395,418,6395,809xe" filled="true" fillcolor="#d3d3d3" stroked="false">
                <v:path arrowok="t"/>
                <v:fill type="solid"/>
              </v:shape>
            </v:group>
            <v:group style="position:absolute;left:6418;top:418;width:3135;height:392" coordorigin="6418,418" coordsize="3135,392">
              <v:shape style="position:absolute;left:6418;top:418;width:3135;height:392" coordorigin="6418,418" coordsize="3135,392" path="m6418,809l9552,809,9552,418,6418,418,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8001pt" strokecolor="#000000">
                <v:path arrowok="t"/>
              </v:shape>
            </v:group>
            <v:group style="position:absolute;left:10;top:416;width:2;height:404" coordorigin="10,416" coordsize="2,404">
              <v:shape style="position:absolute;left:10;top:416;width:2;height:404" coordorigin="10,416" coordsize="0,404" path="m10,416l10,820e" filled="false" stroked="true" strokeweight=".48001pt" strokecolor="#000000">
                <v:path arrowok="t"/>
              </v:shape>
            </v:group>
            <v:group style="position:absolute;left:5;top:815;width:3190;height:2" coordorigin="5,815" coordsize="3190,2">
              <v:shape style="position:absolute;left:5;top:815;width:3190;height:2" coordorigin="5,815" coordsize="3190,0" path="m5,815l3194,815e" filled="false" stroked="true" strokeweight=".48001pt" strokecolor="#000000">
                <v:path arrowok="t"/>
              </v:shape>
            </v:group>
            <v:group style="position:absolute;left:3199;top:416;width:2;height:404" coordorigin="3199,416" coordsize="2,404">
              <v:shape style="position:absolute;left:3199;top:416;width:2;height:404" coordorigin="3199,416" coordsize="0,404" path="m3199,416l3199,820e" filled="false" stroked="true" strokeweight=".48pt" strokecolor="#000000">
                <v:path arrowok="t"/>
              </v:shape>
            </v:group>
            <v:group style="position:absolute;left:3204;top:815;width:3182;height:2" coordorigin="3204,815" coordsize="3182,2">
              <v:shape style="position:absolute;left:3204;top:815;width:3182;height:2" coordorigin="3204,815" coordsize="3182,0" path="m3204,815l6385,815e" filled="false" stroked="true" strokeweight=".48001pt" strokecolor="#000000">
                <v:path arrowok="t"/>
              </v:shape>
            </v:group>
            <v:group style="position:absolute;left:6390;top:416;width:2;height:404" coordorigin="6390,416" coordsize="2,404">
              <v:shape style="position:absolute;left:6390;top:416;width:2;height:404" coordorigin="6390,416" coordsize="0,404" path="m6390,416l6390,820e" filled="false" stroked="true" strokeweight=".47998pt" strokecolor="#000000">
                <v:path arrowok="t"/>
              </v:shape>
            </v:group>
            <v:group style="position:absolute;left:6395;top:815;width:3180;height:2" coordorigin="6395,815" coordsize="3180,2">
              <v:shape style="position:absolute;left:6395;top:815;width:3180;height:2" coordorigin="6395,815" coordsize="3180,0" path="m6395,815l9575,815e" filled="false" stroked="true" strokeweight=".48001pt" strokecolor="#000000">
                <v:path arrowok="t"/>
              </v:shape>
            </v:group>
            <v:group style="position:absolute;left:9580;top:416;width:2;height:404" coordorigin="9580,416" coordsize="2,404">
              <v:shape style="position:absolute;left:9580;top:416;width:2;height:404" coordorigin="9580,416" coordsize="0,404" path="m9580,416l9580,820e" filled="false" stroked="true" strokeweight=".47998pt" strokecolor="#000000">
                <v:path arrowok="t"/>
              </v:shape>
              <v:shape style="position:absolute;left:3199;top:412;width:3191;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153" w:right="6531"/>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是否存在单次处置对子公司投资即丧失控制权的情形</w:t>
      </w:r>
    </w:p>
    <w:p>
      <w:pPr>
        <w:pStyle w:val="BodyText"/>
        <w:spacing w:line="338" w:lineRule="auto" w:before="117"/>
        <w:ind w:right="40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7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2931"/>
        <w:jc w:val="left"/>
      </w:pPr>
      <w:r>
        <w:rPr/>
        <w:t>说明其他原因导致的合并范围变动（如，新设子公司、清算子公司等）及其相关情况： 通过设立方式取得的子公司</w:t>
      </w:r>
    </w:p>
    <w:p>
      <w:pPr>
        <w:spacing w:line="240" w:lineRule="auto" w:before="10"/>
        <w:rPr>
          <w:rFonts w:ascii="宋体" w:hAnsi="宋体" w:cs="宋体" w:eastAsia="宋体" w:hint="default"/>
          <w:sz w:val="6"/>
          <w:szCs w:val="6"/>
        </w:rPr>
      </w:pPr>
    </w:p>
    <w:p>
      <w:pPr>
        <w:spacing w:line="4335" w:lineRule="exact"/>
        <w:ind w:left="134"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76.35pt;height:216.8pt;mso-position-horizontal-relative:char;mso-position-vertical-relative:line" coordorigin="0,0" coordsize="9527,4336">
            <v:group style="position:absolute;left:29;top:30;width:1932;height:186" coordorigin="29,30" coordsize="1932,186">
              <v:shape style="position:absolute;left:29;top:30;width:1932;height:186" coordorigin="29,30" coordsize="1932,186" path="m29,216l1961,216,1961,30,29,30,29,216xe" filled="true" fillcolor="#d9d9d9" stroked="false">
                <v:path arrowok="t"/>
                <v:fill type="solid"/>
              </v:shape>
            </v:group>
            <v:group style="position:absolute;left:29;top:528;width:1932;height:185" coordorigin="29,528" coordsize="1932,185">
              <v:shape style="position:absolute;left:29;top:528;width:1932;height:185" coordorigin="29,528" coordsize="1932,185" path="m29,713l1961,713,1961,528,29,528,29,713xe" filled="true" fillcolor="#d9d9d9" stroked="false">
                <v:path arrowok="t"/>
                <v:fill type="solid"/>
              </v:shape>
            </v:group>
            <v:group style="position:absolute;left:29;top:216;width:1932;height:312" coordorigin="29,216" coordsize="1932,312">
              <v:shape style="position:absolute;left:29;top:216;width:1932;height:312" coordorigin="29,216" coordsize="1932,312" path="m29,528l1961,528,1961,216,29,216,29,528xe" filled="true" fillcolor="#d9d9d9" stroked="false">
                <v:path arrowok="t"/>
                <v:fill type="solid"/>
              </v:shape>
            </v:group>
            <v:group style="position:absolute;left:1980;top:30;width:972;height:30" coordorigin="1980,30" coordsize="972,30">
              <v:shape style="position:absolute;left:1980;top:30;width:972;height:30" coordorigin="1980,30" coordsize="972,30" path="m1980,60l2952,60,2952,30,1980,30,1980,60xe" filled="true" fillcolor="#d9d9d9" stroked="false">
                <v:path arrowok="t"/>
                <v:fill type="solid"/>
              </v:shape>
            </v:group>
            <v:group style="position:absolute;left:1980;top:684;width:972;height:29" coordorigin="1980,684" coordsize="972,29">
              <v:shape style="position:absolute;left:1980;top:684;width:972;height:29" coordorigin="1980,684" coordsize="972,29" path="m1980,713l2952,713,2952,684,1980,684,1980,713xe" filled="true" fillcolor="#d9d9d9" stroked="false">
                <v:path arrowok="t"/>
                <v:fill type="solid"/>
              </v:shape>
            </v:group>
            <v:group style="position:absolute;left:1980;top:60;width:972;height:312" coordorigin="1980,60" coordsize="972,312">
              <v:shape style="position:absolute;left:1980;top:60;width:972;height:312" coordorigin="1980,60" coordsize="972,312" path="m1980,372l2952,372,2952,60,1980,60,1980,372xe" filled="true" fillcolor="#d9d9d9" stroked="false">
                <v:path arrowok="t"/>
                <v:fill type="solid"/>
              </v:shape>
            </v:group>
            <v:group style="position:absolute;left:1980;top:372;width:972;height:312" coordorigin="1980,372" coordsize="972,312">
              <v:shape style="position:absolute;left:1980;top:372;width:972;height:312" coordorigin="1980,372" coordsize="972,312" path="m1980,684l2952,684,2952,372,1980,372,1980,684xe" filled="true" fillcolor="#d9d9d9" stroked="false">
                <v:path arrowok="t"/>
                <v:fill type="solid"/>
              </v:shape>
            </v:group>
            <v:group style="position:absolute;left:2972;top:30;width:831;height:186" coordorigin="2972,30" coordsize="831,186">
              <v:shape style="position:absolute;left:2972;top:30;width:831;height:186" coordorigin="2972,30" coordsize="831,186" path="m2972,216l3803,216,3803,30,2972,30,2972,216xe" filled="true" fillcolor="#d9d9d9" stroked="false">
                <v:path arrowok="t"/>
                <v:fill type="solid"/>
              </v:shape>
            </v:group>
            <v:group style="position:absolute;left:2972;top:528;width:831;height:185" coordorigin="2972,528" coordsize="831,185">
              <v:shape style="position:absolute;left:2972;top:528;width:831;height:185" coordorigin="2972,528" coordsize="831,185" path="m2972,713l3803,713,3803,528,2972,528,2972,713xe" filled="true" fillcolor="#d9d9d9" stroked="false">
                <v:path arrowok="t"/>
                <v:fill type="solid"/>
              </v:shape>
            </v:group>
            <v:group style="position:absolute;left:2972;top:216;width:831;height:312" coordorigin="2972,216" coordsize="831,312">
              <v:shape style="position:absolute;left:2972;top:216;width:831;height:312" coordorigin="2972,216" coordsize="831,312" path="m2972,528l3803,528,3803,216,2972,216,2972,528xe" filled="true" fillcolor="#d9d9d9" stroked="false">
                <v:path arrowok="t"/>
                <v:fill type="solid"/>
              </v:shape>
            </v:group>
            <v:group style="position:absolute;left:3823;top:30;width:2248;height:186" coordorigin="3823,30" coordsize="2248,186">
              <v:shape style="position:absolute;left:3823;top:30;width:2248;height:186" coordorigin="3823,30" coordsize="2248,186" path="m3823,216l6071,216,6071,30,3823,30,3823,216xe" filled="true" fillcolor="#d9d9d9" stroked="false">
                <v:path arrowok="t"/>
                <v:fill type="solid"/>
              </v:shape>
            </v:group>
            <v:group style="position:absolute;left:3823;top:528;width:2248;height:185" coordorigin="3823,528" coordsize="2248,185">
              <v:shape style="position:absolute;left:3823;top:528;width:2248;height:185" coordorigin="3823,528" coordsize="2248,185" path="m3823,713l6071,713,6071,528,3823,528,3823,713xe" filled="true" fillcolor="#d9d9d9" stroked="false">
                <v:path arrowok="t"/>
                <v:fill type="solid"/>
              </v:shape>
            </v:group>
            <v:group style="position:absolute;left:3823;top:216;width:2248;height:312" coordorigin="3823,216" coordsize="2248,312">
              <v:shape style="position:absolute;left:3823;top:216;width:2248;height:312" coordorigin="3823,216" coordsize="2248,312" path="m3823,528l6071,528,6071,216,3823,216,3823,528xe" filled="true" fillcolor="#d9d9d9" stroked="false">
                <v:path arrowok="t"/>
                <v:fill type="solid"/>
              </v:shape>
            </v:group>
            <v:group style="position:absolute;left:6091;top:30;width:689;height:30" coordorigin="6091,30" coordsize="689,30">
              <v:shape style="position:absolute;left:6091;top:30;width:689;height:30" coordorigin="6091,30" coordsize="689,30" path="m6091,60l6780,60,6780,30,6091,30,6091,60xe" filled="true" fillcolor="#d9d9d9" stroked="false">
                <v:path arrowok="t"/>
                <v:fill type="solid"/>
              </v:shape>
            </v:group>
            <v:group style="position:absolute;left:6091;top:684;width:689;height:29" coordorigin="6091,684" coordsize="689,29">
              <v:shape style="position:absolute;left:6091;top:684;width:689;height:29" coordorigin="6091,684" coordsize="689,29" path="m6091,713l6780,713,6780,684,6091,684,6091,713xe" filled="true" fillcolor="#d9d9d9" stroked="false">
                <v:path arrowok="t"/>
                <v:fill type="solid"/>
              </v:shape>
            </v:group>
            <v:group style="position:absolute;left:6091;top:60;width:689;height:312" coordorigin="6091,60" coordsize="689,312">
              <v:shape style="position:absolute;left:6091;top:60;width:689;height:312" coordorigin="6091,60" coordsize="689,312" path="m6091,372l6780,372,6780,60,6091,60,6091,372xe" filled="true" fillcolor="#d9d9d9" stroked="false">
                <v:path arrowok="t"/>
                <v:fill type="solid"/>
              </v:shape>
            </v:group>
            <v:group style="position:absolute;left:6091;top:372;width:689;height:312" coordorigin="6091,372" coordsize="689,312">
              <v:shape style="position:absolute;left:6091;top:372;width:689;height:312" coordorigin="6091,372" coordsize="689,312" path="m6091,684l6780,684,6780,372,6091,372,6091,684xe" filled="true" fillcolor="#d9d9d9" stroked="false">
                <v:path arrowok="t"/>
                <v:fill type="solid"/>
              </v:shape>
            </v:group>
            <v:group style="position:absolute;left:6800;top:30;width:1682;height:186" coordorigin="6800,30" coordsize="1682,186">
              <v:shape style="position:absolute;left:6800;top:30;width:1682;height:186" coordorigin="6800,30" coordsize="1682,186" path="m6800,216l8482,216,8482,30,6800,30,6800,216xe" filled="true" fillcolor="#d9d9d9" stroked="false">
                <v:path arrowok="t"/>
                <v:fill type="solid"/>
              </v:shape>
            </v:group>
            <v:group style="position:absolute;left:6800;top:528;width:1682;height:185" coordorigin="6800,528" coordsize="1682,185">
              <v:shape style="position:absolute;left:6800;top:528;width:1682;height:185" coordorigin="6800,528" coordsize="1682,185" path="m6800,713l8482,713,8482,528,6800,528,6800,713xe" filled="true" fillcolor="#d9d9d9" stroked="false">
                <v:path arrowok="t"/>
                <v:fill type="solid"/>
              </v:shape>
            </v:group>
            <v:group style="position:absolute;left:6800;top:216;width:1682;height:312" coordorigin="6800,216" coordsize="1682,312">
              <v:shape style="position:absolute;left:6800;top:216;width:1682;height:312" coordorigin="6800,216" coordsize="1682,312" path="m6800,528l8482,528,8482,216,6800,216,6800,528xe" filled="true" fillcolor="#d9d9d9" stroked="false">
                <v:path arrowok="t"/>
                <v:fill type="solid"/>
              </v:shape>
            </v:group>
            <v:group style="position:absolute;left:8501;top:30;width:1007;height:186" coordorigin="8501,30" coordsize="1007,186">
              <v:shape style="position:absolute;left:8501;top:30;width:1007;height:186" coordorigin="8501,30" coordsize="1007,186" path="m8501,216l9508,216,9508,30,8501,30,8501,216xe" filled="true" fillcolor="#d9d9d9" stroked="false">
                <v:path arrowok="t"/>
                <v:fill type="solid"/>
              </v:shape>
            </v:group>
            <v:group style="position:absolute;left:8501;top:528;width:1007;height:185" coordorigin="8501,528" coordsize="1007,185">
              <v:shape style="position:absolute;left:8501;top:528;width:1007;height:185" coordorigin="8501,528" coordsize="1007,185" path="m8501,713l9508,713,9508,528,8501,528,8501,713xe" filled="true" fillcolor="#d9d9d9" stroked="false">
                <v:path arrowok="t"/>
                <v:fill type="solid"/>
              </v:shape>
            </v:group>
            <v:group style="position:absolute;left:8501;top:216;width:1007;height:312" coordorigin="8501,216" coordsize="1007,312">
              <v:shape style="position:absolute;left:8501;top:216;width:1007;height:312" coordorigin="8501,216" coordsize="1007,312" path="m8501,528l9508,528,9508,216,8501,216,8501,528xe" filled="true" fillcolor="#d9d9d9" stroked="false">
                <v:path arrowok="t"/>
                <v:fill type="solid"/>
              </v:shape>
            </v:group>
            <v:group style="position:absolute;left:10;top:19;width:1952;height:2" coordorigin="10,19" coordsize="1952,2">
              <v:shape style="position:absolute;left:10;top:19;width:1952;height:2" coordorigin="10,19" coordsize="1952,0" path="m10,19l1961,19e" filled="false" stroked="true" strokeweight=".96002pt" strokecolor="#000000">
                <v:path arrowok="t"/>
              </v:shape>
            </v:group>
            <v:group style="position:absolute;left:29;top:34;width:1932;height:2" coordorigin="29,34" coordsize="1932,2">
              <v:shape style="position:absolute;left:29;top:34;width:1932;height:2" coordorigin="29,34" coordsize="1932,0" path="m29,34l1961,34e" filled="false" stroked="true" strokeweight=".53998pt" strokecolor="#d9d9d9">
                <v:path arrowok="t"/>
              </v:shape>
            </v:group>
            <v:group style="position:absolute;left:1980;top:10;width:974;height:20" coordorigin="1980,10" coordsize="974,20">
              <v:shape style="position:absolute;left:1980;top:10;width:974;height:20" coordorigin="1980,10" coordsize="974,20" path="m1980,29l2953,29,2953,10,1980,10,1980,29xe" filled="true" fillcolor="#000000" stroked="false">
                <v:path arrowok="t"/>
                <v:fill type="solid"/>
              </v:shape>
            </v:group>
            <v:group style="position:absolute;left:1980;top:34;width:974;height:2" coordorigin="1980,34" coordsize="974,2">
              <v:shape style="position:absolute;left:1980;top:34;width:974;height:2" coordorigin="1980,34" coordsize="974,0" path="m1980,34l2953,34e" filled="false" stroked="true" strokeweight=".53998pt" strokecolor="#d9d9d9">
                <v:path arrowok="t"/>
              </v:shape>
            </v:group>
            <v:group style="position:absolute;left:2972;top:10;width:832;height:20" coordorigin="2972,10" coordsize="832,20">
              <v:shape style="position:absolute;left:2972;top:10;width:832;height:20" coordorigin="2972,10" coordsize="832,20" path="m2972,29l3804,29,3804,10,2972,10,2972,29xe" filled="true" fillcolor="#000000" stroked="false">
                <v:path arrowok="t"/>
                <v:fill type="solid"/>
              </v:shape>
            </v:group>
            <v:group style="position:absolute;left:2972;top:34;width:832;height:2" coordorigin="2972,34" coordsize="832,2">
              <v:shape style="position:absolute;left:2972;top:34;width:832;height:2" coordorigin="2972,34" coordsize="832,0" path="m2972,34l3804,34e" filled="false" stroked="true" strokeweight=".53998pt" strokecolor="#d9d9d9">
                <v:path arrowok="t"/>
              </v:shape>
            </v:group>
            <v:group style="position:absolute;left:3823;top:10;width:2249;height:20" coordorigin="3823,10" coordsize="2249,20">
              <v:shape style="position:absolute;left:3823;top:10;width:2249;height:20" coordorigin="3823,10" coordsize="2249,20" path="m3823,29l6072,29,6072,10,3823,10,3823,29xe" filled="true" fillcolor="#000000" stroked="false">
                <v:path arrowok="t"/>
                <v:fill type="solid"/>
              </v:shape>
            </v:group>
            <v:group style="position:absolute;left:3823;top:34;width:2249;height:2" coordorigin="3823,34" coordsize="2249,2">
              <v:shape style="position:absolute;left:3823;top:34;width:2249;height:2" coordorigin="3823,34" coordsize="2249,0" path="m3823,34l6072,34e" filled="false" stroked="true" strokeweight=".53998pt" strokecolor="#d9d9d9">
                <v:path arrowok="t"/>
              </v:shape>
            </v:group>
            <v:group style="position:absolute;left:6091;top:10;width:690;height:20" coordorigin="6091,10" coordsize="690,20">
              <v:shape style="position:absolute;left:6091;top:10;width:690;height:20" coordorigin="6091,10" coordsize="690,20" path="m6091,29l6781,29,6781,10,6091,10,6091,29xe" filled="true" fillcolor="#000000" stroked="false">
                <v:path arrowok="t"/>
                <v:fill type="solid"/>
              </v:shape>
            </v:group>
            <v:group style="position:absolute;left:6091;top:34;width:690;height:2" coordorigin="6091,34" coordsize="690,2">
              <v:shape style="position:absolute;left:6091;top:34;width:690;height:2" coordorigin="6091,34" coordsize="690,0" path="m6091,34l6781,34e" filled="false" stroked="true" strokeweight=".53998pt" strokecolor="#d9d9d9">
                <v:path arrowok="t"/>
              </v:shape>
            </v:group>
            <v:group style="position:absolute;left:6800;top:10;width:1682;height:20" coordorigin="6800,10" coordsize="1682,20">
              <v:shape style="position:absolute;left:6800;top:10;width:1682;height:20" coordorigin="6800,10" coordsize="1682,20" path="m6800,29l8482,29,8482,10,6800,10,6800,29xe" filled="true" fillcolor="#000000" stroked="false">
                <v:path arrowok="t"/>
                <v:fill type="solid"/>
              </v:shape>
            </v:group>
            <v:group style="position:absolute;left:6800;top:34;width:1682;height:2" coordorigin="6800,34" coordsize="1682,2">
              <v:shape style="position:absolute;left:6800;top:34;width:1682;height:2" coordorigin="6800,34" coordsize="1682,0" path="m6800,34l8482,34e" filled="false" stroked="true" strokeweight=".53998pt" strokecolor="#d9d9d9">
                <v:path arrowok="t"/>
              </v:shape>
            </v:group>
            <v:group style="position:absolute;left:8501;top:10;width:1007;height:20" coordorigin="8501,10" coordsize="1007,20">
              <v:shape style="position:absolute;left:8501;top:10;width:1007;height:20" coordorigin="8501,10" coordsize="1007,20" path="m8501,29l9508,29,9508,10,8501,10,8501,29xe" filled="true" fillcolor="#000000" stroked="false">
                <v:path arrowok="t"/>
                <v:fill type="solid"/>
              </v:shape>
            </v:group>
            <v:group style="position:absolute;left:8501;top:34;width:1007;height:2" coordorigin="8501,34" coordsize="1007,2">
              <v:shape style="position:absolute;left:8501;top:34;width:1007;height:2" coordorigin="8501,34" coordsize="1007,0" path="m8501,34l9508,34e" filled="false" stroked="true" strokeweight=".53998pt" strokecolor="#d9d9d9">
                <v:path arrowok="t"/>
              </v:shape>
            </v:group>
            <v:group style="position:absolute;left:19;top:708;width:1952;height:2" coordorigin="19,708" coordsize="1952,2">
              <v:shape style="position:absolute;left:19;top:708;width:1952;height:2" coordorigin="19,708" coordsize="1952,0" path="m19,708l1970,708e" filled="false" stroked="true" strokeweight=".47998pt" strokecolor="#d9d9d9">
                <v:path arrowok="t"/>
              </v:shape>
            </v:group>
            <v:group style="position:absolute;left:1970;top:708;width:992;height:2" coordorigin="1970,708" coordsize="992,2">
              <v:shape style="position:absolute;left:1970;top:708;width:992;height:2" coordorigin="1970,708" coordsize="992,0" path="m1970,708l2962,708e" filled="false" stroked="true" strokeweight=".47998pt" strokecolor="#d9d9d9">
                <v:path arrowok="t"/>
              </v:shape>
            </v:group>
            <v:group style="position:absolute;left:2963;top:708;width:850;height:2" coordorigin="2963,708" coordsize="850,2">
              <v:shape style="position:absolute;left:2963;top:708;width:850;height:2" coordorigin="2963,708" coordsize="850,0" path="m2963,708l3812,708e" filled="false" stroked="true" strokeweight=".47998pt" strokecolor="#d9d9d9">
                <v:path arrowok="t"/>
              </v:shape>
            </v:group>
            <v:group style="position:absolute;left:3814;top:708;width:2267;height:2" coordorigin="3814,708" coordsize="2267,2">
              <v:shape style="position:absolute;left:3814;top:708;width:2267;height:2" coordorigin="3814,708" coordsize="2267,0" path="m3814,708l6080,708e" filled="false" stroked="true" strokeweight=".47998pt" strokecolor="#d9d9d9">
                <v:path arrowok="t"/>
              </v:shape>
            </v:group>
            <v:group style="position:absolute;left:6082;top:708;width:708;height:2" coordorigin="6082,708" coordsize="708,2">
              <v:shape style="position:absolute;left:6082;top:708;width:708;height:2" coordorigin="6082,708" coordsize="708,0" path="m6082,708l6790,708e" filled="false" stroked="true" strokeweight=".47998pt" strokecolor="#d9d9d9">
                <v:path arrowok="t"/>
              </v:shape>
            </v:group>
            <v:group style="position:absolute;left:6791;top:708;width:1701;height:2" coordorigin="6791,708" coordsize="1701,2">
              <v:shape style="position:absolute;left:6791;top:708;width:1701;height:2" coordorigin="6791,708" coordsize="1701,0" path="m6791,708l8491,708e" filled="false" stroked="true" strokeweight=".48pt" strokecolor="#d9d9d9">
                <v:path arrowok="t"/>
              </v:shape>
            </v:group>
            <v:group style="position:absolute;left:8491;top:708;width:1026;height:2" coordorigin="8491,708" coordsize="1026,2">
              <v:shape style="position:absolute;left:8491;top:708;width:1026;height:2" coordorigin="8491,708" coordsize="1026,0" path="m8491,708l9517,708e" filled="false" stroked="true" strokeweight=".47998pt" strokecolor="#d9d9d9">
                <v:path arrowok="t"/>
              </v:shape>
            </v:group>
            <v:group style="position:absolute;left:29;top:724;width:1932;height:2" coordorigin="29,724" coordsize="1932,2">
              <v:shape style="position:absolute;left:29;top:724;width:1932;height:2" coordorigin="29,724" coordsize="1932,0" path="m29,724l1961,724e" filled="false" stroked="true" strokeweight=".96002pt" strokecolor="#000000">
                <v:path arrowok="t"/>
              </v:shape>
            </v:group>
            <v:group style="position:absolute;left:1980;top:714;width:974;height:20" coordorigin="1980,714" coordsize="974,20">
              <v:shape style="position:absolute;left:1980;top:714;width:974;height:20" coordorigin="1980,714" coordsize="974,20" path="m1980,733l2953,733,2953,714,1980,714,1980,733xe" filled="true" fillcolor="#000000" stroked="false">
                <v:path arrowok="t"/>
                <v:fill type="solid"/>
              </v:shape>
            </v:group>
            <v:group style="position:absolute;left:2972;top:724;width:832;height:2" coordorigin="2972,724" coordsize="832,2">
              <v:shape style="position:absolute;left:2972;top:724;width:832;height:2" coordorigin="2972,724" coordsize="832,0" path="m2972,724l3804,724e" filled="false" stroked="true" strokeweight=".96002pt" strokecolor="#000000">
                <v:path arrowok="t"/>
              </v:shape>
            </v:group>
            <v:group style="position:absolute;left:3823;top:724;width:2249;height:2" coordorigin="3823,724" coordsize="2249,2">
              <v:shape style="position:absolute;left:3823;top:724;width:2249;height:2" coordorigin="3823,724" coordsize="2249,0" path="m3823,724l6072,724e" filled="false" stroked="true" strokeweight=".96002pt" strokecolor="#000000">
                <v:path arrowok="t"/>
              </v:shape>
            </v:group>
            <v:group style="position:absolute;left:6091;top:714;width:690;height:20" coordorigin="6091,714" coordsize="690,20">
              <v:shape style="position:absolute;left:6091;top:714;width:690;height:20" coordorigin="6091,714" coordsize="690,20" path="m6091,733l6781,733,6781,714,6091,714,6091,733xe" filled="true" fillcolor="#000000" stroked="false">
                <v:path arrowok="t"/>
                <v:fill type="solid"/>
              </v:shape>
            </v:group>
            <v:group style="position:absolute;left:6800;top:724;width:1682;height:2" coordorigin="6800,724" coordsize="1682,2">
              <v:shape style="position:absolute;left:6800;top:724;width:1682;height:2" coordorigin="6800,724" coordsize="1682,0" path="m6800,724l8482,724e" filled="false" stroked="true" strokeweight=".96002pt" strokecolor="#000000">
                <v:path arrowok="t"/>
              </v:shape>
            </v:group>
            <v:group style="position:absolute;left:8501;top:724;width:1007;height:2" coordorigin="8501,724" coordsize="1007,2">
              <v:shape style="position:absolute;left:8501;top:724;width:1007;height:2" coordorigin="8501,724" coordsize="1007,0" path="m8501,724l9508,724e" filled="false" stroked="true" strokeweight=".96002pt" strokecolor="#000000">
                <v:path arrowok="t"/>
              </v:shape>
            </v:group>
            <v:group style="position:absolute;left:29;top:2011;width:1932;height:2" coordorigin="29,2011" coordsize="1932,2">
              <v:shape style="position:absolute;left:29;top:2011;width:1932;height:2" coordorigin="29,2011" coordsize="1932,0" path="m29,2011l1961,2011e" filled="false" stroked="true" strokeweight=".96002pt" strokecolor="#000000">
                <v:path arrowok="t"/>
              </v:shape>
            </v:group>
            <v:group style="position:absolute;left:1980;top:2011;width:974;height:2" coordorigin="1980,2011" coordsize="974,2">
              <v:shape style="position:absolute;left:1980;top:2011;width:974;height:2" coordorigin="1980,2011" coordsize="974,0" path="m1980,2011l2953,2011e" filled="false" stroked="true" strokeweight=".96002pt" strokecolor="#000000">
                <v:path arrowok="t"/>
              </v:shape>
            </v:group>
            <v:group style="position:absolute;left:2972;top:2011;width:832;height:2" coordorigin="2972,2011" coordsize="832,2">
              <v:shape style="position:absolute;left:2972;top:2011;width:832;height:2" coordorigin="2972,2011" coordsize="832,0" path="m2972,2011l3804,2011e" filled="false" stroked="true" strokeweight=".96002pt" strokecolor="#000000">
                <v:path arrowok="t"/>
              </v:shape>
            </v:group>
            <v:group style="position:absolute;left:3823;top:2011;width:2249;height:2" coordorigin="3823,2011" coordsize="2249,2">
              <v:shape style="position:absolute;left:3823;top:2011;width:2249;height:2" coordorigin="3823,2011" coordsize="2249,0" path="m3823,2011l6072,2011e" filled="false" stroked="true" strokeweight=".96002pt" strokecolor="#000000">
                <v:path arrowok="t"/>
              </v:shape>
            </v:group>
            <v:group style="position:absolute;left:6091;top:2011;width:690;height:2" coordorigin="6091,2011" coordsize="690,2">
              <v:shape style="position:absolute;left:6091;top:2011;width:690;height:2" coordorigin="6091,2011" coordsize="690,0" path="m6091,2011l6781,2011e" filled="false" stroked="true" strokeweight=".96002pt" strokecolor="#000000">
                <v:path arrowok="t"/>
              </v:shape>
            </v:group>
            <v:group style="position:absolute;left:6800;top:2011;width:1682;height:2" coordorigin="6800,2011" coordsize="1682,2">
              <v:shape style="position:absolute;left:6800;top:2011;width:1682;height:2" coordorigin="6800,2011" coordsize="1682,0" path="m6800,2011l8482,2011e" filled="false" stroked="true" strokeweight=".96002pt" strokecolor="#000000">
                <v:path arrowok="t"/>
              </v:shape>
            </v:group>
            <v:group style="position:absolute;left:8501;top:2011;width:1007;height:2" coordorigin="8501,2011" coordsize="1007,2">
              <v:shape style="position:absolute;left:8501;top:2011;width:1007;height:2" coordorigin="8501,2011" coordsize="1007,0" path="m8501,2011l9508,2011e" filled="false" stroked="true" strokeweight=".96002pt" strokecolor="#000000">
                <v:path arrowok="t"/>
              </v:shape>
            </v:group>
            <v:group style="position:absolute;left:29;top:2675;width:1932;height:2" coordorigin="29,2675" coordsize="1932,2">
              <v:shape style="position:absolute;left:29;top:2675;width:1932;height:2" coordorigin="29,2675" coordsize="1932,0" path="m29,2675l1961,2675e" filled="false" stroked="true" strokeweight=".95999pt" strokecolor="#000000">
                <v:path arrowok="t"/>
              </v:shape>
            </v:group>
            <v:group style="position:absolute;left:1980;top:2675;width:974;height:2" coordorigin="1980,2675" coordsize="974,2">
              <v:shape style="position:absolute;left:1980;top:2675;width:974;height:2" coordorigin="1980,2675" coordsize="974,0" path="m1980,2675l2953,2675e" filled="false" stroked="true" strokeweight=".95999pt" strokecolor="#000000">
                <v:path arrowok="t"/>
              </v:shape>
            </v:group>
            <v:group style="position:absolute;left:2972;top:2675;width:832;height:2" coordorigin="2972,2675" coordsize="832,2">
              <v:shape style="position:absolute;left:2972;top:2675;width:832;height:2" coordorigin="2972,2675" coordsize="832,0" path="m2972,2675l3804,2675e" filled="false" stroked="true" strokeweight=".95999pt" strokecolor="#000000">
                <v:path arrowok="t"/>
              </v:shape>
            </v:group>
            <v:group style="position:absolute;left:3823;top:2675;width:2249;height:2" coordorigin="3823,2675" coordsize="2249,2">
              <v:shape style="position:absolute;left:3823;top:2675;width:2249;height:2" coordorigin="3823,2675" coordsize="2249,0" path="m3823,2675l6072,2675e" filled="false" stroked="true" strokeweight=".95999pt" strokecolor="#000000">
                <v:path arrowok="t"/>
              </v:shape>
            </v:group>
            <v:group style="position:absolute;left:6091;top:2675;width:690;height:2" coordorigin="6091,2675" coordsize="690,2">
              <v:shape style="position:absolute;left:6091;top:2675;width:690;height:2" coordorigin="6091,2675" coordsize="690,0" path="m6091,2675l6781,2675e" filled="false" stroked="true" strokeweight=".95999pt" strokecolor="#000000">
                <v:path arrowok="t"/>
              </v:shape>
            </v:group>
            <v:group style="position:absolute;left:6800;top:2675;width:1682;height:2" coordorigin="6800,2675" coordsize="1682,2">
              <v:shape style="position:absolute;left:6800;top:2675;width:1682;height:2" coordorigin="6800,2675" coordsize="1682,0" path="m6800,2675l8482,2675e" filled="false" stroked="true" strokeweight=".95999pt" strokecolor="#000000">
                <v:path arrowok="t"/>
              </v:shape>
            </v:group>
            <v:group style="position:absolute;left:8501;top:2675;width:1007;height:2" coordorigin="8501,2675" coordsize="1007,2">
              <v:shape style="position:absolute;left:8501;top:2675;width:1007;height:2" coordorigin="8501,2675" coordsize="1007,0" path="m8501,2675l9508,2675e" filled="false" stroked="true" strokeweight=".95999pt" strokecolor="#000000">
                <v:path arrowok="t"/>
              </v:shape>
            </v:group>
            <v:group style="position:absolute;left:29;top:3340;width:1932;height:2" coordorigin="29,3340" coordsize="1932,2">
              <v:shape style="position:absolute;left:29;top:3340;width:1932;height:2" coordorigin="29,3340" coordsize="1932,0" path="m29,3340l1961,3340e" filled="false" stroked="true" strokeweight=".95999pt" strokecolor="#000000">
                <v:path arrowok="t"/>
              </v:shape>
            </v:group>
            <v:group style="position:absolute;left:1980;top:3340;width:974;height:2" coordorigin="1980,3340" coordsize="974,2">
              <v:shape style="position:absolute;left:1980;top:3340;width:974;height:2" coordorigin="1980,3340" coordsize="974,0" path="m1980,3340l2953,3340e" filled="false" stroked="true" strokeweight=".95999pt" strokecolor="#000000">
                <v:path arrowok="t"/>
              </v:shape>
            </v:group>
            <v:group style="position:absolute;left:2972;top:3340;width:832;height:2" coordorigin="2972,3340" coordsize="832,2">
              <v:shape style="position:absolute;left:2972;top:3340;width:832;height:2" coordorigin="2972,3340" coordsize="832,0" path="m2972,3340l3804,3340e" filled="false" stroked="true" strokeweight=".95999pt" strokecolor="#000000">
                <v:path arrowok="t"/>
              </v:shape>
            </v:group>
            <v:group style="position:absolute;left:3823;top:3340;width:2249;height:2" coordorigin="3823,3340" coordsize="2249,2">
              <v:shape style="position:absolute;left:3823;top:3340;width:2249;height:2" coordorigin="3823,3340" coordsize="2249,0" path="m3823,3340l6072,3340e" filled="false" stroked="true" strokeweight=".95999pt" strokecolor="#000000">
                <v:path arrowok="t"/>
              </v:shape>
            </v:group>
            <v:group style="position:absolute;left:6091;top:3340;width:690;height:2" coordorigin="6091,3340" coordsize="690,2">
              <v:shape style="position:absolute;left:6091;top:3340;width:690;height:2" coordorigin="6091,3340" coordsize="690,0" path="m6091,3340l6781,3340e" filled="false" stroked="true" strokeweight=".95999pt" strokecolor="#000000">
                <v:path arrowok="t"/>
              </v:shape>
            </v:group>
            <v:group style="position:absolute;left:6800;top:3340;width:1682;height:2" coordorigin="6800,3340" coordsize="1682,2">
              <v:shape style="position:absolute;left:6800;top:3340;width:1682;height:2" coordorigin="6800,3340" coordsize="1682,0" path="m6800,3340l8482,3340e" filled="false" stroked="true" strokeweight=".95999pt" strokecolor="#000000">
                <v:path arrowok="t"/>
              </v:shape>
            </v:group>
            <v:group style="position:absolute;left:8501;top:3340;width:1007;height:2" coordorigin="8501,3340" coordsize="1007,2">
              <v:shape style="position:absolute;left:8501;top:3340;width:1007;height:2" coordorigin="8501,3340" coordsize="1007,0" path="m8501,3340l9508,3340e" filled="false" stroked="true" strokeweight=".95999pt" strokecolor="#000000">
                <v:path arrowok="t"/>
              </v:shape>
            </v:group>
            <v:group style="position:absolute;left:19;top:10;width:2;height:4317" coordorigin="19,10" coordsize="2,4317">
              <v:shape style="position:absolute;left:19;top:10;width:2;height:4317" coordorigin="19,10" coordsize="0,4317" path="m19,10l19,4326e" filled="false" stroked="true" strokeweight=".95999pt" strokecolor="#000000">
                <v:path arrowok="t"/>
              </v:shape>
            </v:group>
            <v:group style="position:absolute;left:10;top:4316;width:1952;height:2" coordorigin="10,4316" coordsize="1952,2">
              <v:shape style="position:absolute;left:10;top:4316;width:1952;height:2" coordorigin="10,4316" coordsize="1952,0" path="m10,4316l1961,4316e" filled="false" stroked="true" strokeweight=".96001pt" strokecolor="#000000">
                <v:path arrowok="t"/>
              </v:shape>
            </v:group>
            <v:group style="position:absolute;left:1970;top:10;width:2;height:4317" coordorigin="1970,10" coordsize="2,4317">
              <v:shape style="position:absolute;left:1970;top:10;width:2;height:4317" coordorigin="1970,10" coordsize="0,4317" path="m1970,10l1970,4326e" filled="false" stroked="true" strokeweight=".96001pt" strokecolor="#000000">
                <v:path arrowok="t"/>
              </v:shape>
            </v:group>
            <v:group style="position:absolute;left:1980;top:4316;width:974;height:2" coordorigin="1980,4316" coordsize="974,2">
              <v:shape style="position:absolute;left:1980;top:4316;width:974;height:2" coordorigin="1980,4316" coordsize="974,0" path="m1980,4316l2953,4316e" filled="false" stroked="true" strokeweight=".96001pt" strokecolor="#000000">
                <v:path arrowok="t"/>
              </v:shape>
            </v:group>
            <v:group style="position:absolute;left:2963;top:10;width:2;height:4317" coordorigin="2963,10" coordsize="2,4317">
              <v:shape style="position:absolute;left:2963;top:10;width:2;height:4317" coordorigin="2963,10" coordsize="0,4317" path="m2963,10l2963,4326e" filled="false" stroked="true" strokeweight=".95999pt" strokecolor="#000000">
                <v:path arrowok="t"/>
              </v:shape>
            </v:group>
            <v:group style="position:absolute;left:2972;top:4316;width:832;height:2" coordorigin="2972,4316" coordsize="832,2">
              <v:shape style="position:absolute;left:2972;top:4316;width:832;height:2" coordorigin="2972,4316" coordsize="832,0" path="m2972,4316l3804,4316e" filled="false" stroked="true" strokeweight=".96001pt" strokecolor="#000000">
                <v:path arrowok="t"/>
              </v:shape>
            </v:group>
            <v:group style="position:absolute;left:3814;top:10;width:2;height:4317" coordorigin="3814,10" coordsize="2,4317">
              <v:shape style="position:absolute;left:3814;top:10;width:2;height:4317" coordorigin="3814,10" coordsize="0,4317" path="m3814,10l3814,4326e" filled="false" stroked="true" strokeweight=".96001pt" strokecolor="#000000">
                <v:path arrowok="t"/>
              </v:shape>
            </v:group>
            <v:group style="position:absolute;left:3823;top:4316;width:2249;height:2" coordorigin="3823,4316" coordsize="2249,2">
              <v:shape style="position:absolute;left:3823;top:4316;width:2249;height:2" coordorigin="3823,4316" coordsize="2249,0" path="m3823,4316l6072,4316e" filled="false" stroked="true" strokeweight=".96001pt" strokecolor="#000000">
                <v:path arrowok="t"/>
              </v:shape>
            </v:group>
            <v:group style="position:absolute;left:6082;top:10;width:2;height:4317" coordorigin="6082,10" coordsize="2,4317">
              <v:shape style="position:absolute;left:6082;top:10;width:2;height:4317" coordorigin="6082,10" coordsize="0,4317" path="m6082,10l6082,4326e" filled="false" stroked="true" strokeweight=".96002pt" strokecolor="#000000">
                <v:path arrowok="t"/>
              </v:shape>
            </v:group>
            <v:group style="position:absolute;left:6091;top:4316;width:690;height:2" coordorigin="6091,4316" coordsize="690,2">
              <v:shape style="position:absolute;left:6091;top:4316;width:690;height:2" coordorigin="6091,4316" coordsize="690,0" path="m6091,4316l6781,4316e" filled="false" stroked="true" strokeweight=".96001pt" strokecolor="#000000">
                <v:path arrowok="t"/>
              </v:shape>
            </v:group>
            <v:group style="position:absolute;left:6791;top:10;width:2;height:4317" coordorigin="6791,10" coordsize="2,4317">
              <v:shape style="position:absolute;left:6791;top:10;width:2;height:4317" coordorigin="6791,10" coordsize="0,4317" path="m6791,10l6791,4326e" filled="false" stroked="true" strokeweight=".95999pt" strokecolor="#000000">
                <v:path arrowok="t"/>
              </v:shape>
            </v:group>
            <v:group style="position:absolute;left:6800;top:4316;width:1682;height:2" coordorigin="6800,4316" coordsize="1682,2">
              <v:shape style="position:absolute;left:6800;top:4316;width:1682;height:2" coordorigin="6800,4316" coordsize="1682,0" path="m6800,4316l8482,4316e" filled="false" stroked="true" strokeweight=".96001pt" strokecolor="#000000">
                <v:path arrowok="t"/>
              </v:shape>
            </v:group>
            <v:group style="position:absolute;left:8491;top:10;width:2;height:4317" coordorigin="8491,10" coordsize="2,4317">
              <v:shape style="position:absolute;left:8491;top:10;width:2;height:4317" coordorigin="8491,10" coordsize="0,4317" path="m8491,10l8491,4326e" filled="false" stroked="true" strokeweight=".95999pt" strokecolor="#000000">
                <v:path arrowok="t"/>
              </v:shape>
            </v:group>
            <v:group style="position:absolute;left:8501;top:4316;width:1007;height:2" coordorigin="8501,4316" coordsize="1007,2">
              <v:shape style="position:absolute;left:8501;top:4316;width:1007;height:2" coordorigin="8501,4316" coordsize="1007,0" path="m8501,4316l9508,4316e" filled="false" stroked="true" strokeweight=".96001pt" strokecolor="#000000">
                <v:path arrowok="t"/>
              </v:shape>
            </v:group>
            <v:group style="position:absolute;left:9517;top:10;width:2;height:4317" coordorigin="9517,10" coordsize="2,4317">
              <v:shape style="position:absolute;left:9517;top:10;width:2;height:4317" coordorigin="9517,10" coordsize="0,4317" path="m9517,10l9517,4326e" filled="false" stroked="true" strokeweight=".96002pt" strokecolor="#000000">
                <v:path arrowok="t"/>
              </v:shape>
              <v:shape style="position:absolute;left:19;top:19;width:1952;height:704" type="#_x0000_t202" filled="false" stroked="false">
                <v:textbox inset="0,0,0,0">
                  <w:txbxContent>
                    <w:p>
                      <w:pPr>
                        <w:spacing w:line="240" w:lineRule="auto" w:before="11"/>
                        <w:rPr>
                          <w:rFonts w:ascii="宋体" w:hAnsi="宋体" w:cs="宋体" w:eastAsia="宋体" w:hint="default"/>
                          <w:sz w:val="15"/>
                          <w:szCs w:val="15"/>
                        </w:rPr>
                      </w:pPr>
                    </w:p>
                    <w:p>
                      <w:pPr>
                        <w:spacing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子公司名称</w:t>
                      </w:r>
                    </w:p>
                  </w:txbxContent>
                </v:textbox>
                <w10:wrap type="none"/>
              </v:shape>
              <v:shape style="position:absolute;left:1970;top:19;width:993;height:704" type="#_x0000_t202" filled="false" stroked="false">
                <v:textbox inset="0,0,0,0">
                  <w:txbxContent>
                    <w:p>
                      <w:pPr>
                        <w:spacing w:line="316" w:lineRule="auto" w:before="51"/>
                        <w:ind w:left="315" w:right="224" w:hanging="90"/>
                        <w:jc w:val="left"/>
                        <w:rPr>
                          <w:rFonts w:ascii="宋体" w:hAnsi="宋体" w:cs="宋体" w:eastAsia="宋体" w:hint="default"/>
                          <w:sz w:val="18"/>
                          <w:szCs w:val="18"/>
                        </w:rPr>
                      </w:pPr>
                      <w:r>
                        <w:rPr>
                          <w:rFonts w:ascii="宋体" w:hAnsi="宋体" w:cs="宋体" w:eastAsia="宋体" w:hint="default"/>
                          <w:sz w:val="18"/>
                          <w:szCs w:val="18"/>
                        </w:rPr>
                        <w:t>子公司 类型</w:t>
                      </w:r>
                    </w:p>
                  </w:txbxContent>
                </v:textbox>
                <w10:wrap type="none"/>
              </v:shape>
              <v:shape style="position:absolute;left:2963;top:19;width:851;height:704" type="#_x0000_t202" filled="false" stroked="false">
                <v:textbox inset="0,0,0,0">
                  <w:txbxContent>
                    <w:p>
                      <w:pPr>
                        <w:spacing w:line="240" w:lineRule="auto" w:before="11"/>
                        <w:rPr>
                          <w:rFonts w:ascii="宋体" w:hAnsi="宋体" w:cs="宋体" w:eastAsia="宋体" w:hint="default"/>
                          <w:sz w:val="15"/>
                          <w:szCs w:val="15"/>
                        </w:rPr>
                      </w:pPr>
                    </w:p>
                    <w:p>
                      <w:pPr>
                        <w:spacing w:before="0"/>
                        <w:ind w:left="64" w:right="0" w:firstLine="0"/>
                        <w:jc w:val="left"/>
                        <w:rPr>
                          <w:rFonts w:ascii="宋体" w:hAnsi="宋体" w:cs="宋体" w:eastAsia="宋体" w:hint="default"/>
                          <w:sz w:val="18"/>
                          <w:szCs w:val="18"/>
                        </w:rPr>
                      </w:pPr>
                      <w:r>
                        <w:rPr>
                          <w:rFonts w:ascii="宋体" w:hAnsi="宋体" w:cs="宋体" w:eastAsia="宋体" w:hint="default"/>
                          <w:sz w:val="18"/>
                          <w:szCs w:val="18"/>
                        </w:rPr>
                        <w:t>企业类型</w:t>
                      </w:r>
                    </w:p>
                  </w:txbxContent>
                </v:textbox>
                <w10:wrap type="none"/>
              </v:shape>
              <v:shape style="position:absolute;left:3814;top:19;width:2268;height:704"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注册地</w:t>
                      </w:r>
                    </w:p>
                  </w:txbxContent>
                </v:textbox>
                <w10:wrap type="none"/>
              </v:shape>
              <v:shape style="position:absolute;left:6082;top:19;width:710;height:704" type="#_x0000_t202" filled="false" stroked="false">
                <v:textbox inset="0,0,0,0">
                  <w:txbxContent>
                    <w:p>
                      <w:pPr>
                        <w:spacing w:line="316"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法人代 表</w:t>
                      </w:r>
                    </w:p>
                  </w:txbxContent>
                </v:textbox>
                <w10:wrap type="none"/>
              </v:shape>
              <v:shape style="position:absolute;left:6791;top:19;width:1701;height:704" type="#_x0000_t202" filled="false" stroked="false">
                <v:textbox inset="0,0,0,0">
                  <w:txbxContent>
                    <w:p>
                      <w:pPr>
                        <w:spacing w:line="240" w:lineRule="auto" w:before="11"/>
                        <w:rPr>
                          <w:rFonts w:ascii="宋体" w:hAnsi="宋体" w:cs="宋体" w:eastAsia="宋体" w:hint="default"/>
                          <w:sz w:val="15"/>
                          <w:szCs w:val="15"/>
                        </w:rPr>
                      </w:pPr>
                    </w:p>
                    <w:p>
                      <w:pPr>
                        <w:spacing w:before="0"/>
                        <w:ind w:left="489"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8491;top:19;width:1026;height:704" type="#_x0000_t202" filled="false" stroked="false">
                <v:textbox inset="0,0,0,0">
                  <w:txbxContent>
                    <w:p>
                      <w:pPr>
                        <w:spacing w:line="240" w:lineRule="auto" w:before="11"/>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19;top:723;width:1952;height:1289" type="#_x0000_t202" filled="false" stroked="false">
                <v:textbox inset="0,0,0,0">
                  <w:txbxContent>
                    <w:p>
                      <w:pPr>
                        <w:spacing w:line="240" w:lineRule="auto" w:before="3"/>
                        <w:rPr>
                          <w:rFonts w:ascii="宋体" w:hAnsi="宋体" w:cs="宋体" w:eastAsia="宋体" w:hint="default"/>
                          <w:sz w:val="26"/>
                          <w:szCs w:val="26"/>
                        </w:rPr>
                      </w:pPr>
                    </w:p>
                    <w:p>
                      <w:pPr>
                        <w:spacing w:line="316" w:lineRule="auto" w:before="0"/>
                        <w:ind w:left="9" w:right="-4" w:firstLine="0"/>
                        <w:jc w:val="left"/>
                        <w:rPr>
                          <w:rFonts w:ascii="宋体" w:hAnsi="宋体" w:cs="宋体" w:eastAsia="宋体" w:hint="default"/>
                          <w:sz w:val="18"/>
                          <w:szCs w:val="18"/>
                        </w:rPr>
                      </w:pPr>
                      <w:r>
                        <w:rPr>
                          <w:rFonts w:ascii="宋体" w:hAnsi="宋体" w:cs="宋体" w:eastAsia="宋体" w:hint="default"/>
                          <w:spacing w:val="14"/>
                          <w:sz w:val="18"/>
                          <w:szCs w:val="18"/>
                        </w:rPr>
                        <w:t>福建榕易付网络科技有 </w:t>
                      </w:r>
                      <w:r>
                        <w:rPr>
                          <w:rFonts w:ascii="宋体" w:hAnsi="宋体" w:cs="宋体" w:eastAsia="宋体" w:hint="default"/>
                          <w:sz w:val="18"/>
                          <w:szCs w:val="18"/>
                        </w:rPr>
                        <w:t>限公司</w:t>
                      </w:r>
                    </w:p>
                  </w:txbxContent>
                </v:textbox>
                <w10:wrap type="none"/>
              </v:shape>
              <v:shape style="position:absolute;left:1970;top:723;width:993;height:128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全资子公司</w:t>
                      </w:r>
                    </w:p>
                  </w:txbxContent>
                </v:textbox>
                <w10:wrap type="none"/>
              </v:shape>
              <v:shape style="position:absolute;left:2963;top:723;width:851;height:1289" type="#_x0000_t202" filled="false" stroked="false">
                <v:textbox inset="0,0,0,0">
                  <w:txbxContent>
                    <w:p>
                      <w:pPr>
                        <w:spacing w:line="240" w:lineRule="auto" w:before="3"/>
                        <w:rPr>
                          <w:rFonts w:ascii="宋体" w:hAnsi="宋体" w:cs="宋体" w:eastAsia="宋体" w:hint="default"/>
                          <w:sz w:val="26"/>
                          <w:szCs w:val="26"/>
                        </w:rPr>
                      </w:pPr>
                    </w:p>
                    <w:p>
                      <w:pPr>
                        <w:spacing w:line="316" w:lineRule="auto" w:before="0"/>
                        <w:ind w:left="9" w:right="-28" w:firstLine="0"/>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xbxContent>
                </v:textbox>
                <w10:wrap type="none"/>
              </v:shape>
              <v:shape style="position:absolute;left:3814;top:723;width:2268;height:1289" type="#_x0000_t202" filled="false" stroked="false">
                <v:textbox inset="0,0,0,0">
                  <w:txbxContent>
                    <w:p>
                      <w:pPr>
                        <w:spacing w:line="316" w:lineRule="auto" w:before="31"/>
                        <w:ind w:left="9" w:right="1" w:firstLine="0"/>
                        <w:jc w:val="left"/>
                        <w:rPr>
                          <w:rFonts w:ascii="宋体" w:hAnsi="宋体" w:cs="宋体" w:eastAsia="宋体" w:hint="default"/>
                          <w:sz w:val="18"/>
                          <w:szCs w:val="18"/>
                        </w:rPr>
                      </w:pPr>
                      <w:r>
                        <w:rPr>
                          <w:rFonts w:ascii="宋体" w:hAnsi="宋体" w:cs="宋体" w:eastAsia="宋体" w:hint="default"/>
                          <w:spacing w:val="7"/>
                          <w:sz w:val="18"/>
                          <w:szCs w:val="18"/>
                        </w:rPr>
                        <w:t>福州高新区海西高新技术产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业园创业大厦</w:t>
                      </w:r>
                      <w:r>
                        <w:rPr>
                          <w:rFonts w:ascii="Times New Roman" w:hAnsi="Times New Roman" w:cs="Times New Roman" w:eastAsia="Times New Roman" w:hint="default"/>
                          <w:spacing w:val="10"/>
                          <w:sz w:val="18"/>
                          <w:szCs w:val="18"/>
                        </w:rPr>
                        <w:t>B</w:t>
                      </w:r>
                      <w:r>
                        <w:rPr>
                          <w:rFonts w:ascii="宋体" w:hAnsi="宋体" w:cs="宋体" w:eastAsia="宋体" w:hint="default"/>
                          <w:spacing w:val="10"/>
                          <w:sz w:val="18"/>
                          <w:szCs w:val="18"/>
                        </w:rPr>
                        <w:t>区</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层</w:t>
                      </w:r>
                      <w:r>
                        <w:rPr>
                          <w:rFonts w:ascii="Times New Roman" w:hAnsi="Times New Roman" w:cs="Times New Roman" w:eastAsia="Times New Roman" w:hint="default"/>
                          <w:spacing w:val="10"/>
                          <w:sz w:val="18"/>
                          <w:szCs w:val="18"/>
                        </w:rPr>
                        <w:t>308</w:t>
                      </w:r>
                      <w:r>
                        <w:rPr>
                          <w:rFonts w:ascii="宋体" w:hAnsi="宋体" w:cs="宋体" w:eastAsia="宋体" w:hint="default"/>
                          <w:spacing w:val="10"/>
                          <w:sz w:val="18"/>
                          <w:szCs w:val="18"/>
                        </w:rPr>
                        <w:t>室</w:t>
                      </w:r>
                    </w:p>
                    <w:p>
                      <w:pPr>
                        <w:spacing w:line="300" w:lineRule="auto" w:before="0"/>
                        <w:ind w:left="9" w:right="10" w:firstLine="0"/>
                        <w:jc w:val="left"/>
                        <w:rPr>
                          <w:rFonts w:ascii="宋体" w:hAnsi="宋体" w:cs="宋体" w:eastAsia="宋体" w:hint="default"/>
                          <w:sz w:val="18"/>
                          <w:szCs w:val="18"/>
                        </w:rPr>
                      </w:pPr>
                      <w:r>
                        <w:rPr>
                          <w:rFonts w:ascii="宋体" w:hAnsi="宋体" w:cs="宋体" w:eastAsia="宋体" w:hint="default"/>
                          <w:spacing w:val="14"/>
                          <w:sz w:val="18"/>
                          <w:szCs w:val="18"/>
                        </w:rPr>
                        <w:t>（位于：闽侯县科技东路</w:t>
                      </w:r>
                      <w:r>
                        <w:rPr>
                          <w:rFonts w:ascii="Times New Roman" w:hAnsi="Times New Roman" w:cs="Times New Roman" w:eastAsia="Times New Roman" w:hint="default"/>
                          <w:spacing w:val="14"/>
                          <w:sz w:val="18"/>
                          <w:szCs w:val="18"/>
                        </w:rPr>
                        <w:t>8</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xbxContent>
                </v:textbox>
                <w10:wrap type="none"/>
              </v:shape>
              <v:shape style="position:absolute;left:6082;top:723;width:710;height:128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尚大斌</w:t>
                      </w:r>
                    </w:p>
                  </w:txbxContent>
                </v:textbox>
                <w10:wrap type="none"/>
              </v:shape>
              <v:shape style="position:absolute;left:6791;top:723;width:1701;height:1289" type="#_x0000_t202" filled="false" stroked="false">
                <v:textbox inset="0,0,0,0">
                  <w:txbxContent>
                    <w:p>
                      <w:pPr>
                        <w:spacing w:line="240" w:lineRule="auto" w:before="3"/>
                        <w:rPr>
                          <w:rFonts w:ascii="宋体" w:hAnsi="宋体" w:cs="宋体" w:eastAsia="宋体" w:hint="default"/>
                          <w:sz w:val="26"/>
                          <w:szCs w:val="26"/>
                        </w:rPr>
                      </w:pPr>
                    </w:p>
                    <w:p>
                      <w:pPr>
                        <w:spacing w:line="316" w:lineRule="auto" w:before="0"/>
                        <w:ind w:left="9" w:right="97" w:firstLine="0"/>
                        <w:jc w:val="left"/>
                        <w:rPr>
                          <w:rFonts w:ascii="宋体" w:hAnsi="宋体" w:cs="宋体" w:eastAsia="宋体" w:hint="default"/>
                          <w:sz w:val="18"/>
                          <w:szCs w:val="18"/>
                        </w:rPr>
                      </w:pPr>
                      <w:r>
                        <w:rPr>
                          <w:rFonts w:ascii="宋体" w:hAnsi="宋体" w:cs="宋体" w:eastAsia="宋体" w:hint="default"/>
                          <w:spacing w:val="-4"/>
                          <w:sz w:val="18"/>
                          <w:szCs w:val="18"/>
                        </w:rPr>
                        <w:t>技术服务，软件开发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硬件销售</w:t>
                      </w:r>
                    </w:p>
                  </w:txbxContent>
                </v:textbox>
                <w10:wrap type="none"/>
              </v:shape>
              <v:shape style="position:absolute;left:8491;top:723;width:1026;height:1289" type="#_x0000_t202" filled="false" stroked="false">
                <v:textbox inset="0,0,0,0">
                  <w:txbxContent>
                    <w:p>
                      <w:pPr>
                        <w:spacing w:line="240" w:lineRule="auto" w:before="3"/>
                        <w:rPr>
                          <w:rFonts w:ascii="宋体" w:hAnsi="宋体" w:cs="宋体" w:eastAsia="宋体" w:hint="default"/>
                          <w:sz w:val="26"/>
                          <w:szCs w:val="26"/>
                        </w:rPr>
                      </w:pPr>
                    </w:p>
                    <w:p>
                      <w:pPr>
                        <w:spacing w:line="196" w:lineRule="exact" w:before="0"/>
                        <w:ind w:left="-10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09" w:lineRule="exact" w:before="0"/>
                        <w:ind w:left="9" w:right="0" w:firstLine="0"/>
                        <w:jc w:val="left"/>
                        <w:rPr>
                          <w:rFonts w:ascii="宋体" w:hAnsi="宋体" w:cs="宋体" w:eastAsia="宋体" w:hint="default"/>
                          <w:sz w:val="18"/>
                          <w:szCs w:val="18"/>
                        </w:rPr>
                      </w:pPr>
                      <w:r>
                        <w:rPr>
                          <w:rFonts w:ascii="Arial" w:hAnsi="Arial" w:cs="Arial" w:eastAsia="Arial" w:hint="default"/>
                          <w:sz w:val="18"/>
                          <w:szCs w:val="18"/>
                        </w:rPr>
                        <w:t>10,500</w:t>
                      </w:r>
                      <w:r>
                        <w:rPr>
                          <w:rFonts w:ascii="宋体" w:hAnsi="宋体" w:cs="宋体" w:eastAsia="宋体" w:hint="default"/>
                          <w:sz w:val="18"/>
                          <w:szCs w:val="18"/>
                        </w:rPr>
                        <w:t>万元</w:t>
                      </w:r>
                    </w:p>
                  </w:txbxContent>
                </v:textbox>
                <w10:wrap type="none"/>
              </v:shape>
              <v:shape style="position:absolute;left:19;top:2011;width:1952;height:664" type="#_x0000_t202" filled="false" stroked="false">
                <v:textbox inset="0,0,0,0">
                  <w:txbxContent>
                    <w:p>
                      <w:pPr>
                        <w:spacing w:line="316" w:lineRule="auto" w:before="31"/>
                        <w:ind w:left="9" w:right="-4" w:firstLine="0"/>
                        <w:jc w:val="left"/>
                        <w:rPr>
                          <w:rFonts w:ascii="宋体" w:hAnsi="宋体" w:cs="宋体" w:eastAsia="宋体" w:hint="default"/>
                          <w:sz w:val="18"/>
                          <w:szCs w:val="18"/>
                        </w:rPr>
                      </w:pPr>
                      <w:r>
                        <w:rPr>
                          <w:rFonts w:ascii="宋体" w:hAnsi="宋体" w:cs="宋体" w:eastAsia="宋体" w:hint="default"/>
                          <w:spacing w:val="14"/>
                          <w:sz w:val="18"/>
                          <w:szCs w:val="18"/>
                        </w:rPr>
                        <w:t>浙江检榕网络科技有限 </w:t>
                      </w:r>
                      <w:r>
                        <w:rPr>
                          <w:rFonts w:ascii="宋体" w:hAnsi="宋体" w:cs="宋体" w:eastAsia="宋体" w:hint="default"/>
                          <w:sz w:val="18"/>
                          <w:szCs w:val="18"/>
                        </w:rPr>
                        <w:t>公司</w:t>
                      </w:r>
                    </w:p>
                  </w:txbxContent>
                </v:textbox>
                <w10:wrap type="none"/>
              </v:shape>
              <v:shape style="position:absolute;left:1970;top:2011;width:993;height:664" type="#_x0000_t202" filled="false" stroked="false">
                <v:textbox inset="0,0,0,0">
                  <w:txbxContent>
                    <w:p>
                      <w:pPr>
                        <w:spacing w:line="240" w:lineRule="auto" w:before="4"/>
                        <w:rPr>
                          <w:rFonts w:ascii="宋体" w:hAnsi="宋体" w:cs="宋体" w:eastAsia="宋体" w:hint="default"/>
                          <w:sz w:val="14"/>
                          <w:szCs w:val="14"/>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孙公司</w:t>
                      </w:r>
                    </w:p>
                  </w:txbxContent>
                </v:textbox>
                <w10:wrap type="none"/>
              </v:shape>
              <v:shape style="position:absolute;left:2963;top:2011;width:851;height:664" type="#_x0000_t202" filled="false" stroked="false">
                <v:textbox inset="0,0,0,0">
                  <w:txbxContent>
                    <w:p>
                      <w:pPr>
                        <w:spacing w:line="316" w:lineRule="auto" w:before="31"/>
                        <w:ind w:left="9" w:right="-28" w:firstLine="0"/>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xbxContent>
                </v:textbox>
                <w10:wrap type="none"/>
              </v:shape>
              <v:shape style="position:absolute;left:3814;top:2011;width:2268;height:664" type="#_x0000_t202" filled="false" stroked="false">
                <v:textbox inset="0,0,0,0">
                  <w:txbxContent>
                    <w:p>
                      <w:pPr>
                        <w:spacing w:line="300" w:lineRule="auto" w:before="31"/>
                        <w:ind w:left="9" w:right="10" w:firstLine="0"/>
                        <w:jc w:val="left"/>
                        <w:rPr>
                          <w:rFonts w:ascii="宋体" w:hAnsi="宋体" w:cs="宋体" w:eastAsia="宋体" w:hint="default"/>
                          <w:sz w:val="18"/>
                          <w:szCs w:val="18"/>
                        </w:rPr>
                      </w:pPr>
                      <w:r>
                        <w:rPr>
                          <w:rFonts w:ascii="宋体" w:hAnsi="宋体" w:cs="宋体" w:eastAsia="宋体" w:hint="default"/>
                          <w:spacing w:val="13"/>
                          <w:sz w:val="18"/>
                          <w:szCs w:val="18"/>
                        </w:rPr>
                        <w:t>杭州市西湖区文三路</w:t>
                      </w:r>
                      <w:r>
                        <w:rPr>
                          <w:rFonts w:ascii="Times New Roman" w:hAnsi="Times New Roman" w:cs="Times New Roman" w:eastAsia="Times New Roman" w:hint="default"/>
                          <w:spacing w:val="13"/>
                          <w:sz w:val="18"/>
                          <w:szCs w:val="18"/>
                        </w:rPr>
                        <w:t>90</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5</w:t>
                      </w:r>
                      <w:r>
                        <w:rPr>
                          <w:rFonts w:ascii="Times New Roman" w:hAnsi="Times New Roman" w:cs="Times New Roman" w:eastAsia="Times New Roman" w:hint="default"/>
                          <w:sz w:val="18"/>
                          <w:szCs w:val="18"/>
                        </w:rPr>
                        <w:t> </w:t>
                      </w:r>
                      <w:r>
                        <w:rPr>
                          <w:rFonts w:ascii="宋体" w:hAnsi="宋体" w:cs="宋体" w:eastAsia="宋体" w:hint="default"/>
                          <w:sz w:val="18"/>
                          <w:szCs w:val="18"/>
                        </w:rPr>
                        <w:t>幢三层北</w:t>
                      </w:r>
                      <w:r>
                        <w:rPr>
                          <w:rFonts w:ascii="Times New Roman" w:hAnsi="Times New Roman" w:cs="Times New Roman" w:eastAsia="Times New Roman" w:hint="default"/>
                          <w:sz w:val="18"/>
                          <w:szCs w:val="18"/>
                        </w:rPr>
                        <w:t>307</w:t>
                      </w:r>
                      <w:r>
                        <w:rPr>
                          <w:rFonts w:ascii="宋体" w:hAnsi="宋体" w:cs="宋体" w:eastAsia="宋体" w:hint="default"/>
                          <w:sz w:val="18"/>
                          <w:szCs w:val="18"/>
                        </w:rPr>
                        <w:t>、</w:t>
                      </w:r>
                      <w:r>
                        <w:rPr>
                          <w:rFonts w:ascii="Times New Roman" w:hAnsi="Times New Roman" w:cs="Times New Roman" w:eastAsia="Times New Roman" w:hint="default"/>
                          <w:sz w:val="18"/>
                          <w:szCs w:val="18"/>
                        </w:rPr>
                        <w:t>309</w:t>
                      </w:r>
                      <w:r>
                        <w:rPr>
                          <w:rFonts w:ascii="宋体" w:hAnsi="宋体" w:cs="宋体" w:eastAsia="宋体" w:hint="default"/>
                          <w:sz w:val="18"/>
                          <w:szCs w:val="18"/>
                        </w:rPr>
                        <w:t>房间</w:t>
                      </w:r>
                    </w:p>
                  </w:txbxContent>
                </v:textbox>
                <w10:wrap type="none"/>
              </v:shape>
              <v:shape style="position:absolute;left:6082;top:2011;width:710;height:664" type="#_x0000_t202" filled="false" stroked="false">
                <v:textbox inset="0,0,0,0">
                  <w:txbxContent>
                    <w:p>
                      <w:pPr>
                        <w:spacing w:line="240" w:lineRule="auto" w:before="4"/>
                        <w:rPr>
                          <w:rFonts w:ascii="宋体" w:hAnsi="宋体" w:cs="宋体" w:eastAsia="宋体" w:hint="default"/>
                          <w:sz w:val="14"/>
                          <w:szCs w:val="14"/>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尚大斌</w:t>
                      </w:r>
                    </w:p>
                  </w:txbxContent>
                </v:textbox>
                <w10:wrap type="none"/>
              </v:shape>
              <v:shape style="position:absolute;left:6791;top:2011;width:1701;height:664" type="#_x0000_t202" filled="false" stroked="false">
                <v:textbox inset="0,0,0,0">
                  <w:txbxContent>
                    <w:p>
                      <w:pPr>
                        <w:spacing w:line="316" w:lineRule="auto" w:before="31"/>
                        <w:ind w:left="9" w:right="97" w:firstLine="0"/>
                        <w:jc w:val="left"/>
                        <w:rPr>
                          <w:rFonts w:ascii="宋体" w:hAnsi="宋体" w:cs="宋体" w:eastAsia="宋体" w:hint="default"/>
                          <w:sz w:val="18"/>
                          <w:szCs w:val="18"/>
                        </w:rPr>
                      </w:pPr>
                      <w:r>
                        <w:rPr>
                          <w:rFonts w:ascii="宋体" w:hAnsi="宋体" w:cs="宋体" w:eastAsia="宋体" w:hint="default"/>
                          <w:spacing w:val="-4"/>
                          <w:sz w:val="18"/>
                          <w:szCs w:val="18"/>
                        </w:rPr>
                        <w:t>技术服务，软件开发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硬件销售</w:t>
                      </w:r>
                    </w:p>
                  </w:txbxContent>
                </v:textbox>
                <w10:wrap type="none"/>
              </v:shape>
              <v:shape style="position:absolute;left:8491;top:2011;width:1026;height:664" type="#_x0000_t202" filled="false" stroked="false">
                <v:textbox inset="0,0,0,0">
                  <w:txbxContent>
                    <w:p>
                      <w:pPr>
                        <w:spacing w:line="196" w:lineRule="exact" w:before="31"/>
                        <w:ind w:left="-10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09" w:lineRule="exact" w:before="0"/>
                        <w:ind w:left="9" w:right="0" w:firstLine="0"/>
                        <w:jc w:val="left"/>
                        <w:rPr>
                          <w:rFonts w:ascii="宋体" w:hAnsi="宋体" w:cs="宋体" w:eastAsia="宋体" w:hint="default"/>
                          <w:sz w:val="18"/>
                          <w:szCs w:val="18"/>
                        </w:rPr>
                      </w:pPr>
                      <w:r>
                        <w:rPr>
                          <w:rFonts w:ascii="Arial" w:hAnsi="Arial" w:cs="Arial" w:eastAsia="Arial" w:hint="default"/>
                          <w:sz w:val="18"/>
                          <w:szCs w:val="18"/>
                        </w:rPr>
                        <w:t>1,000</w:t>
                      </w:r>
                      <w:r>
                        <w:rPr>
                          <w:rFonts w:ascii="宋体" w:hAnsi="宋体" w:cs="宋体" w:eastAsia="宋体" w:hint="default"/>
                          <w:sz w:val="18"/>
                          <w:szCs w:val="18"/>
                        </w:rPr>
                        <w:t>万元</w:t>
                      </w:r>
                    </w:p>
                  </w:txbxContent>
                </v:textbox>
                <w10:wrap type="none"/>
              </v:shape>
              <v:shape style="position:absolute;left:19;top:2675;width:1952;height:665" type="#_x0000_t202" filled="false" stroked="false">
                <v:textbox inset="0,0,0,0">
                  <w:txbxContent>
                    <w:p>
                      <w:pPr>
                        <w:spacing w:line="316" w:lineRule="auto" w:before="31"/>
                        <w:ind w:left="9" w:right="7" w:firstLine="0"/>
                        <w:jc w:val="left"/>
                        <w:rPr>
                          <w:rFonts w:ascii="宋体" w:hAnsi="宋体" w:cs="宋体" w:eastAsia="宋体" w:hint="default"/>
                          <w:sz w:val="18"/>
                          <w:szCs w:val="18"/>
                        </w:rPr>
                      </w:pPr>
                      <w:r>
                        <w:rPr>
                          <w:rFonts w:ascii="宋体" w:hAnsi="宋体" w:cs="宋体" w:eastAsia="宋体" w:hint="default"/>
                          <w:spacing w:val="-5"/>
                          <w:sz w:val="18"/>
                          <w:szCs w:val="18"/>
                        </w:rPr>
                        <w:t>榕基国计（北京）信息技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术有限公司</w:t>
                      </w:r>
                    </w:p>
                  </w:txbxContent>
                </v:textbox>
                <w10:wrap type="none"/>
              </v:shape>
              <v:shape style="position:absolute;left:1970;top:2675;width:993;height:665" type="#_x0000_t202" filled="false" stroked="false">
                <v:textbox inset="0,0,0,0">
                  <w:txbxContent>
                    <w:p>
                      <w:pPr>
                        <w:spacing w:line="240" w:lineRule="auto" w:before="4"/>
                        <w:rPr>
                          <w:rFonts w:ascii="宋体" w:hAnsi="宋体" w:cs="宋体" w:eastAsia="宋体" w:hint="default"/>
                          <w:sz w:val="14"/>
                          <w:szCs w:val="14"/>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孙公司</w:t>
                      </w:r>
                    </w:p>
                  </w:txbxContent>
                </v:textbox>
                <w10:wrap type="none"/>
              </v:shape>
              <v:shape style="position:absolute;left:2963;top:2675;width:851;height:665" type="#_x0000_t202" filled="false" stroked="false">
                <v:textbox inset="0,0,0,0">
                  <w:txbxContent>
                    <w:p>
                      <w:pPr>
                        <w:spacing w:line="316" w:lineRule="auto" w:before="31"/>
                        <w:ind w:left="9" w:right="-28" w:firstLine="0"/>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xbxContent>
                </v:textbox>
                <w10:wrap type="none"/>
              </v:shape>
              <v:shape style="position:absolute;left:3814;top:2675;width:2268;height:665" type="#_x0000_t202" filled="false" stroked="false">
                <v:textbox inset="0,0,0,0">
                  <w:txbxContent>
                    <w:p>
                      <w:pPr>
                        <w:spacing w:before="31"/>
                        <w:ind w:left="9" w:right="0" w:firstLine="0"/>
                        <w:jc w:val="left"/>
                        <w:rPr>
                          <w:rFonts w:ascii="宋体" w:hAnsi="宋体" w:cs="宋体" w:eastAsia="宋体" w:hint="default"/>
                          <w:sz w:val="18"/>
                          <w:szCs w:val="18"/>
                        </w:rPr>
                      </w:pPr>
                      <w:r>
                        <w:rPr>
                          <w:rFonts w:ascii="宋体" w:hAnsi="宋体" w:cs="宋体" w:eastAsia="宋体" w:hint="default"/>
                          <w:spacing w:val="6"/>
                          <w:sz w:val="18"/>
                          <w:szCs w:val="18"/>
                        </w:rPr>
                        <w:t>北京市海淀区知春路甲</w:t>
                      </w:r>
                      <w:r>
                        <w:rPr>
                          <w:rFonts w:ascii="Times New Roman" w:hAnsi="Times New Roman" w:cs="Times New Roman" w:eastAsia="Times New Roman" w:hint="default"/>
                          <w:spacing w:val="6"/>
                          <w:sz w:val="18"/>
                          <w:szCs w:val="18"/>
                        </w:rPr>
                        <w:t>48</w:t>
                      </w:r>
                      <w:r>
                        <w:rPr>
                          <w:rFonts w:ascii="宋体" w:hAnsi="宋体" w:cs="宋体" w:eastAsia="宋体" w:hint="default"/>
                          <w:spacing w:val="6"/>
                          <w:sz w:val="18"/>
                          <w:szCs w:val="18"/>
                        </w:rPr>
                        <w:t>号</w:t>
                      </w:r>
                    </w:p>
                    <w:p>
                      <w:pPr>
                        <w:spacing w:before="63"/>
                        <w:ind w:left="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号楼</w:t>
                      </w:r>
                      <w:r>
                        <w:rPr>
                          <w:rFonts w:ascii="Times New Roman" w:hAnsi="Times New Roman" w:cs="Times New Roman" w:eastAsia="Times New Roman" w:hint="default"/>
                          <w:sz w:val="18"/>
                          <w:szCs w:val="18"/>
                        </w:rPr>
                        <w:t>19</w:t>
                      </w:r>
                      <w:r>
                        <w:rPr>
                          <w:rFonts w:ascii="宋体" w:hAnsi="宋体" w:cs="宋体" w:eastAsia="宋体" w:hint="default"/>
                          <w:sz w:val="18"/>
                          <w:szCs w:val="18"/>
                        </w:rPr>
                        <w:t>层</w:t>
                      </w:r>
                      <w:r>
                        <w:rPr>
                          <w:rFonts w:ascii="Times New Roman" w:hAnsi="Times New Roman" w:cs="Times New Roman" w:eastAsia="Times New Roman" w:hint="default"/>
                          <w:sz w:val="18"/>
                          <w:szCs w:val="18"/>
                        </w:rPr>
                        <w:t>19A</w:t>
                      </w:r>
                    </w:p>
                  </w:txbxContent>
                </v:textbox>
                <w10:wrap type="none"/>
              </v:shape>
              <v:shape style="position:absolute;left:6082;top:2675;width:710;height:665" type="#_x0000_t202" filled="false" stroked="false">
                <v:textbox inset="0,0,0,0">
                  <w:txbxContent>
                    <w:p>
                      <w:pPr>
                        <w:spacing w:line="240" w:lineRule="auto" w:before="4"/>
                        <w:rPr>
                          <w:rFonts w:ascii="宋体" w:hAnsi="宋体" w:cs="宋体" w:eastAsia="宋体" w:hint="default"/>
                          <w:sz w:val="14"/>
                          <w:szCs w:val="14"/>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王铭</w:t>
                      </w:r>
                    </w:p>
                  </w:txbxContent>
                </v:textbox>
                <w10:wrap type="none"/>
              </v:shape>
              <v:shape style="position:absolute;left:6791;top:2675;width:1701;height:665" type="#_x0000_t202" filled="false" stroked="false">
                <v:textbox inset="0,0,0,0">
                  <w:txbxContent>
                    <w:p>
                      <w:pPr>
                        <w:spacing w:line="316" w:lineRule="auto" w:before="31"/>
                        <w:ind w:left="9" w:right="97" w:firstLine="0"/>
                        <w:jc w:val="left"/>
                        <w:rPr>
                          <w:rFonts w:ascii="宋体" w:hAnsi="宋体" w:cs="宋体" w:eastAsia="宋体" w:hint="default"/>
                          <w:sz w:val="18"/>
                          <w:szCs w:val="18"/>
                        </w:rPr>
                      </w:pPr>
                      <w:r>
                        <w:rPr>
                          <w:rFonts w:ascii="宋体" w:hAnsi="宋体" w:cs="宋体" w:eastAsia="宋体" w:hint="default"/>
                          <w:spacing w:val="-4"/>
                          <w:sz w:val="18"/>
                          <w:szCs w:val="18"/>
                        </w:rPr>
                        <w:t>技术服务，软件开发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硬件销售</w:t>
                      </w:r>
                    </w:p>
                  </w:txbxContent>
                </v:textbox>
                <w10:wrap type="none"/>
              </v:shape>
              <v:shape style="position:absolute;left:8491;top:2675;width:1026;height:665" type="#_x0000_t202" filled="false" stroked="false">
                <v:textbox inset="0,0,0,0">
                  <w:txbxContent>
                    <w:p>
                      <w:pPr>
                        <w:spacing w:line="196" w:lineRule="exact" w:before="31"/>
                        <w:ind w:left="-10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09" w:lineRule="exact" w:before="0"/>
                        <w:ind w:left="9" w:right="0" w:firstLine="0"/>
                        <w:jc w:val="left"/>
                        <w:rPr>
                          <w:rFonts w:ascii="宋体" w:hAnsi="宋体" w:cs="宋体" w:eastAsia="宋体" w:hint="default"/>
                          <w:sz w:val="18"/>
                          <w:szCs w:val="18"/>
                        </w:rPr>
                      </w:pPr>
                      <w:r>
                        <w:rPr>
                          <w:rFonts w:ascii="Arial" w:hAnsi="Arial" w:cs="Arial" w:eastAsia="Arial" w:hint="default"/>
                          <w:sz w:val="18"/>
                          <w:szCs w:val="18"/>
                        </w:rPr>
                        <w:t>392</w:t>
                      </w:r>
                      <w:r>
                        <w:rPr>
                          <w:rFonts w:ascii="宋体" w:hAnsi="宋体" w:cs="宋体" w:eastAsia="宋体" w:hint="default"/>
                          <w:sz w:val="18"/>
                          <w:szCs w:val="18"/>
                        </w:rPr>
                        <w:t>万元</w:t>
                      </w:r>
                    </w:p>
                  </w:txbxContent>
                </v:textbox>
                <w10:wrap type="none"/>
              </v:shape>
              <v:shape style="position:absolute;left:19;top:3340;width:1952;height:977" type="#_x0000_t202" filled="false" stroked="false">
                <v:textbox inset="0,0,0,0">
                  <w:txbxContent>
                    <w:p>
                      <w:pPr>
                        <w:spacing w:line="240" w:lineRule="auto" w:before="4"/>
                        <w:rPr>
                          <w:rFonts w:ascii="宋体" w:hAnsi="宋体" w:cs="宋体" w:eastAsia="宋体" w:hint="default"/>
                          <w:sz w:val="14"/>
                          <w:szCs w:val="14"/>
                        </w:rPr>
                      </w:pPr>
                    </w:p>
                    <w:p>
                      <w:pPr>
                        <w:spacing w:line="316" w:lineRule="auto" w:before="0"/>
                        <w:ind w:left="9" w:right="-4" w:firstLine="0"/>
                        <w:jc w:val="left"/>
                        <w:rPr>
                          <w:rFonts w:ascii="宋体" w:hAnsi="宋体" w:cs="宋体" w:eastAsia="宋体" w:hint="default"/>
                          <w:sz w:val="18"/>
                          <w:szCs w:val="18"/>
                        </w:rPr>
                      </w:pPr>
                      <w:r>
                        <w:rPr>
                          <w:rFonts w:ascii="宋体" w:hAnsi="宋体" w:cs="宋体" w:eastAsia="宋体" w:hint="default"/>
                          <w:spacing w:val="14"/>
                          <w:sz w:val="18"/>
                          <w:szCs w:val="18"/>
                        </w:rPr>
                        <w:t>福建星榕基信息科技有 </w:t>
                      </w:r>
                      <w:r>
                        <w:rPr>
                          <w:rFonts w:ascii="宋体" w:hAnsi="宋体" w:cs="宋体" w:eastAsia="宋体" w:hint="default"/>
                          <w:sz w:val="18"/>
                          <w:szCs w:val="18"/>
                        </w:rPr>
                        <w:t>限责任公司</w:t>
                      </w:r>
                    </w:p>
                  </w:txbxContent>
                </v:textbox>
                <w10:wrap type="none"/>
              </v:shape>
              <v:shape style="position:absolute;left:1970;top:3340;width:993;height:977" type="#_x0000_t202" filled="false" stroked="false">
                <v:textbox inset="0,0,0,0">
                  <w:txbxContent>
                    <w:p>
                      <w:pPr>
                        <w:spacing w:line="240" w:lineRule="auto" w:before="3"/>
                        <w:rPr>
                          <w:rFonts w:ascii="宋体" w:hAnsi="宋体" w:cs="宋体" w:eastAsia="宋体" w:hint="default"/>
                          <w:sz w:val="26"/>
                          <w:szCs w:val="26"/>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控股子公司</w:t>
                      </w:r>
                    </w:p>
                  </w:txbxContent>
                </v:textbox>
                <w10:wrap type="none"/>
              </v:shape>
              <v:shape style="position:absolute;left:2963;top:3340;width:851;height:977" type="#_x0000_t202" filled="false" stroked="false">
                <v:textbox inset="0,0,0,0">
                  <w:txbxContent>
                    <w:p>
                      <w:pPr>
                        <w:spacing w:line="240" w:lineRule="auto" w:before="4"/>
                        <w:rPr>
                          <w:rFonts w:ascii="宋体" w:hAnsi="宋体" w:cs="宋体" w:eastAsia="宋体" w:hint="default"/>
                          <w:sz w:val="14"/>
                          <w:szCs w:val="14"/>
                        </w:rPr>
                      </w:pPr>
                    </w:p>
                    <w:p>
                      <w:pPr>
                        <w:spacing w:line="316" w:lineRule="auto" w:before="0"/>
                        <w:ind w:left="9" w:right="-28" w:firstLine="0"/>
                        <w:jc w:val="left"/>
                        <w:rPr>
                          <w:rFonts w:ascii="宋体" w:hAnsi="宋体" w:cs="宋体" w:eastAsia="宋体" w:hint="default"/>
                          <w:sz w:val="18"/>
                          <w:szCs w:val="18"/>
                        </w:rPr>
                      </w:pPr>
                      <w:r>
                        <w:rPr>
                          <w:rFonts w:ascii="宋体" w:hAnsi="宋体" w:cs="宋体" w:eastAsia="宋体" w:hint="default"/>
                          <w:spacing w:val="27"/>
                          <w:sz w:val="18"/>
                          <w:szCs w:val="18"/>
                        </w:rPr>
                        <w:t>有限责任</w:t>
                      </w:r>
                      <w:r>
                        <w:rPr>
                          <w:rFonts w:ascii="宋体" w:hAnsi="宋体" w:cs="宋体" w:eastAsia="宋体" w:hint="default"/>
                          <w:spacing w:val="-88"/>
                          <w:sz w:val="18"/>
                          <w:szCs w:val="18"/>
                        </w:rPr>
                        <w:t> </w:t>
                      </w:r>
                      <w:r>
                        <w:rPr>
                          <w:rFonts w:ascii="宋体" w:hAnsi="宋体" w:cs="宋体" w:eastAsia="宋体" w:hint="default"/>
                          <w:sz w:val="18"/>
                          <w:szCs w:val="18"/>
                        </w:rPr>
                        <w:t>公司</w:t>
                      </w:r>
                    </w:p>
                  </w:txbxContent>
                </v:textbox>
                <w10:wrap type="none"/>
              </v:shape>
              <v:shape style="position:absolute;left:3814;top:3340;width:2268;height:977" type="#_x0000_t202" filled="false" stroked="false">
                <v:textbox inset="0,0,0,0">
                  <w:txbxContent>
                    <w:p>
                      <w:pPr>
                        <w:spacing w:line="309" w:lineRule="auto" w:before="31"/>
                        <w:ind w:left="9" w:right="1" w:firstLine="0"/>
                        <w:jc w:val="both"/>
                        <w:rPr>
                          <w:rFonts w:ascii="宋体" w:hAnsi="宋体" w:cs="宋体" w:eastAsia="宋体" w:hint="default"/>
                          <w:sz w:val="18"/>
                          <w:szCs w:val="18"/>
                        </w:rPr>
                      </w:pPr>
                      <w:r>
                        <w:rPr>
                          <w:rFonts w:ascii="宋体" w:hAnsi="宋体" w:cs="宋体" w:eastAsia="宋体" w:hint="default"/>
                          <w:spacing w:val="7"/>
                          <w:sz w:val="18"/>
                          <w:szCs w:val="18"/>
                        </w:rPr>
                        <w:t>福建省福州市鼓楼区铜盘路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软件大道</w:t>
                      </w:r>
                      <w:r>
                        <w:rPr>
                          <w:rFonts w:ascii="Times New Roman" w:hAnsi="Times New Roman" w:cs="Times New Roman" w:eastAsia="Times New Roman" w:hint="default"/>
                          <w:spacing w:val="9"/>
                          <w:sz w:val="18"/>
                          <w:szCs w:val="18"/>
                        </w:rPr>
                        <w:t>89</w:t>
                      </w:r>
                      <w:r>
                        <w:rPr>
                          <w:rFonts w:ascii="宋体" w:hAnsi="宋体" w:cs="宋体" w:eastAsia="宋体" w:hint="default"/>
                          <w:spacing w:val="9"/>
                          <w:sz w:val="18"/>
                          <w:szCs w:val="18"/>
                        </w:rPr>
                        <w:t>号软件园</w:t>
                      </w:r>
                      <w:r>
                        <w:rPr>
                          <w:rFonts w:ascii="Times New Roman" w:hAnsi="Times New Roman" w:cs="Times New Roman" w:eastAsia="Times New Roman" w:hint="default"/>
                          <w:spacing w:val="9"/>
                          <w:sz w:val="18"/>
                          <w:szCs w:val="18"/>
                        </w:rPr>
                        <w:t>A</w:t>
                      </w:r>
                      <w:r>
                        <w:rPr>
                          <w:rFonts w:ascii="宋体" w:hAnsi="宋体" w:cs="宋体" w:eastAsia="宋体" w:hint="default"/>
                          <w:spacing w:val="9"/>
                          <w:sz w:val="18"/>
                          <w:szCs w:val="18"/>
                        </w:rPr>
                        <w:t>区</w:t>
                      </w:r>
                      <w:r>
                        <w:rPr>
                          <w:rFonts w:ascii="Times New Roman" w:hAnsi="Times New Roman" w:cs="Times New Roman" w:eastAsia="Times New Roman" w:hint="default"/>
                          <w:spacing w:val="9"/>
                          <w:sz w:val="18"/>
                          <w:szCs w:val="18"/>
                        </w:rPr>
                        <w:t>15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号楼三楼</w:t>
                      </w:r>
                    </w:p>
                  </w:txbxContent>
                </v:textbox>
                <w10:wrap type="none"/>
              </v:shape>
              <v:shape style="position:absolute;left:6082;top:3340;width:710;height:977" type="#_x0000_t202" filled="false" stroked="false">
                <v:textbox inset="0,0,0,0">
                  <w:txbxContent>
                    <w:p>
                      <w:pPr>
                        <w:spacing w:line="240" w:lineRule="auto" w:before="3"/>
                        <w:rPr>
                          <w:rFonts w:ascii="宋体" w:hAnsi="宋体" w:cs="宋体" w:eastAsia="宋体" w:hint="default"/>
                          <w:sz w:val="26"/>
                          <w:szCs w:val="26"/>
                        </w:rPr>
                      </w:pPr>
                    </w:p>
                    <w:p>
                      <w:pPr>
                        <w:spacing w:before="0"/>
                        <w:ind w:left="9" w:right="0" w:firstLine="0"/>
                        <w:jc w:val="left"/>
                        <w:rPr>
                          <w:rFonts w:ascii="宋体" w:hAnsi="宋体" w:cs="宋体" w:eastAsia="宋体" w:hint="default"/>
                          <w:sz w:val="18"/>
                          <w:szCs w:val="18"/>
                        </w:rPr>
                      </w:pPr>
                      <w:r>
                        <w:rPr>
                          <w:rFonts w:ascii="宋体" w:hAnsi="宋体" w:cs="宋体" w:eastAsia="宋体" w:hint="default"/>
                          <w:sz w:val="18"/>
                          <w:szCs w:val="18"/>
                        </w:rPr>
                        <w:t>侯伟</w:t>
                      </w:r>
                    </w:p>
                  </w:txbxContent>
                </v:textbox>
                <w10:wrap type="none"/>
              </v:shape>
              <v:shape style="position:absolute;left:6791;top:3340;width:1701;height:977" type="#_x0000_t202" filled="false" stroked="false">
                <v:textbox inset="0,0,0,0">
                  <w:txbxContent>
                    <w:p>
                      <w:pPr>
                        <w:spacing w:line="240" w:lineRule="auto" w:before="4"/>
                        <w:rPr>
                          <w:rFonts w:ascii="宋体" w:hAnsi="宋体" w:cs="宋体" w:eastAsia="宋体" w:hint="default"/>
                          <w:sz w:val="14"/>
                          <w:szCs w:val="14"/>
                        </w:rPr>
                      </w:pPr>
                    </w:p>
                    <w:p>
                      <w:pPr>
                        <w:spacing w:line="316" w:lineRule="auto" w:before="0"/>
                        <w:ind w:left="9" w:right="97" w:firstLine="0"/>
                        <w:jc w:val="left"/>
                        <w:rPr>
                          <w:rFonts w:ascii="宋体" w:hAnsi="宋体" w:cs="宋体" w:eastAsia="宋体" w:hint="default"/>
                          <w:sz w:val="18"/>
                          <w:szCs w:val="18"/>
                        </w:rPr>
                      </w:pPr>
                      <w:r>
                        <w:rPr>
                          <w:rFonts w:ascii="宋体" w:hAnsi="宋体" w:cs="宋体" w:eastAsia="宋体" w:hint="default"/>
                          <w:spacing w:val="-4"/>
                          <w:sz w:val="18"/>
                          <w:szCs w:val="18"/>
                        </w:rPr>
                        <w:t>技术服务，软件开发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硬件销售</w:t>
                      </w:r>
                    </w:p>
                  </w:txbxContent>
                </v:textbox>
                <w10:wrap type="none"/>
              </v:shape>
              <v:shape style="position:absolute;left:8491;top:3340;width:1026;height:977" type="#_x0000_t202" filled="false" stroked="false">
                <v:textbox inset="0,0,0,0">
                  <w:txbxContent>
                    <w:p>
                      <w:pPr>
                        <w:spacing w:line="240" w:lineRule="auto" w:before="4"/>
                        <w:rPr>
                          <w:rFonts w:ascii="宋体" w:hAnsi="宋体" w:cs="宋体" w:eastAsia="宋体" w:hint="default"/>
                          <w:sz w:val="14"/>
                          <w:szCs w:val="14"/>
                        </w:rPr>
                      </w:pPr>
                    </w:p>
                    <w:p>
                      <w:pPr>
                        <w:spacing w:line="196" w:lineRule="exact" w:before="0"/>
                        <w:ind w:left="-10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09" w:lineRule="exact" w:before="0"/>
                        <w:ind w:left="9" w:right="0" w:firstLine="0"/>
                        <w:jc w:val="left"/>
                        <w:rPr>
                          <w:rFonts w:ascii="宋体" w:hAnsi="宋体" w:cs="宋体" w:eastAsia="宋体" w:hint="default"/>
                          <w:sz w:val="18"/>
                          <w:szCs w:val="18"/>
                        </w:rPr>
                      </w:pPr>
                      <w:r>
                        <w:rPr>
                          <w:rFonts w:ascii="Arial" w:hAnsi="Arial" w:cs="Arial" w:eastAsia="Arial" w:hint="default"/>
                          <w:sz w:val="18"/>
                          <w:szCs w:val="18"/>
                        </w:rPr>
                        <w:t>5,000</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86"/>
          <w:sz w:val="20"/>
          <w:szCs w:val="20"/>
        </w:rPr>
      </w:r>
    </w:p>
    <w:p>
      <w:pPr>
        <w:spacing w:line="240" w:lineRule="auto" w:before="12"/>
        <w:rPr>
          <w:rFonts w:ascii="宋体" w:hAnsi="宋体" w:cs="宋体" w:eastAsia="宋体" w:hint="default"/>
          <w:sz w:val="5"/>
          <w:szCs w:val="5"/>
        </w:rPr>
      </w:pPr>
    </w:p>
    <w:p>
      <w:pPr>
        <w:pStyle w:val="BodyText"/>
        <w:spacing w:line="240" w:lineRule="auto" w:before="44"/>
        <w:ind w:right="704"/>
        <w:jc w:val="left"/>
      </w:pPr>
      <w:r>
        <w:rPr/>
        <w:t>续</w:t>
      </w:r>
      <w:r>
        <w:rPr>
          <w:rFonts w:ascii="Times New Roman" w:hAnsi="Times New Roman" w:cs="Times New Roman" w:eastAsia="Times New Roman" w:hint="default"/>
        </w:rPr>
        <w:t>1</w:t>
      </w:r>
      <w:r>
        <w:rPr/>
        <w:t>：</w:t>
      </w:r>
    </w:p>
    <w:p>
      <w:pPr>
        <w:spacing w:line="240" w:lineRule="auto" w:before="3"/>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954"/>
        <w:gridCol w:w="1132"/>
        <w:gridCol w:w="4111"/>
        <w:gridCol w:w="709"/>
        <w:gridCol w:w="708"/>
        <w:gridCol w:w="884"/>
      </w:tblGrid>
      <w:tr>
        <w:trPr>
          <w:trHeight w:val="663" w:hRule="exact"/>
        </w:trPr>
        <w:tc>
          <w:tcPr>
            <w:tcW w:w="19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375" w:right="14" w:hanging="360"/>
              <w:jc w:val="left"/>
              <w:rPr>
                <w:rFonts w:ascii="宋体" w:hAnsi="宋体" w:cs="宋体" w:eastAsia="宋体" w:hint="default"/>
                <w:sz w:val="18"/>
                <w:szCs w:val="18"/>
              </w:rPr>
            </w:pPr>
            <w:r>
              <w:rPr>
                <w:rFonts w:ascii="宋体" w:hAnsi="宋体" w:cs="宋体" w:eastAsia="宋体" w:hint="default"/>
                <w:sz w:val="18"/>
                <w:szCs w:val="18"/>
              </w:rPr>
              <w:t>统一社会信用 代码</w:t>
            </w:r>
          </w:p>
        </w:tc>
        <w:tc>
          <w:tcPr>
            <w:tcW w:w="411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864" w:right="1865"/>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7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64"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63" w:right="73"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8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251" w:right="71"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336" w:hRule="exact"/>
        </w:trPr>
        <w:tc>
          <w:tcPr>
            <w:tcW w:w="195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right="-13"/>
              <w:jc w:val="left"/>
              <w:rPr>
                <w:rFonts w:ascii="宋体" w:hAnsi="宋体" w:cs="宋体" w:eastAsia="宋体" w:hint="default"/>
                <w:sz w:val="18"/>
                <w:szCs w:val="18"/>
              </w:rPr>
            </w:pPr>
            <w:r>
              <w:rPr>
                <w:rFonts w:ascii="宋体" w:hAnsi="宋体" w:cs="宋体" w:eastAsia="宋体" w:hint="default"/>
                <w:spacing w:val="14"/>
                <w:sz w:val="18"/>
                <w:szCs w:val="18"/>
              </w:rPr>
              <w:t>福建榕易付网络科技有</w:t>
            </w:r>
            <w:r>
              <w:rPr>
                <w:rFonts w:ascii="宋体" w:hAnsi="宋体" w:cs="宋体" w:eastAsia="宋体" w:hint="default"/>
                <w:sz w:val="18"/>
                <w:szCs w:val="18"/>
              </w:rPr>
            </w:r>
          </w:p>
        </w:tc>
        <w:tc>
          <w:tcPr>
            <w:tcW w:w="11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91350100M00</w:t>
            </w:r>
          </w:p>
        </w:tc>
        <w:tc>
          <w:tcPr>
            <w:tcW w:w="411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1" w:right="-1"/>
              <w:jc w:val="left"/>
              <w:rPr>
                <w:rFonts w:ascii="宋体" w:hAnsi="宋体" w:cs="宋体" w:eastAsia="宋体" w:hint="default"/>
                <w:sz w:val="18"/>
                <w:szCs w:val="18"/>
              </w:rPr>
            </w:pPr>
            <w:r>
              <w:rPr>
                <w:rFonts w:ascii="宋体" w:hAnsi="宋体" w:cs="宋体" w:eastAsia="宋体" w:hint="default"/>
                <w:spacing w:val="-3"/>
                <w:sz w:val="18"/>
                <w:szCs w:val="18"/>
              </w:rPr>
              <w:t>互联网信息服务；计算机软硬件研发和技术服务；信</w:t>
            </w:r>
          </w:p>
        </w:tc>
        <w:tc>
          <w:tcPr>
            <w:tcW w:w="70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8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7" w:hRule="exact"/>
        </w:trPr>
        <w:tc>
          <w:tcPr>
            <w:tcW w:w="195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6"/>
              <w:ind w:left="-1" w:right="0"/>
              <w:jc w:val="left"/>
              <w:rPr>
                <w:rFonts w:ascii="Times New Roman" w:hAnsi="Times New Roman" w:cs="Times New Roman" w:eastAsia="Times New Roman" w:hint="default"/>
                <w:sz w:val="18"/>
                <w:szCs w:val="18"/>
              </w:rPr>
            </w:pPr>
            <w:r>
              <w:rPr>
                <w:rFonts w:ascii="Times New Roman"/>
                <w:sz w:val="18"/>
              </w:rPr>
              <w:t>0052FX8</w:t>
            </w:r>
          </w:p>
        </w:tc>
        <w:tc>
          <w:tcPr>
            <w:tcW w:w="41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息系统集成服务；信息技术咨询服务</w:t>
            </w:r>
          </w:p>
        </w:tc>
        <w:tc>
          <w:tcPr>
            <w:tcW w:w="709" w:type="dxa"/>
            <w:tcBorders>
              <w:top w:val="nil" w:sz="6" w:space="0" w:color="auto"/>
              <w:left w:val="single" w:sz="8" w:space="0" w:color="000000"/>
              <w:bottom w:val="single" w:sz="8" w:space="0" w:color="000000"/>
              <w:right w:val="single" w:sz="8" w:space="0" w:color="000000"/>
            </w:tcBorders>
          </w:tcPr>
          <w:p>
            <w:pPr/>
          </w:p>
        </w:tc>
        <w:tc>
          <w:tcPr>
            <w:tcW w:w="708" w:type="dxa"/>
            <w:tcBorders>
              <w:top w:val="nil" w:sz="6" w:space="0" w:color="auto"/>
              <w:left w:val="single" w:sz="8" w:space="0" w:color="000000"/>
              <w:bottom w:val="single" w:sz="8" w:space="0" w:color="000000"/>
              <w:right w:val="single" w:sz="8" w:space="0" w:color="000000"/>
            </w:tcBorders>
          </w:tcPr>
          <w:p>
            <w:pPr/>
          </w:p>
        </w:tc>
        <w:tc>
          <w:tcPr>
            <w:tcW w:w="884" w:type="dxa"/>
            <w:tcBorders>
              <w:top w:val="nil" w:sz="6" w:space="0" w:color="auto"/>
              <w:left w:val="single" w:sz="8" w:space="0" w:color="000000"/>
              <w:bottom w:val="single" w:sz="8" w:space="0" w:color="000000"/>
              <w:right w:val="single" w:sz="8" w:space="0" w:color="000000"/>
            </w:tcBorders>
          </w:tcPr>
          <w:p>
            <w:pPr/>
          </w:p>
        </w:tc>
      </w:tr>
      <w:tr>
        <w:trPr>
          <w:trHeight w:val="336" w:hRule="exact"/>
        </w:trPr>
        <w:tc>
          <w:tcPr>
            <w:tcW w:w="195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right="-13"/>
              <w:jc w:val="left"/>
              <w:rPr>
                <w:rFonts w:ascii="宋体" w:hAnsi="宋体" w:cs="宋体" w:eastAsia="宋体" w:hint="default"/>
                <w:sz w:val="18"/>
                <w:szCs w:val="18"/>
              </w:rPr>
            </w:pPr>
            <w:r>
              <w:rPr>
                <w:rFonts w:ascii="宋体" w:hAnsi="宋体" w:cs="宋体" w:eastAsia="宋体" w:hint="default"/>
                <w:spacing w:val="14"/>
                <w:sz w:val="18"/>
                <w:szCs w:val="18"/>
              </w:rPr>
              <w:t>浙江检榕网络科技有限</w:t>
            </w:r>
            <w:r>
              <w:rPr>
                <w:rFonts w:ascii="宋体" w:hAnsi="宋体" w:cs="宋体" w:eastAsia="宋体" w:hint="default"/>
                <w:sz w:val="18"/>
                <w:szCs w:val="18"/>
              </w:rPr>
            </w:r>
          </w:p>
        </w:tc>
        <w:tc>
          <w:tcPr>
            <w:tcW w:w="11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330108000224</w:t>
            </w:r>
          </w:p>
        </w:tc>
        <w:tc>
          <w:tcPr>
            <w:tcW w:w="411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pacing w:val="-3"/>
                <w:sz w:val="18"/>
                <w:szCs w:val="18"/>
              </w:rPr>
              <w:t>技术开发、技术服务、技术咨询、成果转让；计算机</w:t>
            </w:r>
          </w:p>
        </w:tc>
        <w:tc>
          <w:tcPr>
            <w:tcW w:w="70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w:t>
            </w:r>
          </w:p>
        </w:tc>
        <w:tc>
          <w:tcPr>
            <w:tcW w:w="88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95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2" w:type="dxa"/>
            <w:tcBorders>
              <w:top w:val="nil" w:sz="6" w:space="0" w:color="auto"/>
              <w:left w:val="single" w:sz="8" w:space="0" w:color="000000"/>
              <w:bottom w:val="nil" w:sz="6" w:space="0" w:color="auto"/>
              <w:right w:val="single" w:sz="8" w:space="0" w:color="000000"/>
            </w:tcBorders>
          </w:tcPr>
          <w:p>
            <w:pPr>
              <w:pStyle w:val="TableParagraph"/>
              <w:spacing w:line="240" w:lineRule="auto" w:before="46"/>
              <w:ind w:left="-1" w:right="0"/>
              <w:jc w:val="left"/>
              <w:rPr>
                <w:rFonts w:ascii="Times New Roman" w:hAnsi="Times New Roman" w:cs="Times New Roman" w:eastAsia="Times New Roman" w:hint="default"/>
                <w:sz w:val="18"/>
                <w:szCs w:val="18"/>
              </w:rPr>
            </w:pPr>
            <w:r>
              <w:rPr>
                <w:rFonts w:ascii="Times New Roman"/>
                <w:sz w:val="18"/>
              </w:rPr>
              <w:t>539</w:t>
            </w:r>
          </w:p>
        </w:tc>
        <w:tc>
          <w:tcPr>
            <w:tcW w:w="411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pacing w:val="-3"/>
                <w:sz w:val="18"/>
                <w:szCs w:val="18"/>
              </w:rPr>
              <w:t>网络技术、计算机信息技术、计算机软硬件、电子商</w:t>
            </w:r>
          </w:p>
        </w:tc>
        <w:tc>
          <w:tcPr>
            <w:tcW w:w="709" w:type="dxa"/>
            <w:tcBorders>
              <w:top w:val="nil" w:sz="6" w:space="0" w:color="auto"/>
              <w:left w:val="single" w:sz="8" w:space="0" w:color="000000"/>
              <w:bottom w:val="nil" w:sz="6" w:space="0" w:color="auto"/>
              <w:right w:val="single" w:sz="8" w:space="0" w:color="000000"/>
            </w:tcBorders>
          </w:tcPr>
          <w:p>
            <w:pPr/>
          </w:p>
        </w:tc>
        <w:tc>
          <w:tcPr>
            <w:tcW w:w="708" w:type="dxa"/>
            <w:tcBorders>
              <w:top w:val="nil" w:sz="6" w:space="0" w:color="auto"/>
              <w:left w:val="single" w:sz="8" w:space="0" w:color="000000"/>
              <w:bottom w:val="nil" w:sz="6" w:space="0" w:color="auto"/>
              <w:right w:val="single" w:sz="8" w:space="0" w:color="000000"/>
            </w:tcBorders>
          </w:tcPr>
          <w:p>
            <w:pPr/>
          </w:p>
        </w:tc>
        <w:tc>
          <w:tcPr>
            <w:tcW w:w="884" w:type="dxa"/>
            <w:tcBorders>
              <w:top w:val="nil" w:sz="6" w:space="0" w:color="auto"/>
              <w:left w:val="single" w:sz="8" w:space="0" w:color="000000"/>
              <w:bottom w:val="nil" w:sz="6" w:space="0" w:color="auto"/>
              <w:right w:val="single" w:sz="8" w:space="0" w:color="000000"/>
            </w:tcBorders>
          </w:tcPr>
          <w:p>
            <w:pPr/>
          </w:p>
        </w:tc>
      </w:tr>
      <w:tr>
        <w:trPr>
          <w:trHeight w:val="329" w:hRule="exact"/>
        </w:trPr>
        <w:tc>
          <w:tcPr>
            <w:tcW w:w="1954" w:type="dxa"/>
            <w:tcBorders>
              <w:top w:val="nil" w:sz="6" w:space="0" w:color="auto"/>
              <w:left w:val="single" w:sz="8" w:space="0" w:color="000000"/>
              <w:bottom w:val="single" w:sz="8" w:space="0" w:color="000000"/>
              <w:right w:val="single" w:sz="8" w:space="0" w:color="000000"/>
            </w:tcBorders>
          </w:tcPr>
          <w:p>
            <w:pPr/>
          </w:p>
        </w:tc>
        <w:tc>
          <w:tcPr>
            <w:tcW w:w="1132" w:type="dxa"/>
            <w:tcBorders>
              <w:top w:val="nil" w:sz="6" w:space="0" w:color="auto"/>
              <w:left w:val="single" w:sz="8" w:space="0" w:color="000000"/>
              <w:bottom w:val="single" w:sz="8" w:space="0" w:color="000000"/>
              <w:right w:val="single" w:sz="8" w:space="0" w:color="000000"/>
            </w:tcBorders>
          </w:tcPr>
          <w:p>
            <w:pPr/>
          </w:p>
        </w:tc>
        <w:tc>
          <w:tcPr>
            <w:tcW w:w="41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z w:val="18"/>
                <w:szCs w:val="18"/>
              </w:rPr>
              <w:t>务技术、互联网技术</w:t>
            </w:r>
          </w:p>
        </w:tc>
        <w:tc>
          <w:tcPr>
            <w:tcW w:w="709" w:type="dxa"/>
            <w:tcBorders>
              <w:top w:val="nil" w:sz="6" w:space="0" w:color="auto"/>
              <w:left w:val="single" w:sz="8" w:space="0" w:color="000000"/>
              <w:bottom w:val="single" w:sz="8" w:space="0" w:color="000000"/>
              <w:right w:val="single" w:sz="8" w:space="0" w:color="000000"/>
            </w:tcBorders>
          </w:tcPr>
          <w:p>
            <w:pPr/>
          </w:p>
        </w:tc>
        <w:tc>
          <w:tcPr>
            <w:tcW w:w="708" w:type="dxa"/>
            <w:tcBorders>
              <w:top w:val="nil" w:sz="6" w:space="0" w:color="auto"/>
              <w:left w:val="single" w:sz="8" w:space="0" w:color="000000"/>
              <w:bottom w:val="single" w:sz="8" w:space="0" w:color="000000"/>
              <w:right w:val="single" w:sz="8" w:space="0" w:color="000000"/>
            </w:tcBorders>
          </w:tcPr>
          <w:p>
            <w:pPr/>
          </w:p>
        </w:tc>
        <w:tc>
          <w:tcPr>
            <w:tcW w:w="884" w:type="dxa"/>
            <w:tcBorders>
              <w:top w:val="nil" w:sz="6" w:space="0" w:color="auto"/>
              <w:left w:val="single" w:sz="8" w:space="0" w:color="000000"/>
              <w:bottom w:val="single" w:sz="8" w:space="0" w:color="000000"/>
              <w:right w:val="single" w:sz="8" w:space="0" w:color="000000"/>
            </w:tcBorders>
          </w:tcPr>
          <w:p>
            <w:pPr/>
          </w:p>
        </w:tc>
      </w:tr>
      <w:tr>
        <w:trPr>
          <w:trHeight w:val="353"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pacing w:val="-5"/>
                <w:sz w:val="18"/>
                <w:szCs w:val="18"/>
              </w:rPr>
              <w:t>榕基国计（北京）信息技</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110108019608</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pacing w:val="-3"/>
                <w:sz w:val="18"/>
                <w:szCs w:val="18"/>
              </w:rPr>
              <w:t>技术开发、技术咨询、技术服务、技术推广；计算机</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w:t>
            </w:r>
          </w:p>
        </w:tc>
        <w:tc>
          <w:tcPr>
            <w:tcW w:w="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99%</w:t>
            </w:r>
          </w:p>
        </w:tc>
        <w:tc>
          <w:tcPr>
            <w:tcW w:w="8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92.340302pt;margin-top:614.940002pt;width:101.05pt;height:50.85pt;mso-position-horizontal-relative:page;mso-position-vertical-relative:page;z-index:-1139656" type="#_x0000_t202" filled="false" stroked="false">
            <v:textbox inset="0,0,0,0">
              <w:txbxContent>
                <w:p>
                  <w:pPr>
                    <w:pStyle w:val="BodyText"/>
                    <w:spacing w:line="240" w:lineRule="auto" w:before="51"/>
                    <w:ind w:left="0" w:right="0"/>
                    <w:jc w:val="left"/>
                  </w:pPr>
                  <w:r>
                    <w:rPr/>
                    <w:t>（北京）</w:t>
                  </w:r>
                </w:p>
              </w:txbxContent>
            </v:textbox>
            <w10:wrap type="none"/>
          </v:shape>
        </w:pict>
      </w:r>
      <w:r>
        <w:rPr/>
        <w:pict>
          <v:group style="position:absolute;margin-left:125.519997pt;margin-top:614.940002pt;width:67.9pt;height:50.85pt;mso-position-horizontal-relative:page;mso-position-vertical-relative:page;z-index:-1139632" coordorigin="2510,12299" coordsize="1358,1017">
            <v:group style="position:absolute;left:2510;top:12299;width:1358;height:1017" coordorigin="2510,12299" coordsize="1358,1017">
              <v:shape style="position:absolute;left:2510;top:12299;width:1358;height:1017" coordorigin="2510,12299" coordsize="1358,1017" path="m2510,13315l3868,13315,3868,12299,2510,12299,2510,13315xe" filled="true" fillcolor="#ffffff" stroked="false">
                <v:path arrowok="t"/>
                <v:fill type="solid"/>
              </v:shape>
            </v:group>
            <v:group style="position:absolute;left:2533;top:12611;width:1311;height:393" coordorigin="2533,12611" coordsize="1311,393">
              <v:shape style="position:absolute;left:2533;top:12611;width:1311;height:393" coordorigin="2533,12611" coordsize="1311,393" path="m2533,13003l3844,13003,3844,12611,2533,12611,2533,13003xe" filled="true" fillcolor="#ffffff" stroked="false">
                <v:path arrowok="t"/>
                <v:fill type="solid"/>
              </v:shape>
            </v:group>
            <w10:wrap type="none"/>
          </v:group>
        </w:pict>
      </w:r>
    </w:p>
    <w:tbl>
      <w:tblPr>
        <w:tblW w:w="0" w:type="auto"/>
        <w:jc w:val="left"/>
        <w:tblInd w:w="144" w:type="dxa"/>
        <w:tblLayout w:type="fixed"/>
        <w:tblCellMar>
          <w:top w:w="0" w:type="dxa"/>
          <w:left w:w="0" w:type="dxa"/>
          <w:bottom w:w="0" w:type="dxa"/>
          <w:right w:w="0" w:type="dxa"/>
        </w:tblCellMar>
        <w:tblLook w:val="01E0"/>
      </w:tblPr>
      <w:tblGrid>
        <w:gridCol w:w="1954"/>
        <w:gridCol w:w="1132"/>
        <w:gridCol w:w="4111"/>
        <w:gridCol w:w="709"/>
        <w:gridCol w:w="708"/>
        <w:gridCol w:w="884"/>
      </w:tblGrid>
      <w:tr>
        <w:trPr>
          <w:trHeight w:val="1288"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1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678</w:t>
            </w:r>
          </w:p>
        </w:tc>
        <w:tc>
          <w:tcPr>
            <w:tcW w:w="4111"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1"/>
              <w:ind w:left="-1" w:right="-1"/>
              <w:jc w:val="both"/>
              <w:rPr>
                <w:rFonts w:ascii="宋体" w:hAnsi="宋体" w:cs="宋体" w:eastAsia="宋体" w:hint="default"/>
                <w:sz w:val="18"/>
                <w:szCs w:val="18"/>
              </w:rPr>
            </w:pPr>
            <w:r>
              <w:rPr>
                <w:rFonts w:ascii="宋体" w:hAnsi="宋体" w:cs="宋体" w:eastAsia="宋体" w:hint="default"/>
                <w:spacing w:val="-9"/>
                <w:sz w:val="18"/>
                <w:szCs w:val="18"/>
              </w:rPr>
              <w:t>系统服务；数据处理（数据处理中的银行卡中心、</w:t>
            </w:r>
            <w:r>
              <w:rPr>
                <w:rFonts w:ascii="Times New Roman" w:hAnsi="Times New Roman" w:cs="Times New Roman" w:eastAsia="Times New Roman" w:hint="default"/>
                <w:spacing w:val="-9"/>
                <w:sz w:val="18"/>
                <w:szCs w:val="18"/>
              </w:rPr>
              <w:t>PUE</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值在</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以上的云计算数据中心除外）；基础软件服 </w:t>
            </w:r>
            <w:r>
              <w:rPr>
                <w:rFonts w:ascii="宋体" w:hAnsi="宋体" w:cs="宋体" w:eastAsia="宋体" w:hint="default"/>
                <w:spacing w:val="-3"/>
                <w:sz w:val="18"/>
                <w:szCs w:val="18"/>
              </w:rPr>
              <w:t>务；应用软件服务；软件开发；软件咨询；计算机维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修；销售计算机、软件及辅助设备、通讯设备</w:t>
            </w:r>
          </w:p>
        </w:tc>
        <w:tc>
          <w:tcPr>
            <w:tcW w:w="709" w:type="dxa"/>
            <w:tcBorders>
              <w:top w:val="single" w:sz="8" w:space="0" w:color="000000"/>
              <w:left w:val="single" w:sz="8" w:space="0" w:color="000000"/>
              <w:bottom w:val="single" w:sz="8" w:space="0" w:color="000000"/>
              <w:right w:val="single" w:sz="8" w:space="0" w:color="000000"/>
            </w:tcBorders>
          </w:tcPr>
          <w:p>
            <w:pPr/>
          </w:p>
        </w:tc>
        <w:tc>
          <w:tcPr>
            <w:tcW w:w="708" w:type="dxa"/>
            <w:tcBorders>
              <w:top w:val="single" w:sz="8" w:space="0" w:color="000000"/>
              <w:left w:val="single" w:sz="8" w:space="0" w:color="000000"/>
              <w:bottom w:val="single" w:sz="8" w:space="0" w:color="000000"/>
              <w:right w:val="single" w:sz="8" w:space="0" w:color="000000"/>
            </w:tcBorders>
          </w:tcPr>
          <w:p>
            <w:pPr/>
          </w:p>
        </w:tc>
        <w:tc>
          <w:tcPr>
            <w:tcW w:w="884" w:type="dxa"/>
            <w:tcBorders>
              <w:top w:val="single" w:sz="8" w:space="0" w:color="000000"/>
              <w:left w:val="single" w:sz="8" w:space="0" w:color="000000"/>
              <w:bottom w:val="single" w:sz="8" w:space="0" w:color="000000"/>
              <w:right w:val="single" w:sz="8" w:space="0" w:color="000000"/>
            </w:tcBorders>
          </w:tcPr>
          <w:p>
            <w:pPr/>
          </w:p>
        </w:tc>
      </w:tr>
      <w:tr>
        <w:trPr>
          <w:trHeight w:val="336" w:hRule="exact"/>
        </w:trPr>
        <w:tc>
          <w:tcPr>
            <w:tcW w:w="195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right="-13"/>
              <w:jc w:val="left"/>
              <w:rPr>
                <w:rFonts w:ascii="宋体" w:hAnsi="宋体" w:cs="宋体" w:eastAsia="宋体" w:hint="default"/>
                <w:sz w:val="18"/>
                <w:szCs w:val="18"/>
              </w:rPr>
            </w:pPr>
            <w:r>
              <w:rPr>
                <w:rFonts w:ascii="宋体" w:hAnsi="宋体" w:cs="宋体" w:eastAsia="宋体" w:hint="default"/>
                <w:spacing w:val="14"/>
                <w:sz w:val="18"/>
                <w:szCs w:val="18"/>
              </w:rPr>
              <w:t>福建星榕基信息科技有</w:t>
            </w:r>
            <w:r>
              <w:rPr>
                <w:rFonts w:ascii="宋体" w:hAnsi="宋体" w:cs="宋体" w:eastAsia="宋体" w:hint="default"/>
                <w:sz w:val="18"/>
                <w:szCs w:val="18"/>
              </w:rPr>
            </w:r>
          </w:p>
        </w:tc>
        <w:tc>
          <w:tcPr>
            <w:tcW w:w="113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left="-1" w:right="0"/>
              <w:jc w:val="left"/>
              <w:rPr>
                <w:rFonts w:ascii="Times New Roman" w:hAnsi="Times New Roman" w:cs="Times New Roman" w:eastAsia="Times New Roman" w:hint="default"/>
                <w:sz w:val="18"/>
                <w:szCs w:val="18"/>
              </w:rPr>
            </w:pPr>
            <w:r>
              <w:rPr>
                <w:rFonts w:ascii="Times New Roman"/>
                <w:sz w:val="18"/>
              </w:rPr>
              <w:t>91350000MA3</w:t>
            </w:r>
          </w:p>
        </w:tc>
        <w:tc>
          <w:tcPr>
            <w:tcW w:w="411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pacing w:val="8"/>
                <w:sz w:val="18"/>
                <w:szCs w:val="18"/>
              </w:rPr>
              <w:t>；</w:t>
            </w:r>
            <w:r>
              <w:rPr>
                <w:rFonts w:ascii="宋体" w:hAnsi="宋体" w:cs="宋体" w:eastAsia="宋体" w:hint="default"/>
                <w:spacing w:val="-2"/>
                <w:sz w:val="18"/>
                <w:szCs w:val="18"/>
              </w:rPr>
              <w:t>互</w:t>
            </w:r>
            <w:r>
              <w:rPr>
                <w:rFonts w:ascii="宋体" w:hAnsi="宋体" w:cs="宋体" w:eastAsia="宋体" w:hint="default"/>
                <w:sz w:val="18"/>
                <w:szCs w:val="18"/>
              </w:rPr>
              <w:t>联网信息服务</w:t>
            </w:r>
            <w:r>
              <w:rPr>
                <w:rFonts w:ascii="宋体" w:hAnsi="宋体" w:cs="宋体" w:eastAsia="宋体" w:hint="default"/>
                <w:spacing w:val="-65"/>
                <w:sz w:val="18"/>
                <w:szCs w:val="18"/>
              </w:rPr>
              <w:t>；</w:t>
            </w:r>
            <w:r>
              <w:rPr>
                <w:rFonts w:ascii="宋体" w:hAnsi="宋体" w:cs="宋体" w:eastAsia="宋体" w:hint="default"/>
                <w:sz w:val="18"/>
                <w:szCs w:val="18"/>
              </w:rPr>
              <w:t>信息系统集成服务</w:t>
            </w:r>
            <w:r>
              <w:rPr>
                <w:rFonts w:ascii="宋体" w:hAnsi="宋体" w:cs="宋体" w:eastAsia="宋体" w:hint="default"/>
                <w:spacing w:val="8"/>
                <w:sz w:val="18"/>
                <w:szCs w:val="18"/>
              </w:rPr>
              <w:t>；</w:t>
            </w:r>
            <w:r>
              <w:rPr>
                <w:rFonts w:ascii="宋体" w:hAnsi="宋体" w:cs="宋体" w:eastAsia="宋体" w:hint="default"/>
                <w:sz w:val="18"/>
                <w:szCs w:val="18"/>
              </w:rPr>
              <w:t>建</w:t>
            </w:r>
          </w:p>
        </w:tc>
        <w:tc>
          <w:tcPr>
            <w:tcW w:w="70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left="358" w:right="0"/>
              <w:jc w:val="left"/>
              <w:rPr>
                <w:rFonts w:ascii="Times New Roman" w:hAnsi="Times New Roman" w:cs="Times New Roman" w:eastAsia="Times New Roman" w:hint="default"/>
                <w:sz w:val="18"/>
                <w:szCs w:val="18"/>
              </w:rPr>
            </w:pPr>
            <w:r>
              <w:rPr>
                <w:rFonts w:ascii="Times New Roman"/>
                <w:sz w:val="18"/>
              </w:rPr>
              <w:t>71%</w:t>
            </w:r>
          </w:p>
        </w:tc>
        <w:tc>
          <w:tcPr>
            <w:tcW w:w="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1"/>
              <w:ind w:left="357" w:right="0"/>
              <w:jc w:val="left"/>
              <w:rPr>
                <w:rFonts w:ascii="Times New Roman" w:hAnsi="Times New Roman" w:cs="Times New Roman" w:eastAsia="Times New Roman" w:hint="default"/>
                <w:sz w:val="18"/>
                <w:szCs w:val="18"/>
              </w:rPr>
            </w:pPr>
            <w:r>
              <w:rPr>
                <w:rFonts w:ascii="Times New Roman"/>
                <w:sz w:val="18"/>
              </w:rPr>
              <w:t>71%</w:t>
            </w:r>
          </w:p>
        </w:tc>
        <w:tc>
          <w:tcPr>
            <w:tcW w:w="88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954"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32" w:type="dxa"/>
            <w:tcBorders>
              <w:top w:val="nil" w:sz="6" w:space="0" w:color="auto"/>
              <w:left w:val="single" w:sz="8" w:space="0" w:color="000000"/>
              <w:bottom w:val="nil" w:sz="6" w:space="0" w:color="auto"/>
              <w:right w:val="single" w:sz="8" w:space="0" w:color="000000"/>
            </w:tcBorders>
          </w:tcPr>
          <w:p>
            <w:pPr>
              <w:pStyle w:val="TableParagraph"/>
              <w:spacing w:line="240" w:lineRule="auto" w:before="46"/>
              <w:ind w:left="-1" w:right="0"/>
              <w:jc w:val="left"/>
              <w:rPr>
                <w:rFonts w:ascii="Times New Roman" w:hAnsi="Times New Roman" w:cs="Times New Roman" w:eastAsia="Times New Roman" w:hint="default"/>
                <w:sz w:val="18"/>
                <w:szCs w:val="18"/>
              </w:rPr>
            </w:pPr>
            <w:r>
              <w:rPr>
                <w:rFonts w:ascii="Times New Roman"/>
                <w:sz w:val="18"/>
              </w:rPr>
              <w:t>44K440F</w:t>
            </w:r>
          </w:p>
        </w:tc>
        <w:tc>
          <w:tcPr>
            <w:tcW w:w="411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pacing w:val="-7"/>
                <w:sz w:val="18"/>
                <w:szCs w:val="18"/>
              </w:rPr>
              <w:t>筑智能化工程的设计、施工；电子产品的研发、制造</w:t>
            </w:r>
          </w:p>
        </w:tc>
        <w:tc>
          <w:tcPr>
            <w:tcW w:w="709"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nil" w:sz="6" w:space="0" w:color="auto"/>
              <w:left w:val="single" w:sz="8" w:space="0" w:color="000000"/>
              <w:bottom w:val="nil" w:sz="6" w:space="0" w:color="auto"/>
              <w:right w:val="single" w:sz="8" w:space="0" w:color="000000"/>
            </w:tcBorders>
          </w:tcPr>
          <w:p>
            <w:pPr/>
          </w:p>
        </w:tc>
        <w:tc>
          <w:tcPr>
            <w:tcW w:w="884" w:type="dxa"/>
            <w:tcBorders>
              <w:top w:val="nil" w:sz="6" w:space="0" w:color="auto"/>
              <w:left w:val="single" w:sz="8" w:space="0" w:color="000000"/>
              <w:bottom w:val="nil" w:sz="6" w:space="0" w:color="auto"/>
              <w:right w:val="single" w:sz="8" w:space="0" w:color="000000"/>
            </w:tcBorders>
          </w:tcPr>
          <w:p>
            <w:pPr/>
          </w:p>
        </w:tc>
      </w:tr>
      <w:tr>
        <w:trPr>
          <w:trHeight w:val="308" w:hRule="exact"/>
        </w:trPr>
        <w:tc>
          <w:tcPr>
            <w:tcW w:w="1954" w:type="dxa"/>
            <w:tcBorders>
              <w:top w:val="nil" w:sz="6" w:space="0" w:color="auto"/>
              <w:left w:val="single" w:sz="8" w:space="0" w:color="000000"/>
              <w:bottom w:val="nil" w:sz="6" w:space="0" w:color="auto"/>
              <w:right w:val="single" w:sz="8" w:space="0" w:color="000000"/>
            </w:tcBorders>
          </w:tcPr>
          <w:p>
            <w:pPr/>
          </w:p>
        </w:tc>
        <w:tc>
          <w:tcPr>
            <w:tcW w:w="1132" w:type="dxa"/>
            <w:tcBorders>
              <w:top w:val="nil" w:sz="6" w:space="0" w:color="auto"/>
              <w:left w:val="single" w:sz="8" w:space="0" w:color="000000"/>
              <w:bottom w:val="nil" w:sz="6" w:space="0" w:color="auto"/>
              <w:right w:val="single" w:sz="8" w:space="0" w:color="000000"/>
            </w:tcBorders>
          </w:tcPr>
          <w:p>
            <w:pPr/>
          </w:p>
        </w:tc>
        <w:tc>
          <w:tcPr>
            <w:tcW w:w="4111" w:type="dxa"/>
            <w:tcBorders>
              <w:top w:val="nil" w:sz="6" w:space="0" w:color="auto"/>
              <w:left w:val="single" w:sz="8" w:space="0" w:color="000000"/>
              <w:bottom w:val="nil" w:sz="6" w:space="0" w:color="auto"/>
              <w:right w:val="single" w:sz="8"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pacing w:val="-3"/>
                <w:sz w:val="18"/>
                <w:szCs w:val="18"/>
              </w:rPr>
              <w:t>销售；计算机、软件及辅助设备的批发、零售；国内</w:t>
            </w:r>
          </w:p>
        </w:tc>
        <w:tc>
          <w:tcPr>
            <w:tcW w:w="709" w:type="dxa"/>
            <w:tcBorders>
              <w:top w:val="nil" w:sz="6" w:space="0" w:color="auto"/>
              <w:left w:val="single" w:sz="8" w:space="0" w:color="000000"/>
              <w:bottom w:val="nil" w:sz="6" w:space="0" w:color="auto"/>
              <w:right w:val="single" w:sz="8" w:space="0" w:color="000000"/>
            </w:tcBorders>
          </w:tcPr>
          <w:p>
            <w:pPr/>
          </w:p>
        </w:tc>
        <w:tc>
          <w:tcPr>
            <w:tcW w:w="708" w:type="dxa"/>
            <w:tcBorders>
              <w:top w:val="nil" w:sz="6" w:space="0" w:color="auto"/>
              <w:left w:val="single" w:sz="8" w:space="0" w:color="000000"/>
              <w:bottom w:val="nil" w:sz="6" w:space="0" w:color="auto"/>
              <w:right w:val="single" w:sz="8" w:space="0" w:color="000000"/>
            </w:tcBorders>
          </w:tcPr>
          <w:p>
            <w:pPr/>
          </w:p>
        </w:tc>
        <w:tc>
          <w:tcPr>
            <w:tcW w:w="884" w:type="dxa"/>
            <w:tcBorders>
              <w:top w:val="nil" w:sz="6" w:space="0" w:color="auto"/>
              <w:left w:val="single" w:sz="8" w:space="0" w:color="000000"/>
              <w:bottom w:val="nil" w:sz="6" w:space="0" w:color="auto"/>
              <w:right w:val="single" w:sz="8" w:space="0" w:color="000000"/>
            </w:tcBorders>
          </w:tcPr>
          <w:p>
            <w:pPr/>
          </w:p>
        </w:tc>
      </w:tr>
      <w:tr>
        <w:trPr>
          <w:trHeight w:val="332" w:hRule="exact"/>
        </w:trPr>
        <w:tc>
          <w:tcPr>
            <w:tcW w:w="1954" w:type="dxa"/>
            <w:tcBorders>
              <w:top w:val="nil" w:sz="6" w:space="0" w:color="auto"/>
              <w:left w:val="single" w:sz="8" w:space="0" w:color="000000"/>
              <w:bottom w:val="single" w:sz="8" w:space="0" w:color="000000"/>
              <w:right w:val="single" w:sz="8" w:space="0" w:color="000000"/>
            </w:tcBorders>
          </w:tcPr>
          <w:p>
            <w:pPr/>
          </w:p>
        </w:tc>
        <w:tc>
          <w:tcPr>
            <w:tcW w:w="1132" w:type="dxa"/>
            <w:tcBorders>
              <w:top w:val="nil" w:sz="6" w:space="0" w:color="auto"/>
              <w:left w:val="single" w:sz="8" w:space="0" w:color="000000"/>
              <w:bottom w:val="single" w:sz="8" w:space="0" w:color="000000"/>
              <w:right w:val="single" w:sz="8" w:space="0" w:color="000000"/>
            </w:tcBorders>
          </w:tcPr>
          <w:p>
            <w:pPr/>
          </w:p>
        </w:tc>
        <w:tc>
          <w:tcPr>
            <w:tcW w:w="41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贸易代理；信息技术咨询服务；对外贸易</w:t>
            </w:r>
          </w:p>
        </w:tc>
        <w:tc>
          <w:tcPr>
            <w:tcW w:w="709" w:type="dxa"/>
            <w:tcBorders>
              <w:top w:val="nil" w:sz="6" w:space="0" w:color="auto"/>
              <w:left w:val="single" w:sz="8" w:space="0" w:color="000000"/>
              <w:bottom w:val="single" w:sz="8" w:space="0" w:color="000000"/>
              <w:right w:val="single" w:sz="8" w:space="0" w:color="000000"/>
            </w:tcBorders>
          </w:tcPr>
          <w:p>
            <w:pPr/>
          </w:p>
        </w:tc>
        <w:tc>
          <w:tcPr>
            <w:tcW w:w="708" w:type="dxa"/>
            <w:tcBorders>
              <w:top w:val="nil" w:sz="6" w:space="0" w:color="auto"/>
              <w:left w:val="single" w:sz="8" w:space="0" w:color="000000"/>
              <w:bottom w:val="single" w:sz="8" w:space="0" w:color="000000"/>
              <w:right w:val="single" w:sz="8" w:space="0" w:color="000000"/>
            </w:tcBorders>
          </w:tcPr>
          <w:p>
            <w:pPr/>
          </w:p>
        </w:tc>
        <w:tc>
          <w:tcPr>
            <w:tcW w:w="884" w:type="dxa"/>
            <w:tcBorders>
              <w:top w:val="nil" w:sz="6" w:space="0" w:color="auto"/>
              <w:left w:val="single" w:sz="8" w:space="0" w:color="000000"/>
              <w:bottom w:val="single" w:sz="8" w:space="0" w:color="000000"/>
              <w:right w:val="single" w:sz="8"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right="704"/>
        <w:jc w:val="left"/>
      </w:pPr>
      <w:r>
        <w:rPr/>
        <w:t>续</w:t>
      </w:r>
      <w:r>
        <w:rPr>
          <w:rFonts w:ascii="Times New Roman" w:hAnsi="Times New Roman" w:cs="Times New Roman" w:eastAsia="Times New Roman" w:hint="default"/>
        </w:rPr>
        <w:t>2</w:t>
      </w:r>
      <w:r>
        <w:rPr/>
        <w:t>：</w:t>
      </w:r>
    </w:p>
    <w:p>
      <w:pPr>
        <w:spacing w:line="240" w:lineRule="auto" w:before="3"/>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3119"/>
        <w:gridCol w:w="1357"/>
        <w:gridCol w:w="1903"/>
        <w:gridCol w:w="1193"/>
        <w:gridCol w:w="1926"/>
      </w:tblGrid>
      <w:tr>
        <w:trPr>
          <w:trHeight w:val="664" w:hRule="exact"/>
        </w:trPr>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5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88" w:right="217" w:hanging="270"/>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190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30" w:right="41" w:hanging="90"/>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1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9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52" w:right="53"/>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福建榕易付网络科技有限公司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41.74</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17.80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-3,578.95</w:t>
            </w:r>
            <w:r>
              <w:rPr>
                <w:rFonts w:ascii="Times New Roman"/>
                <w:sz w:val="18"/>
              </w:rPr>
            </w:r>
          </w:p>
        </w:tc>
        <w:tc>
          <w:tcPr>
            <w:tcW w:w="1926"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c>
          <w:tcPr>
            <w:tcW w:w="1903" w:type="dxa"/>
            <w:tcBorders>
              <w:top w:val="single" w:sz="8" w:space="0" w:color="000000"/>
              <w:left w:val="single" w:sz="8" w:space="0" w:color="000000"/>
              <w:bottom w:val="single" w:sz="8" w:space="0" w:color="000000"/>
              <w:right w:val="single" w:sz="8" w:space="0" w:color="000000"/>
            </w:tcBorders>
          </w:tcPr>
          <w:p>
            <w:pP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14,500,116.29</w:t>
            </w:r>
          </w:p>
        </w:tc>
        <w:tc>
          <w:tcPr>
            <w:tcW w:w="1926"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00" w:lineRule="auto" w:before="10"/>
        <w:ind w:right="0"/>
        <w:jc w:val="left"/>
      </w:pPr>
      <w:r>
        <w:rPr>
          <w:spacing w:val="-2"/>
        </w:rPr>
        <w:t>说明：福建榕易付网络科技有限公司成立于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月，浙江检榕网络科技有限公司成立于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月，榕基国计（北京）信</w:t>
      </w:r>
      <w:r>
        <w:rPr>
          <w:spacing w:val="-56"/>
        </w:rPr>
        <w:t> </w:t>
      </w:r>
      <w:r>
        <w:rPr>
          <w:spacing w:val="-56"/>
        </w:rPr>
      </w:r>
      <w:r>
        <w:rPr/>
        <w:t>息技术有限公司成立于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月，福建星榕基信息科技有限责任公司成立于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spacing w:line="240" w:lineRule="auto" w:before="1"/>
        <w:rPr>
          <w:rFonts w:ascii="宋体" w:hAnsi="宋体" w:cs="宋体" w:eastAsia="宋体" w:hint="default"/>
          <w:sz w:val="22"/>
          <w:szCs w:val="22"/>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70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榕基五一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福建榕易付网络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马鞍山榕基置业 投资有限公司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沈阳榕基信息技 术有限公司（孙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河南裕信德置业 有限公司（孙公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浙江检榕网络科 技有限公司（孙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榕基国计 信息技术有限公 司（孙公司）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left="153" w:right="1851"/>
        <w:jc w:val="left"/>
      </w:pPr>
      <w:r>
        <w:rPr/>
        <w:pict>
          <v:shape style="position:absolute;margin-left:92.340302pt;margin-top:-51.317974pt;width:101.05pt;height:50.85pt;mso-position-horizontal-relative:page;mso-position-vertical-relative:paragraph;z-index:-1139608" type="#_x0000_t202" filled="false" stroked="false">
            <v:textbox inset="0,0,0,0">
              <w:txbxContent>
                <w:p>
                  <w:pPr>
                    <w:pStyle w:val="BodyText"/>
                    <w:spacing w:line="240" w:lineRule="auto" w:before="51"/>
                    <w:ind w:left="0" w:right="0"/>
                    <w:jc w:val="left"/>
                  </w:pPr>
                  <w:r>
                    <w:rPr/>
                    <w:t>（北京）</w:t>
                  </w:r>
                </w:p>
              </w:txbxContent>
            </v:textbox>
            <w10:wrap type="none"/>
          </v:shape>
        </w:pict>
      </w:r>
      <w:r>
        <w:rPr/>
        <w:pict>
          <v:group style="position:absolute;margin-left:125.519997pt;margin-top:-51.317974pt;width:67.9pt;height:50.85pt;mso-position-horizontal-relative:page;mso-position-vertical-relative:paragraph;z-index:-1139584" coordorigin="2510,-1026" coordsize="1358,1017">
            <v:group style="position:absolute;left:2510;top:-1026;width:1358;height:1017" coordorigin="2510,-1026" coordsize="1358,1017">
              <v:shape style="position:absolute;left:2510;top:-1026;width:1358;height:1017" coordorigin="2510,-1026" coordsize="1358,1017" path="m2510,-10l3868,-10,3868,-1026,2510,-1026,2510,-10xe" filled="true" fillcolor="#ffffff" stroked="false">
                <v:path arrowok="t"/>
                <v:fill type="solid"/>
              </v:shape>
            </v:group>
            <v:group style="position:absolute;left:2533;top:-714;width:1311;height:393" coordorigin="2533,-714" coordsize="1311,393">
              <v:shape style="position:absolute;left:2533;top:-714;width:1311;height:393" coordorigin="2533,-714" coordsize="1311,393" path="m2533,-322l3844,-322,3844,-714,2533,-714,2533,-322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3" w:right="6711"/>
        <w:jc w:val="left"/>
      </w:pPr>
      <w:r>
        <w:rPr/>
        <w:t>确定公司是代理人还是委托人的依据： 其他说明：</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浙江榕基信息技术有限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159,558.68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702,401.16</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福建星榕基信息科技有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14,500,116.29</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浙江检榕网络科技有限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54.10%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-536,496.27</w:t>
            </w:r>
            <w:r>
              <w:rPr>
                <w:rFonts w:ascii="Times New Roman"/>
                <w:sz w:val="18"/>
              </w:rPr>
            </w:r>
          </w:p>
        </w:tc>
      </w:tr>
    </w:tbl>
    <w:p>
      <w:pPr>
        <w:pStyle w:val="BodyText"/>
        <w:spacing w:line="360" w:lineRule="auto" w:before="51"/>
        <w:ind w:left="153" w:right="5451"/>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浙江榕</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基信息</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25,510,4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6,962,38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32,472,8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25,448,8</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25,448,8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23,977,0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1,928,24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25,905,2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20,476,8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20,476,8</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39.16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25.06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13.51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13.51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49.31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24.58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24.58</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福建星</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榕基信 息科技 有限责</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50,030,0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50,030,0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浙江检</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榕网络</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130,076.</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130,076.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704,347.</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704,347.</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63</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74</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74</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浙江榕基信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14,823,446.6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1,595,586.82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1,595,586.82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4,801,688.71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14,119,131.5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-2,830,187.23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-2,830,187.23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-14,097,554.1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信息科技有</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08" w:right="0"/>
              <w:jc w:val="left"/>
              <w:rPr>
                <w:rFonts w:ascii="Times New Roman" w:hAnsi="Times New Roman" w:cs="Times New Roman" w:eastAsia="Times New Roman" w:hint="default"/>
                <w:sz w:val="18"/>
                <w:szCs w:val="18"/>
              </w:rPr>
            </w:pPr>
            <w:r>
              <w:rPr>
                <w:rFonts w:ascii="Times New Roman"/>
                <w:sz w:val="18"/>
              </w:rPr>
              <w:t>30,000.00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400.99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400.99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w:t>
            </w:r>
          </w:p>
        </w:tc>
        <w:tc>
          <w:tcPr>
            <w:tcW w:w="1061"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络科技有限</w:t>
            </w:r>
          </w:p>
        </w:tc>
        <w:tc>
          <w:tcPr>
            <w:tcW w:w="1061"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-991,675.17</w:t>
            </w:r>
            <w:r>
              <w:rPr>
                <w:rFonts w:ascii="Times New Roman"/>
                <w:sz w:val="18"/>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-991,675.17</w:t>
            </w:r>
            <w:r>
              <w:rPr>
                <w:rFonts w:ascii="Times New Roman"/>
                <w:sz w:val="18"/>
              </w:rPr>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-404,001.50</w:t>
            </w:r>
            <w:r>
              <w:rPr>
                <w:rFonts w:ascii="Times New Roman"/>
                <w:sz w:val="18"/>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其他说明：</w:t>
      </w:r>
    </w:p>
    <w:p>
      <w:pPr>
        <w:pStyle w:val="BodyText"/>
        <w:spacing w:line="300" w:lineRule="auto" w:before="116"/>
        <w:ind w:left="153" w:right="0"/>
        <w:jc w:val="left"/>
      </w:pPr>
      <w:r>
        <w:rPr>
          <w:spacing w:val="-2"/>
        </w:rPr>
        <w:t>福建榕易付网络科技有限公司成立于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月，浙江检榕网络科技有限公司成立于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月，榕基国计（北京）信息技术</w:t>
      </w:r>
      <w:r>
        <w:rPr>
          <w:spacing w:val="-56"/>
        </w:rPr>
        <w:t> </w:t>
      </w:r>
      <w:r>
        <w:rPr>
          <w:spacing w:val="-56"/>
        </w:rPr>
      </w:r>
      <w:r>
        <w:rPr/>
        <w:t>有限公司成立于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月，福建星榕基信息科技有限责任公司成立于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p>
    <w:p>
      <w:pPr>
        <w:spacing w:line="240" w:lineRule="auto" w:before="1"/>
        <w:rPr>
          <w:rFonts w:ascii="宋体" w:hAnsi="宋体" w:cs="宋体" w:eastAsia="宋体" w:hint="default"/>
          <w:sz w:val="22"/>
          <w:szCs w:val="22"/>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870"/>
        <w:jc w:val="left"/>
      </w:pPr>
      <w:r>
        <w:rPr/>
        <w:t>无。 其他说明： 无。</w:t>
      </w:r>
    </w:p>
    <w:p>
      <w:pPr>
        <w:spacing w:line="240" w:lineRule="auto" w:before="1"/>
        <w:rPr>
          <w:rFonts w:ascii="宋体" w:hAnsi="宋体" w:cs="宋体" w:eastAsia="宋体" w:hint="default"/>
          <w:sz w:val="20"/>
          <w:szCs w:val="20"/>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e1ffff"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e1ffff"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8001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福建文鑫莲业股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建宁县将屯工业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福建亿榕信息技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704"/>
        <w:jc w:val="left"/>
      </w:pPr>
      <w:r>
        <w:rPr/>
        <w:t>在合营企业或联营企业的持股比例不同于表决权比例的说明：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704"/>
        <w:jc w:val="left"/>
      </w:pPr>
      <w:r>
        <w:rPr/>
        <w:t>注：福建文鑫莲业股份有限公司董事会成员中的</w:t>
      </w:r>
      <w:r>
        <w:rPr>
          <w:rFonts w:ascii="Times New Roman" w:hAnsi="Times New Roman" w:cs="Times New Roman" w:eastAsia="Times New Roman" w:hint="default"/>
        </w:rPr>
        <w:t>2</w:t>
      </w:r>
      <w:r>
        <w:rPr/>
        <w:t>人由本公司委派</w:t>
      </w:r>
    </w:p>
    <w:p>
      <w:pPr>
        <w:pStyle w:val="BodyText"/>
        <w:spacing w:line="240" w:lineRule="auto" w:before="103"/>
        <w:ind w:left="153" w:right="70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138,272,242.09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385,852,234.68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104,472,105.73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291,221,128.64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57,987,173.07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87,678,004.25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44,748,662.16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67,160,661.86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196,259,415.16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473,530,238.93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149,220,767.89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358,381,790.50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48,922,153.08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314,504,268.07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58,081,687.11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241,494,530.41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41,338,621.95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15,683,434.95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90,260,775.03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314,504,268.07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73,765,122.06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241,494,530.41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105,998,640.13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159,025,970.86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75,455,645.83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116,887,260.09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2,084,150.09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103,914,490.04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159,025,970.86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75,455,645.83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116,887,260.09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15,899,796.02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55,659,089.81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11,318,346.87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40,910,541.04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27,761,670.41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55,659,089.81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27,097,438.44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40,910,541.04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129,692,699.34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377,628,420.70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127,474,302.80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231,114,485.42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49,138,710.77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3,373,406.62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34,264,262.63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49,138,710.77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3,373,406.62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34,264,262.63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-504,430.16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-245,650.20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-504,430.16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-245,650.20</w:t>
            </w:r>
          </w:p>
        </w:tc>
      </w:tr>
    </w:tbl>
    <w:p>
      <w:pPr>
        <w:pStyle w:val="BodyText"/>
        <w:spacing w:line="439" w:lineRule="auto" w:before="51"/>
        <w:ind w:right="4460"/>
        <w:jc w:val="left"/>
      </w:pPr>
      <w:r>
        <w:rPr/>
        <w:t>其他说明 说明：建宁县日升投资有限公司董事会成员中的</w:t>
      </w:r>
      <w:r>
        <w:rPr>
          <w:rFonts w:ascii="Times New Roman" w:hAnsi="Times New Roman" w:cs="Times New Roman" w:eastAsia="Times New Roman" w:hint="default"/>
        </w:rPr>
        <w:t>2</w:t>
      </w:r>
      <w:r>
        <w:rPr/>
        <w:t>人由本公司委派。</w:t>
      </w:r>
    </w:p>
    <w:p>
      <w:pPr>
        <w:spacing w:line="240" w:lineRule="auto" w:before="3"/>
        <w:rPr>
          <w:rFonts w:ascii="宋体" w:hAnsi="宋体" w:cs="宋体" w:eastAsia="宋体" w:hint="default"/>
          <w:sz w:val="13"/>
          <w:szCs w:val="13"/>
        </w:rPr>
      </w:pPr>
    </w:p>
    <w:p>
      <w:pPr>
        <w:pStyle w:val="Heading3"/>
        <w:spacing w:line="240" w:lineRule="auto"/>
        <w:ind w:right="704"/>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53" w:right="4551"/>
        <w:jc w:val="left"/>
      </w:pPr>
      <w:r>
        <w:rPr/>
        <w:t>在共同经营中的持股比例或享有的份额不同于表决权比例的说明： 共同经营为单独主体的，分类为共同经营的依据：</w:t>
      </w:r>
    </w:p>
    <w:p>
      <w:pPr>
        <w:pStyle w:val="BodyText"/>
        <w:spacing w:line="240" w:lineRule="auto" w:before="29"/>
        <w:ind w:left="153"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t>未纳入合并财务报表范围的结构化主体的相关说明：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96"/>
        <w:jc w:val="left"/>
      </w:pPr>
      <w:r>
        <w:rPr>
          <w:spacing w:val="-2"/>
        </w:rPr>
        <w:t>本集团的主要金融工具包括货币资金、应收账款、应收票据、应收利息、其他应收款、其他流动资产、可供出售金融资产、</w:t>
      </w:r>
      <w:r>
        <w:rPr/>
        <w:t> </w:t>
      </w:r>
      <w:r>
        <w:rPr>
          <w:spacing w:val="-2"/>
        </w:rPr>
        <w:t>应付账款、应付利息、应付票据、应付股利、其他应付款及短期借款。各项金融工具的详细情况已于相关附注内披露。与这</w:t>
      </w:r>
      <w:r>
        <w:rPr>
          <w:spacing w:val="-68"/>
        </w:rPr>
        <w:t> </w:t>
      </w:r>
      <w:r>
        <w:rPr>
          <w:spacing w:val="-68"/>
        </w:rPr>
      </w:r>
      <w:r>
        <w:rPr>
          <w:spacing w:val="-2"/>
        </w:rPr>
        <w:t>些金融工具有关的风险，以及本集团为降低这些风险所采取的风险管理政策如下所述。本集团管理层对这些风险敞口进行管</w:t>
      </w:r>
      <w:r>
        <w:rPr>
          <w:spacing w:val="-64"/>
        </w:rPr>
        <w:t> </w:t>
      </w:r>
      <w:r>
        <w:rPr>
          <w:spacing w:val="-64"/>
        </w:rPr>
      </w:r>
      <w:r>
        <w:rPr/>
        <w:t>理和监控以确保将上述风险控制在限定的范围之内。</w:t>
      </w:r>
    </w:p>
    <w:p>
      <w:pPr>
        <w:spacing w:line="240" w:lineRule="auto" w:before="12"/>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1</w:t>
      </w:r>
      <w:r>
        <w:rPr/>
        <w:t>、风险管理目标和政策</w:t>
      </w:r>
    </w:p>
    <w:p>
      <w:pPr>
        <w:spacing w:line="240" w:lineRule="auto" w:before="4"/>
        <w:rPr>
          <w:rFonts w:ascii="宋体" w:hAnsi="宋体" w:cs="宋体" w:eastAsia="宋体" w:hint="default"/>
          <w:sz w:val="21"/>
          <w:szCs w:val="21"/>
        </w:rPr>
      </w:pPr>
    </w:p>
    <w:p>
      <w:pPr>
        <w:pStyle w:val="BodyText"/>
        <w:spacing w:line="316" w:lineRule="auto"/>
        <w:ind w:right="190"/>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4"/>
        </w:rPr>
        <w:t> </w:t>
      </w:r>
      <w:r>
        <w:rPr>
          <w:spacing w:val="-64"/>
        </w:rPr>
      </w:r>
      <w:r>
        <w:rPr>
          <w:spacing w:val="-2"/>
        </w:rPr>
        <w:t>部控制程序，以监控本集团的风险水平。本集团会定期审阅这些风险管理政策及有关内部控制系统，以适应市场情况或本集</w:t>
      </w:r>
      <w:r>
        <w:rPr>
          <w:spacing w:val="-66"/>
        </w:rPr>
        <w:t> </w:t>
      </w:r>
      <w:r>
        <w:rPr>
          <w:spacing w:val="-66"/>
        </w:rPr>
      </w:r>
      <w:r>
        <w:rPr/>
        <w:t>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17"/>
          <w:szCs w:val="17"/>
        </w:rPr>
      </w:pPr>
    </w:p>
    <w:p>
      <w:pPr>
        <w:pStyle w:val="BodyText"/>
        <w:spacing w:line="240" w:lineRule="auto"/>
        <w:ind w:right="0"/>
        <w:jc w:val="both"/>
      </w:pPr>
      <w:r>
        <w:rPr/>
        <w:t>本集团的金融工具导致的主要风险是信用风险、流动性风险、市场风险（包括利率风险和汇率风险）。</w:t>
      </w:r>
    </w:p>
    <w:p>
      <w:pPr>
        <w:spacing w:line="240" w:lineRule="auto" w:before="5"/>
        <w:rPr>
          <w:rFonts w:ascii="宋体" w:hAnsi="宋体" w:cs="宋体" w:eastAsia="宋体" w:hint="default"/>
          <w:sz w:val="22"/>
          <w:szCs w:val="22"/>
        </w:rPr>
      </w:pPr>
    </w:p>
    <w:p>
      <w:pPr>
        <w:pStyle w:val="BodyText"/>
        <w:spacing w:line="316" w:lineRule="auto"/>
        <w:ind w:right="108"/>
        <w:jc w:val="both"/>
      </w:pPr>
      <w:r>
        <w:rPr>
          <w:spacing w:val="-2"/>
        </w:rPr>
        <w:t>董事会负责规划并建立本集团的风险管理架构，指定本集团的风险管理政策和相关指引并监督风险管理措施的执行情况。本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集团已制定风险管理政策以识别和分析本集团所面临的风险，这些风险管理政策对特定风险进行了明确规定，涵盖了信用风</w:t>
      </w:r>
      <w:r>
        <w:rPr>
          <w:spacing w:val="-64"/>
        </w:rPr>
        <w:t> </w:t>
      </w:r>
      <w:r>
        <w:rPr>
          <w:spacing w:val="-64"/>
        </w:rPr>
      </w:r>
      <w:r>
        <w:rPr>
          <w:spacing w:val="-2"/>
        </w:rPr>
        <w:t>险、流动性风险和市场风险管理等诸多方面。本集团定期评估市场环境及本集团经营活动的变化以决定是否对风险管理政策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6"/>
        </w:rPr>
        <w:t> </w:t>
      </w:r>
      <w:r>
        <w:rPr>
          <w:spacing w:val="-66"/>
        </w:rPr>
      </w:r>
      <w:r>
        <w:rPr/>
        <w:t>上报本集团的审计委员会。</w:t>
      </w:r>
    </w:p>
    <w:p>
      <w:pPr>
        <w:spacing w:line="240" w:lineRule="auto" w:before="12"/>
        <w:rPr>
          <w:rFonts w:ascii="宋体" w:hAnsi="宋体" w:cs="宋体" w:eastAsia="宋体" w:hint="default"/>
          <w:sz w:val="17"/>
          <w:szCs w:val="17"/>
        </w:rPr>
      </w:pPr>
    </w:p>
    <w:p>
      <w:pPr>
        <w:pStyle w:val="BodyText"/>
        <w:spacing w:line="316" w:lineRule="auto"/>
        <w:ind w:right="108"/>
        <w:jc w:val="both"/>
      </w:pPr>
      <w:r>
        <w:rPr/>
        <w:t>本集团通过适当的多样化投资及业务组合来分散金融工具风险，并通过制定相应的风险管理政策减少集中于任何单一行业、 特定地区或特定交易对手方的风险。</w:t>
      </w:r>
    </w:p>
    <w:p>
      <w:pPr>
        <w:spacing w:line="240" w:lineRule="auto" w:before="12"/>
        <w:rPr>
          <w:rFonts w:ascii="宋体" w:hAnsi="宋体" w:cs="宋体" w:eastAsia="宋体" w:hint="default"/>
          <w:sz w:val="17"/>
          <w:szCs w:val="17"/>
        </w:rPr>
      </w:pPr>
    </w:p>
    <w:p>
      <w:pPr>
        <w:pStyle w:val="BodyText"/>
        <w:spacing w:line="523" w:lineRule="auto"/>
        <w:ind w:right="2970"/>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240" w:lineRule="auto" w:before="80"/>
        <w:ind w:right="0"/>
        <w:jc w:val="both"/>
      </w:pPr>
      <w:r>
        <w:rPr/>
        <w:t>本集团银行存款主要存放于国有银行和其它大中型上市银行，本集团预期银行存款不存在重大的信用风险。</w:t>
      </w:r>
    </w:p>
    <w:p>
      <w:pPr>
        <w:spacing w:line="240" w:lineRule="auto" w:before="5"/>
        <w:rPr>
          <w:rFonts w:ascii="宋体" w:hAnsi="宋体" w:cs="宋体" w:eastAsia="宋体" w:hint="default"/>
          <w:sz w:val="22"/>
          <w:szCs w:val="22"/>
        </w:rPr>
      </w:pPr>
    </w:p>
    <w:p>
      <w:pPr>
        <w:pStyle w:val="BodyText"/>
        <w:spacing w:line="316" w:lineRule="auto"/>
        <w:ind w:right="189"/>
        <w:jc w:val="both"/>
      </w:pPr>
      <w:r>
        <w:rPr>
          <w:spacing w:val="-2"/>
        </w:rPr>
        <w:t>对于应收款项，本集团设定相关政策以控制信用风险敞口。本集团基于对债务人的财务状况、外部评级、从第三方获取担保</w:t>
      </w:r>
      <w:r>
        <w:rPr>
          <w:spacing w:val="-66"/>
        </w:rPr>
        <w:t> </w:t>
      </w:r>
      <w:r>
        <w:rPr>
          <w:spacing w:val="-66"/>
        </w:rPr>
      </w:r>
      <w:r>
        <w:rPr>
          <w:spacing w:val="-2"/>
        </w:rPr>
        <w:t>的可能性、信用记录及其它因素诸如目前市场状况等评估债务人的信用资质并设置相应欠款额度与信用期限。本集团已采取</w:t>
      </w:r>
      <w:r>
        <w:rPr>
          <w:spacing w:val="-64"/>
        </w:rPr>
        <w:t> </w:t>
      </w:r>
      <w:r>
        <w:rPr>
          <w:spacing w:val="-64"/>
        </w:rPr>
      </w:r>
      <w:r>
        <w:rPr>
          <w:spacing w:val="-2"/>
        </w:rPr>
        <w:t>政策只与信用良好的交易对手方合作并在有必要时获取足够的抵押品，以此缓解因交易对手方未能履行合同义务而产生财务</w:t>
      </w:r>
      <w:r>
        <w:rPr>
          <w:spacing w:val="-64"/>
        </w:rPr>
        <w:t> </w:t>
      </w:r>
      <w:r>
        <w:rPr>
          <w:spacing w:val="-64"/>
        </w:rPr>
      </w:r>
      <w:r>
        <w:rPr>
          <w:spacing w:val="-2"/>
        </w:rPr>
        <w:t>损失的风险。本集团会定期对债务人信用记录进行监控，对于信用记录不良的债务人，本集团会采用书面催款、缩短信用期</w:t>
      </w:r>
      <w:r>
        <w:rPr>
          <w:spacing w:val="-66"/>
        </w:rPr>
        <w:t> </w:t>
      </w:r>
      <w:r>
        <w:rPr>
          <w:spacing w:val="-66"/>
        </w:rPr>
      </w:r>
      <w:r>
        <w:rPr/>
        <w:t>或取消信用期等方式，以确保本集团的整体信用风险在可控的范围内。</w:t>
      </w:r>
    </w:p>
    <w:p>
      <w:pPr>
        <w:spacing w:line="240" w:lineRule="auto" w:before="12"/>
        <w:rPr>
          <w:rFonts w:ascii="宋体" w:hAnsi="宋体" w:cs="宋体" w:eastAsia="宋体" w:hint="default"/>
          <w:sz w:val="17"/>
          <w:szCs w:val="17"/>
        </w:rPr>
      </w:pPr>
    </w:p>
    <w:p>
      <w:pPr>
        <w:pStyle w:val="BodyText"/>
        <w:spacing w:line="316" w:lineRule="auto"/>
        <w:ind w:right="191"/>
        <w:jc w:val="both"/>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w:t>
      </w:r>
    </w:p>
    <w:p>
      <w:pPr>
        <w:spacing w:line="240" w:lineRule="auto" w:before="12"/>
        <w:rPr>
          <w:rFonts w:ascii="宋体" w:hAnsi="宋体" w:cs="宋体" w:eastAsia="宋体" w:hint="default"/>
          <w:sz w:val="17"/>
          <w:szCs w:val="17"/>
        </w:rPr>
      </w:pPr>
    </w:p>
    <w:p>
      <w:pPr>
        <w:pStyle w:val="BodyText"/>
        <w:spacing w:line="316" w:lineRule="auto"/>
        <w:ind w:right="191"/>
        <w:jc w:val="both"/>
      </w:pPr>
      <w:r>
        <w:rPr>
          <w:spacing w:val="-2"/>
        </w:rPr>
        <w:t>本集团所承受的最大信用风险敞口为资产负债表中每项金融资产的账面金额。本集团没有提供任何其他可能令本集团承受信</w:t>
      </w:r>
      <w:r>
        <w:rPr>
          <w:spacing w:val="-64"/>
        </w:rPr>
        <w:t> </w:t>
      </w:r>
      <w:r>
        <w:rPr>
          <w:spacing w:val="-64"/>
        </w:rPr>
      </w:r>
      <w:r>
        <w:rPr/>
        <w:t>用风险的担保。</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3" w:right="272"/>
        <w:jc w:val="both"/>
      </w:pPr>
      <w:r>
        <w:rPr/>
        <w:t>本集团应收账款中，欠款金额前五大客户的应收账款占本集团应收账款总额的</w:t>
      </w:r>
      <w:r>
        <w:rPr>
          <w:rFonts w:ascii="Times New Roman" w:hAnsi="Times New Roman" w:cs="Times New Roman" w:eastAsia="Times New Roman" w:hint="default"/>
        </w:rPr>
        <w:t>17.04%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22.21%</w:t>
      </w:r>
      <w:r>
        <w:rPr/>
        <w:t>）；本集团其他应</w:t>
      </w:r>
      <w:r>
        <w:rPr>
          <w:spacing w:val="-37"/>
        </w:rPr>
        <w:t> </w:t>
      </w:r>
      <w:r>
        <w:rPr>
          <w:spacing w:val="-37"/>
        </w:rPr>
      </w:r>
      <w:r>
        <w:rPr/>
        <w:t>收款中，欠款金额前五大公司的其他应收款占本集团其他应收款总额的</w:t>
      </w:r>
      <w:r>
        <w:rPr>
          <w:rFonts w:ascii="Times New Roman" w:hAnsi="Times New Roman" w:cs="Times New Roman" w:eastAsia="Times New Roman" w:hint="default"/>
        </w:rPr>
        <w:t>15.74%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15.17%</w:t>
      </w:r>
      <w:r>
        <w:rPr/>
        <w:t>）。</w:t>
      </w:r>
    </w:p>
    <w:p>
      <w:pPr>
        <w:spacing w:line="240" w:lineRule="auto" w:before="7"/>
        <w:rPr>
          <w:rFonts w:ascii="宋体" w:hAnsi="宋体" w:cs="宋体" w:eastAsia="宋体" w:hint="default"/>
          <w:sz w:val="17"/>
          <w:szCs w:val="17"/>
        </w:rPr>
      </w:pPr>
    </w:p>
    <w:p>
      <w:pPr>
        <w:pStyle w:val="BodyText"/>
        <w:spacing w:line="508" w:lineRule="auto"/>
        <w:ind w:left="153" w:right="1791"/>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316" w:lineRule="auto" w:before="91"/>
        <w:ind w:left="153" w:right="270"/>
        <w:jc w:val="both"/>
      </w:pPr>
      <w:r>
        <w:rPr>
          <w:spacing w:val="-2"/>
        </w:rPr>
        <w:t>管理流动风险时，本集团保持管理层认为充分的现金及现金等价物并对其进行监控，以满足本集团经营需要，并降低现金流</w:t>
      </w:r>
      <w:r>
        <w:rPr>
          <w:spacing w:val="-66"/>
        </w:rPr>
        <w:t> </w:t>
      </w:r>
      <w:r>
        <w:rPr>
          <w:spacing w:val="-66"/>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line="240" w:lineRule="auto" w:before="12"/>
        <w:rPr>
          <w:rFonts w:ascii="宋体" w:hAnsi="宋体" w:cs="宋体" w:eastAsia="宋体" w:hint="default"/>
          <w:sz w:val="17"/>
          <w:szCs w:val="17"/>
        </w:rPr>
      </w:pPr>
    </w:p>
    <w:p>
      <w:pPr>
        <w:pStyle w:val="BodyText"/>
        <w:spacing w:line="300" w:lineRule="auto"/>
        <w:ind w:left="153" w:right="270"/>
        <w:jc w:val="both"/>
      </w:pPr>
      <w:r>
        <w:rPr>
          <w:spacing w:val="-2"/>
        </w:rPr>
        <w:t>本集团通过经营业务产生的资金及银行及其他借款来筹措营运资金。于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日，本集团尚未使用的银行借款额度为</w:t>
      </w:r>
      <w:r>
        <w:rPr>
          <w:spacing w:val="-56"/>
        </w:rPr>
        <w:t> </w:t>
      </w:r>
      <w:r>
        <w:rPr>
          <w:spacing w:val="-56"/>
        </w:rPr>
      </w:r>
      <w:r>
        <w:rPr/>
        <w:t>人民币</w:t>
      </w:r>
      <w:r>
        <w:rPr>
          <w:rFonts w:ascii="Times New Roman" w:hAnsi="Times New Roman" w:cs="Times New Roman" w:eastAsia="Times New Roman" w:hint="default"/>
        </w:rPr>
        <w:t>153,700.00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143,100.00</w:t>
      </w:r>
      <w:r>
        <w:rPr/>
        <w:t>万元）。</w:t>
      </w:r>
    </w:p>
    <w:p>
      <w:pPr>
        <w:spacing w:line="240" w:lineRule="auto" w:before="7"/>
        <w:rPr>
          <w:rFonts w:ascii="宋体" w:hAnsi="宋体" w:cs="宋体" w:eastAsia="宋体" w:hint="default"/>
          <w:sz w:val="17"/>
          <w:szCs w:val="17"/>
        </w:rPr>
      </w:pPr>
    </w:p>
    <w:p>
      <w:pPr>
        <w:pStyle w:val="BodyText"/>
        <w:spacing w:line="240" w:lineRule="auto"/>
        <w:ind w:left="153" w:right="0"/>
        <w:jc w:val="both"/>
      </w:pPr>
      <w:r>
        <w:rPr/>
        <w:t>期末本集团持有的金融负债和表外担保项目按未折现剩余合同现金流量的到期期限分析如下（单位：人民币元）：</w:t>
      </w:r>
    </w:p>
    <w:p>
      <w:pPr>
        <w:spacing w:line="240" w:lineRule="auto" w:before="7"/>
        <w:rPr>
          <w:rFonts w:ascii="宋体" w:hAnsi="宋体" w:cs="宋体" w:eastAsia="宋体" w:hint="default"/>
          <w:sz w:val="21"/>
          <w:szCs w:val="21"/>
        </w:rPr>
      </w:pPr>
    </w:p>
    <w:tbl>
      <w:tblPr>
        <w:tblW w:w="0" w:type="auto"/>
        <w:jc w:val="left"/>
        <w:tblInd w:w="144" w:type="dxa"/>
        <w:tblLayout w:type="fixed"/>
        <w:tblCellMar>
          <w:top w:w="0" w:type="dxa"/>
          <w:left w:w="0" w:type="dxa"/>
          <w:bottom w:w="0" w:type="dxa"/>
          <w:right w:w="0" w:type="dxa"/>
        </w:tblCellMar>
        <w:tblLook w:val="01E0"/>
      </w:tblPr>
      <w:tblGrid>
        <w:gridCol w:w="2440"/>
        <w:gridCol w:w="1115"/>
        <w:gridCol w:w="1408"/>
        <w:gridCol w:w="1276"/>
        <w:gridCol w:w="1417"/>
        <w:gridCol w:w="851"/>
        <w:gridCol w:w="1276"/>
      </w:tblGrid>
      <w:tr>
        <w:trPr>
          <w:trHeight w:val="432" w:hRule="exact"/>
        </w:trPr>
        <w:tc>
          <w:tcPr>
            <w:tcW w:w="2440"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7342" w:type="dxa"/>
            <w:gridSpan w:val="6"/>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44" w:hRule="exact"/>
        </w:trPr>
        <w:tc>
          <w:tcPr>
            <w:tcW w:w="2440" w:type="dxa"/>
            <w:vMerge/>
            <w:tcBorders>
              <w:left w:val="single" w:sz="8" w:space="0" w:color="000000"/>
              <w:bottom w:val="single" w:sz="8" w:space="0" w:color="000000"/>
              <w:right w:val="single" w:sz="8" w:space="0" w:color="000000"/>
            </w:tcBorders>
            <w:shd w:val="clear" w:color="auto" w:fill="D9D9D9"/>
          </w:tcPr>
          <w:p>
            <w:pPr/>
          </w:p>
        </w:tc>
        <w:tc>
          <w:tcPr>
            <w:tcW w:w="111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14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2"/>
              <w:ind w:left="513" w:right="62" w:hanging="450"/>
              <w:jc w:val="left"/>
              <w:rPr>
                <w:rFonts w:ascii="宋体" w:hAnsi="宋体" w:cs="宋体" w:eastAsia="宋体" w:hint="default"/>
                <w:sz w:val="18"/>
                <w:szCs w:val="18"/>
              </w:rPr>
            </w:pPr>
            <w:r>
              <w:rPr>
                <w:rFonts w:ascii="宋体" w:hAnsi="宋体" w:cs="宋体" w:eastAsia="宋体" w:hint="default"/>
                <w:sz w:val="18"/>
                <w:szCs w:val="18"/>
              </w:rPr>
              <w:t>一个月至三个月 以内</w:t>
            </w:r>
          </w:p>
        </w:tc>
        <w:tc>
          <w:tcPr>
            <w:tcW w:w="12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2"/>
              <w:ind w:left="447" w:right="86" w:hanging="360"/>
              <w:jc w:val="left"/>
              <w:rPr>
                <w:rFonts w:ascii="宋体" w:hAnsi="宋体" w:cs="宋体" w:eastAsia="宋体" w:hint="default"/>
                <w:sz w:val="18"/>
                <w:szCs w:val="18"/>
              </w:rPr>
            </w:pPr>
            <w:r>
              <w:rPr>
                <w:rFonts w:ascii="宋体" w:hAnsi="宋体" w:cs="宋体" w:eastAsia="宋体" w:hint="default"/>
                <w:sz w:val="18"/>
                <w:szCs w:val="18"/>
              </w:rPr>
              <w:t>三个月至一年 以内</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8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2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73,000,000.00</w:t>
            </w: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2,477,000.00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320,000.00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4,391,470.00</w:t>
            </w: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7,188,470.00</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106,604,529.30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31,231,371.41</w:t>
            </w: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137,835,900.71</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15,016,268.49</w:t>
            </w: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15,016,268.49</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3,201,350.00</w:t>
            </w: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3,201,350.00</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15" w:type="dxa"/>
            <w:tcBorders>
              <w:top w:val="single" w:sz="8" w:space="0" w:color="000000"/>
              <w:left w:val="single" w:sz="8" w:space="0" w:color="000000"/>
              <w:bottom w:val="single" w:sz="8" w:space="0" w:color="000000"/>
              <w:right w:val="single" w:sz="8" w:space="0" w:color="000000"/>
            </w:tcBorders>
          </w:tcPr>
          <w:p>
            <w:pPr/>
          </w:p>
        </w:tc>
        <w:tc>
          <w:tcPr>
            <w:tcW w:w="1408"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2,947,678.40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6,893,271.27</w:t>
            </w: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9,840,949.67</w:t>
            </w:r>
          </w:p>
        </w:tc>
      </w:tr>
      <w:tr>
        <w:trPr>
          <w:trHeight w:val="432"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其他流动负债（不含递延收益</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10" w:right="0"/>
              <w:jc w:val="left"/>
              <w:rPr>
                <w:rFonts w:ascii="宋体" w:hAnsi="宋体" w:cs="宋体" w:eastAsia="宋体" w:hint="default"/>
                <w:sz w:val="18"/>
                <w:szCs w:val="18"/>
              </w:rPr>
            </w:pPr>
            <w:r>
              <w:rPr>
                <w:rFonts w:ascii="宋体" w:hAnsi="宋体" w:cs="宋体" w:eastAsia="宋体" w:hint="default"/>
                <w:sz w:val="18"/>
                <w:szCs w:val="18"/>
              </w:rPr>
              <w:t>）</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33" w:hRule="exact"/>
        </w:trPr>
        <w:tc>
          <w:tcPr>
            <w:tcW w:w="2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1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2,477,000.00</w:t>
            </w:r>
          </w:p>
        </w:tc>
        <w:tc>
          <w:tcPr>
            <w:tcW w:w="1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68,537,618.49</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186,943,677.70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38,124,642.68</w:t>
            </w:r>
          </w:p>
        </w:tc>
        <w:tc>
          <w:tcPr>
            <w:tcW w:w="851"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296,082,938.87</w:t>
            </w:r>
          </w:p>
        </w:tc>
      </w:tr>
    </w:tbl>
    <w:p>
      <w:pPr>
        <w:spacing w:line="240" w:lineRule="auto" w:before="8"/>
        <w:rPr>
          <w:rFonts w:ascii="宋体" w:hAnsi="宋体" w:cs="宋体" w:eastAsia="宋体" w:hint="default"/>
          <w:sz w:val="6"/>
          <w:szCs w:val="6"/>
        </w:rPr>
      </w:pPr>
    </w:p>
    <w:p>
      <w:pPr>
        <w:pStyle w:val="BodyText"/>
        <w:spacing w:line="240" w:lineRule="auto" w:before="44"/>
        <w:ind w:right="170"/>
        <w:jc w:val="left"/>
      </w:pPr>
      <w:r>
        <w:rPr/>
        <w:t>期初本集团持有的金融负债和表外担保项目按未折现剩余合同现金流量的到期期限分析如下（单位：人民币元）：</w:t>
      </w:r>
    </w:p>
    <w:p>
      <w:pPr>
        <w:spacing w:line="240" w:lineRule="auto" w:before="7"/>
        <w:rPr>
          <w:rFonts w:ascii="宋体" w:hAnsi="宋体" w:cs="宋体" w:eastAsia="宋体" w:hint="default"/>
          <w:sz w:val="21"/>
          <w:szCs w:val="21"/>
        </w:rPr>
      </w:pPr>
    </w:p>
    <w:tbl>
      <w:tblPr>
        <w:tblW w:w="0" w:type="auto"/>
        <w:jc w:val="left"/>
        <w:tblInd w:w="144" w:type="dxa"/>
        <w:tblLayout w:type="fixed"/>
        <w:tblCellMar>
          <w:top w:w="0" w:type="dxa"/>
          <w:left w:w="0" w:type="dxa"/>
          <w:bottom w:w="0" w:type="dxa"/>
          <w:right w:w="0" w:type="dxa"/>
        </w:tblCellMar>
        <w:tblLook w:val="01E0"/>
      </w:tblPr>
      <w:tblGrid>
        <w:gridCol w:w="2412"/>
        <w:gridCol w:w="938"/>
        <w:gridCol w:w="1210"/>
        <w:gridCol w:w="1394"/>
        <w:gridCol w:w="1276"/>
        <w:gridCol w:w="1134"/>
        <w:gridCol w:w="1417"/>
      </w:tblGrid>
      <w:tr>
        <w:trPr>
          <w:trHeight w:val="432" w:hRule="exact"/>
        </w:trPr>
        <w:tc>
          <w:tcPr>
            <w:tcW w:w="2412"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7369" w:type="dxa"/>
            <w:gridSpan w:val="6"/>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43" w:hRule="exact"/>
        </w:trPr>
        <w:tc>
          <w:tcPr>
            <w:tcW w:w="2412" w:type="dxa"/>
            <w:vMerge/>
            <w:tcBorders>
              <w:left w:val="single" w:sz="8" w:space="0" w:color="000000"/>
              <w:bottom w:val="single" w:sz="8" w:space="0" w:color="000000"/>
              <w:right w:val="single" w:sz="8" w:space="0" w:color="000000"/>
            </w:tcBorders>
            <w:shd w:val="clear" w:color="auto" w:fill="D9D9D9"/>
          </w:tcPr>
          <w:p>
            <w:pPr/>
          </w:p>
        </w:tc>
        <w:tc>
          <w:tcPr>
            <w:tcW w:w="9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2"/>
              <w:ind w:left="325" w:right="53" w:hanging="270"/>
              <w:jc w:val="left"/>
              <w:rPr>
                <w:rFonts w:ascii="宋体" w:hAnsi="宋体" w:cs="宋体" w:eastAsia="宋体" w:hint="default"/>
                <w:sz w:val="18"/>
                <w:szCs w:val="18"/>
              </w:rPr>
            </w:pPr>
            <w:r>
              <w:rPr>
                <w:rFonts w:ascii="宋体" w:hAnsi="宋体" w:cs="宋体" w:eastAsia="宋体" w:hint="default"/>
                <w:sz w:val="18"/>
                <w:szCs w:val="18"/>
              </w:rPr>
              <w:t>一个月至三个 月以内</w:t>
            </w:r>
          </w:p>
        </w:tc>
        <w:tc>
          <w:tcPr>
            <w:tcW w:w="13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2"/>
              <w:ind w:left="596" w:right="56" w:hanging="540"/>
              <w:jc w:val="left"/>
              <w:rPr>
                <w:rFonts w:ascii="宋体" w:hAnsi="宋体" w:cs="宋体" w:eastAsia="宋体" w:hint="default"/>
                <w:sz w:val="18"/>
                <w:szCs w:val="18"/>
              </w:rPr>
            </w:pPr>
            <w:r>
              <w:rPr>
                <w:rFonts w:ascii="宋体" w:hAnsi="宋体" w:cs="宋体" w:eastAsia="宋体" w:hint="default"/>
                <w:sz w:val="18"/>
                <w:szCs w:val="18"/>
              </w:rPr>
              <w:t>三个月至一年以 内</w:t>
            </w:r>
          </w:p>
        </w:tc>
        <w:tc>
          <w:tcPr>
            <w:tcW w:w="12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62"/>
              <w:ind w:left="537" w:right="86" w:hanging="450"/>
              <w:jc w:val="left"/>
              <w:rPr>
                <w:rFonts w:ascii="宋体" w:hAnsi="宋体" w:cs="宋体" w:eastAsia="宋体" w:hint="default"/>
                <w:sz w:val="18"/>
                <w:szCs w:val="18"/>
              </w:rPr>
            </w:pPr>
            <w:r>
              <w:rPr>
                <w:rFonts w:ascii="宋体" w:hAnsi="宋体" w:cs="宋体" w:eastAsia="宋体" w:hint="default"/>
                <w:sz w:val="18"/>
                <w:szCs w:val="18"/>
              </w:rPr>
              <w:t>一年至五年以 内</w:t>
            </w:r>
          </w:p>
        </w:tc>
        <w:tc>
          <w:tcPr>
            <w:tcW w:w="113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433"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88,002,545.20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11" w:right="-1"/>
              <w:jc w:val="left"/>
              <w:rPr>
                <w:rFonts w:ascii="Times New Roman" w:hAnsi="Times New Roman" w:cs="Times New Roman" w:eastAsia="Times New Roman" w:hint="default"/>
                <w:sz w:val="18"/>
                <w:szCs w:val="18"/>
              </w:rPr>
            </w:pPr>
            <w:r>
              <w:rPr>
                <w:rFonts w:ascii="Times New Roman"/>
                <w:sz w:val="18"/>
              </w:rPr>
              <w:t>2,962,477.14</w:t>
            </w: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90,965,022.34</w:t>
            </w: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14,657,122.74</w:t>
            </w:r>
          </w:p>
        </w:tc>
        <w:tc>
          <w:tcPr>
            <w:tcW w:w="1394"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14,657,122.74</w:t>
            </w: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90,222.23</w:t>
            </w:r>
          </w:p>
        </w:tc>
        <w:tc>
          <w:tcPr>
            <w:tcW w:w="1394"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90,222.23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2412"/>
        <w:gridCol w:w="938"/>
        <w:gridCol w:w="1210"/>
        <w:gridCol w:w="1394"/>
        <w:gridCol w:w="1276"/>
        <w:gridCol w:w="1134"/>
        <w:gridCol w:w="1417"/>
      </w:tblGrid>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4,314,759.24</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1,713,573.27</w:t>
            </w: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6,028,332.51</w:t>
            </w:r>
          </w:p>
        </w:tc>
      </w:tr>
      <w:tr>
        <w:trPr>
          <w:trHeight w:val="432"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pacing w:val="-3"/>
                <w:sz w:val="18"/>
                <w:szCs w:val="18"/>
              </w:rPr>
              <w:t>其他流动负债（不含递延收益</w:t>
            </w:r>
          </w:p>
        </w:tc>
        <w:tc>
          <w:tcPr>
            <w:tcW w:w="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11" w:right="0"/>
              <w:jc w:val="left"/>
              <w:rPr>
                <w:rFonts w:ascii="宋体" w:hAnsi="宋体" w:cs="宋体" w:eastAsia="宋体" w:hint="default"/>
                <w:sz w:val="18"/>
                <w:szCs w:val="18"/>
              </w:rPr>
            </w:pPr>
            <w:r>
              <w:rPr>
                <w:rFonts w:ascii="宋体" w:hAnsi="宋体" w:cs="宋体" w:eastAsia="宋体" w:hint="default"/>
                <w:sz w:val="18"/>
                <w:szCs w:val="18"/>
              </w:rPr>
              <w:t>）</w:t>
            </w:r>
          </w:p>
        </w:tc>
        <w:tc>
          <w:tcPr>
            <w:tcW w:w="1210"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276"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r>
      <w:tr>
        <w:trPr>
          <w:trHeight w:val="433" w:hRule="exact"/>
        </w:trPr>
        <w:tc>
          <w:tcPr>
            <w:tcW w:w="24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93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56" w:right="-2"/>
              <w:jc w:val="left"/>
              <w:rPr>
                <w:rFonts w:ascii="Times New Roman" w:hAnsi="Times New Roman" w:cs="Times New Roman" w:eastAsia="Times New Roman" w:hint="default"/>
                <w:sz w:val="18"/>
                <w:szCs w:val="18"/>
              </w:rPr>
            </w:pPr>
            <w:r>
              <w:rPr>
                <w:rFonts w:ascii="Times New Roman"/>
                <w:sz w:val="18"/>
              </w:rPr>
              <w:t>14,747,344.97</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172,317,304.44</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4,676,050.41</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191,740,699.82</w:t>
            </w:r>
          </w:p>
        </w:tc>
      </w:tr>
    </w:tbl>
    <w:p>
      <w:pPr>
        <w:spacing w:line="240" w:lineRule="auto" w:before="8"/>
        <w:rPr>
          <w:rFonts w:ascii="宋体" w:hAnsi="宋体" w:cs="宋体" w:eastAsia="宋体" w:hint="default"/>
          <w:sz w:val="6"/>
          <w:szCs w:val="6"/>
        </w:rPr>
      </w:pPr>
    </w:p>
    <w:p>
      <w:pPr>
        <w:pStyle w:val="BodyText"/>
        <w:spacing w:line="240" w:lineRule="auto" w:before="44"/>
        <w:ind w:right="1791"/>
        <w:jc w:val="left"/>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21"/>
          <w:szCs w:val="21"/>
        </w:rPr>
      </w:pPr>
    </w:p>
    <w:p>
      <w:pPr>
        <w:pStyle w:val="BodyText"/>
        <w:spacing w:line="316" w:lineRule="auto"/>
        <w:ind w:right="170"/>
        <w:jc w:val="left"/>
      </w:pPr>
      <w:r>
        <w:rPr>
          <w:spacing w:val="-2"/>
        </w:rPr>
        <w:t>金融工具的市场风险，是指金融工具的公允价值或未来现金流量因市场价格变动而发生波动的风险，包括利率风险和汇率风</w:t>
      </w:r>
      <w:r>
        <w:rPr>
          <w:spacing w:val="-64"/>
        </w:rPr>
        <w:t> </w:t>
      </w:r>
      <w:r>
        <w:rPr>
          <w:spacing w:val="-64"/>
        </w:rPr>
      </w:r>
      <w:r>
        <w:rPr/>
        <w:t>险。</w:t>
      </w:r>
    </w:p>
    <w:p>
      <w:pPr>
        <w:spacing w:line="240" w:lineRule="auto" w:before="12"/>
        <w:rPr>
          <w:rFonts w:ascii="宋体" w:hAnsi="宋体" w:cs="宋体" w:eastAsia="宋体" w:hint="default"/>
          <w:sz w:val="17"/>
          <w:szCs w:val="17"/>
        </w:rPr>
      </w:pPr>
    </w:p>
    <w:p>
      <w:pPr>
        <w:pStyle w:val="BodyText"/>
        <w:spacing w:line="240" w:lineRule="auto"/>
        <w:ind w:right="1791"/>
        <w:jc w:val="left"/>
      </w:pPr>
      <w:r>
        <w:rPr/>
        <w:t>利率风险</w:t>
      </w:r>
    </w:p>
    <w:p>
      <w:pPr>
        <w:spacing w:line="240" w:lineRule="auto" w:before="5"/>
        <w:rPr>
          <w:rFonts w:ascii="宋体" w:hAnsi="宋体" w:cs="宋体" w:eastAsia="宋体" w:hint="default"/>
          <w:sz w:val="22"/>
          <w:szCs w:val="22"/>
        </w:rPr>
      </w:pPr>
    </w:p>
    <w:p>
      <w:pPr>
        <w:pStyle w:val="BodyText"/>
        <w:spacing w:line="316" w:lineRule="auto"/>
        <w:ind w:right="170"/>
        <w:jc w:val="left"/>
      </w:pP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w:t>
      </w:r>
    </w:p>
    <w:p>
      <w:pPr>
        <w:spacing w:line="240" w:lineRule="auto" w:before="12"/>
        <w:rPr>
          <w:rFonts w:ascii="宋体" w:hAnsi="宋体" w:cs="宋体" w:eastAsia="宋体" w:hint="default"/>
          <w:sz w:val="17"/>
          <w:szCs w:val="17"/>
        </w:rPr>
      </w:pPr>
    </w:p>
    <w:p>
      <w:pPr>
        <w:pStyle w:val="BodyText"/>
        <w:spacing w:line="537" w:lineRule="auto"/>
        <w:ind w:left="153" w:right="6471"/>
        <w:jc w:val="left"/>
      </w:pPr>
      <w:r>
        <w:rPr/>
        <w:t>本集团所承担的利率变动市场风险不重大。 汇率风险</w:t>
      </w:r>
    </w:p>
    <w:p>
      <w:pPr>
        <w:pStyle w:val="BodyText"/>
        <w:spacing w:line="316" w:lineRule="auto" w:before="69"/>
        <w:ind w:left="153" w:right="170"/>
        <w:jc w:val="left"/>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spacing w:line="240" w:lineRule="auto" w:before="12"/>
        <w:rPr>
          <w:rFonts w:ascii="宋体" w:hAnsi="宋体" w:cs="宋体" w:eastAsia="宋体" w:hint="default"/>
          <w:sz w:val="17"/>
          <w:szCs w:val="17"/>
        </w:rPr>
      </w:pPr>
    </w:p>
    <w:p>
      <w:pPr>
        <w:pStyle w:val="BodyText"/>
        <w:spacing w:line="537" w:lineRule="auto"/>
        <w:ind w:left="153" w:right="1971"/>
        <w:jc w:val="left"/>
      </w:pPr>
      <w:r>
        <w:rPr/>
        <w:t>本集团的主要经营位于中国境内，主要业务以人民币结算。因此，本集团面临的汇率风险并不重大。 本集团期末外币金融资产和外币金融负债列示见本附注五之</w:t>
      </w:r>
      <w:r>
        <w:rPr>
          <w:rFonts w:ascii="Times New Roman" w:hAnsi="Times New Roman" w:cs="Times New Roman" w:eastAsia="Times New Roman" w:hint="default"/>
        </w:rPr>
        <w:t>46</w:t>
      </w:r>
      <w:r>
        <w:rPr/>
        <w:t>、外币货币性项目。</w:t>
      </w:r>
    </w:p>
    <w:p>
      <w:pPr>
        <w:pStyle w:val="BodyText"/>
        <w:spacing w:line="240" w:lineRule="auto" w:before="31"/>
        <w:ind w:left="153" w:right="1791"/>
        <w:jc w:val="left"/>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21"/>
          <w:szCs w:val="21"/>
        </w:rPr>
      </w:pPr>
    </w:p>
    <w:p>
      <w:pPr>
        <w:pStyle w:val="BodyText"/>
        <w:spacing w:line="316" w:lineRule="auto"/>
        <w:ind w:left="153" w:right="170"/>
        <w:jc w:val="left"/>
      </w:pP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w:t>
      </w:r>
    </w:p>
    <w:p>
      <w:pPr>
        <w:pStyle w:val="BodyText"/>
        <w:spacing w:line="528" w:lineRule="exact" w:before="22"/>
        <w:ind w:right="170"/>
        <w:jc w:val="left"/>
        <w:rPr>
          <w:rFonts w:ascii="Times New Roman" w:hAnsi="Times New Roman" w:cs="Times New Roman" w:eastAsia="Times New Roman" w:hint="default"/>
        </w:rPr>
      </w:pPr>
      <w:r>
        <w:rPr/>
        <w:t>为了维持或调整资本结构，本集团可能会调整支付给股东的股利金额、向股东返还资本、发行新股或出售资产以减低债务。 </w:t>
      </w:r>
      <w:r>
        <w:rPr>
          <w:spacing w:val="-5"/>
        </w:rPr>
        <w:t>本集团以资产负债率（即总负债除以总资产）为基础对资本结构进行监控。于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日，本集团的资产负债率为</w:t>
      </w:r>
      <w:r>
        <w:rPr>
          <w:rFonts w:ascii="Times New Roman" w:hAnsi="Times New Roman" w:cs="Times New Roman" w:eastAsia="Times New Roman" w:hint="default"/>
          <w:spacing w:val="-5"/>
        </w:rPr>
        <w:t>27.51%</w:t>
      </w:r>
    </w:p>
    <w:p>
      <w:pPr>
        <w:pStyle w:val="BodyText"/>
        <w:spacing w:line="245" w:lineRule="exact"/>
        <w:ind w:left="153" w:right="1791"/>
        <w:jc w:val="left"/>
      </w:pP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18.78%</w:t>
      </w:r>
      <w:r>
        <w:rPr/>
        <w:t>）。</w:t>
      </w:r>
    </w:p>
    <w:p>
      <w:pPr>
        <w:spacing w:line="240" w:lineRule="auto" w:before="2"/>
        <w:rPr>
          <w:rFonts w:ascii="宋体" w:hAnsi="宋体" w:cs="宋体" w:eastAsia="宋体" w:hint="default"/>
          <w:sz w:val="24"/>
          <w:szCs w:val="24"/>
        </w:rPr>
      </w:pPr>
    </w:p>
    <w:p>
      <w:pPr>
        <w:pStyle w:val="Heading2"/>
        <w:spacing w:line="240" w:lineRule="auto"/>
        <w:ind w:right="1791"/>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791"/>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86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12"/>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2"/>
        <w:rPr>
          <w:rFonts w:ascii="宋体" w:hAnsi="宋体" w:cs="宋体" w:eastAsia="宋体" w:hint="default"/>
          <w:sz w:val="25"/>
          <w:szCs w:val="25"/>
        </w:rPr>
      </w:pPr>
    </w:p>
    <w:p>
      <w:pPr>
        <w:pStyle w:val="Heading2"/>
        <w:spacing w:line="240" w:lineRule="auto"/>
        <w:ind w:right="704"/>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23.09%</w:t>
            </w:r>
          </w:p>
        </w:tc>
      </w:tr>
    </w:tbl>
    <w:p>
      <w:pPr>
        <w:pStyle w:val="BodyText"/>
        <w:spacing w:line="357" w:lineRule="auto" w:before="51"/>
        <w:ind w:left="153" w:right="7611"/>
        <w:jc w:val="left"/>
      </w:pPr>
      <w:r>
        <w:rPr/>
        <w:t>本企业的母公司情况的说明 无。 本企业最终控制方是鲁峰。 其他说明：</w:t>
      </w:r>
    </w:p>
    <w:p>
      <w:pPr>
        <w:pStyle w:val="BodyText"/>
        <w:spacing w:line="240" w:lineRule="auto" w:before="28"/>
        <w:ind w:left="153" w:right="704"/>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44" w:lineRule="auto" w:before="35"/>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left="153" w:right="1311"/>
        <w:jc w:val="left"/>
      </w:pPr>
      <w:r>
        <w:rPr/>
        <w:t>本企业重要的合营或联营企业详见附注附注七、</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相同的独立董事</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控股子公司福建星榕基信息科技有限责任公司参股股东（持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70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70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3,696,000.00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33,249,756.02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30,598.29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3,493,149.57</w:t>
            </w:r>
          </w:p>
        </w:tc>
      </w:tr>
    </w:tbl>
    <w:p>
      <w:pPr>
        <w:pStyle w:val="BodyText"/>
        <w:spacing w:line="240" w:lineRule="auto" w:before="51"/>
        <w:ind w:right="704"/>
        <w:jc w:val="left"/>
      </w:pPr>
      <w:r>
        <w:rPr/>
        <w:t>购销商品、提供和接受劳务的关联交易说明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545" w:space="628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704"/>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t>本公司作为出租方：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704"/>
        <w:jc w:val="left"/>
      </w:pPr>
      <w:r>
        <w:rPr/>
        <w:t>本公司作为承租方：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704"/>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t>本公司作为担保方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704"/>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704"/>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3,340,100.00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671,907.81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33,795.39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4,390,198.71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219,509.94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福建三钢闽光股份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205,485.00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205,485.00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10,274.25</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216,000.00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19,952,308.00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518" w:lineRule="auto"/>
        <w:ind w:left="153" w:right="4236"/>
        <w:jc w:val="left"/>
      </w:pPr>
      <w:r>
        <w:rPr/>
        <w:t>1、重要的承诺事项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日，本公司共开出保函金额人民币</w:t>
      </w:r>
      <w:r>
        <w:rPr>
          <w:rFonts w:ascii="Times New Roman" w:hAnsi="Times New Roman" w:cs="Times New Roman" w:eastAsia="Times New Roman" w:hint="default"/>
        </w:rPr>
        <w:t>28,941,119.87</w:t>
      </w:r>
      <w:r>
        <w:rPr/>
        <w:t>元。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 </w:t>
      </w:r>
      <w:r>
        <w:rPr>
          <w:rFonts w:ascii="Times New Roman" w:hAnsi="Times New Roman" w:cs="Times New Roman" w:eastAsia="Times New Roman" w:hint="default"/>
        </w:rPr>
        <w:t>2</w:t>
      </w:r>
      <w:r>
        <w:rPr/>
        <w:t>、或有事项</w:t>
      </w:r>
    </w:p>
    <w:p>
      <w:pPr>
        <w:spacing w:after="0" w:line="51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70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日，本集团不存在应披露的或有事项。</w:t>
      </w:r>
    </w:p>
    <w:p>
      <w:pPr>
        <w:spacing w:line="240" w:lineRule="auto" w:before="11"/>
        <w:rPr>
          <w:rFonts w:ascii="宋体" w:hAnsi="宋体" w:cs="宋体" w:eastAsia="宋体" w:hint="default"/>
          <w:sz w:val="25"/>
          <w:szCs w:val="25"/>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69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23"/>
        <w:ind w:right="704"/>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无。</w:t>
      </w:r>
    </w:p>
    <w:p>
      <w:pPr>
        <w:spacing w:line="240" w:lineRule="auto" w:before="2"/>
        <w:rPr>
          <w:rFonts w:ascii="宋体" w:hAnsi="宋体" w:cs="宋体" w:eastAsia="宋体" w:hint="default"/>
          <w:sz w:val="25"/>
          <w:szCs w:val="25"/>
        </w:rPr>
      </w:pPr>
    </w:p>
    <w:p>
      <w:pPr>
        <w:pStyle w:val="Heading2"/>
        <w:spacing w:line="240" w:lineRule="auto"/>
        <w:ind w:right="704"/>
        <w:jc w:val="left"/>
        <w:rPr>
          <w:b w:val="0"/>
          <w:bCs w:val="0"/>
        </w:rPr>
      </w:pP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5271"/>
        <w:jc w:val="left"/>
      </w:pPr>
      <w:r>
        <w:rPr/>
        <w:t>资产负债表日存在的重要承诺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日，本集团不存在应披露的承诺事项。</w:t>
      </w:r>
    </w:p>
    <w:p>
      <w:pPr>
        <w:spacing w:line="240" w:lineRule="auto" w:before="5"/>
        <w:rPr>
          <w:rFonts w:ascii="宋体" w:hAnsi="宋体" w:cs="宋体" w:eastAsia="宋体" w:hint="default"/>
          <w:sz w:val="18"/>
          <w:szCs w:val="18"/>
        </w:rPr>
      </w:pPr>
    </w:p>
    <w:p>
      <w:pPr>
        <w:pStyle w:val="Heading3"/>
        <w:spacing w:line="240" w:lineRule="auto"/>
        <w:ind w:right="70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523" w:lineRule="auto"/>
        <w:ind w:left="153" w:right="4236"/>
        <w:jc w:val="left"/>
      </w:pPr>
      <w:r>
        <w:rPr/>
        <w:t>开出保函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日，本集团共开出保函金额人民币</w:t>
      </w:r>
      <w:r>
        <w:rPr>
          <w:rFonts w:ascii="Times New Roman" w:hAnsi="Times New Roman" w:cs="Times New Roman" w:eastAsia="Times New Roman" w:hint="default"/>
        </w:rPr>
        <w:t>28,941,119.87</w:t>
      </w:r>
      <w:r>
        <w:rPr/>
        <w:t>元。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日，本集团不存在其他应披露的或有事项。</w:t>
      </w:r>
    </w:p>
    <w:p>
      <w:pPr>
        <w:pStyle w:val="Heading3"/>
        <w:spacing w:line="240" w:lineRule="auto" w:before="103"/>
        <w:ind w:right="70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公司不存在需要披露的重要或有事项。</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7" w:lineRule="auto" w:before="35"/>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153" w:right="396"/>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日，本公司完成了</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年度第一期短期融资券（</w:t>
      </w:r>
      <w:r>
        <w:rPr>
          <w:rFonts w:ascii="Times New Roman" w:hAnsi="Times New Roman" w:cs="Times New Roman" w:eastAsia="Times New Roman" w:hint="default"/>
        </w:rPr>
        <w:t>15</w:t>
      </w:r>
      <w:r>
        <w:rPr/>
        <w:t>闽榕基</w:t>
      </w:r>
      <w:r>
        <w:rPr>
          <w:rFonts w:ascii="Times New Roman" w:hAnsi="Times New Roman" w:cs="Times New Roman" w:eastAsia="Times New Roman" w:hint="default"/>
        </w:rPr>
        <w:t>CP001</w:t>
      </w:r>
      <w:r>
        <w:rPr/>
        <w:t>）的兑付，本息合计人民币</w:t>
      </w:r>
      <w:r>
        <w:rPr>
          <w:rFonts w:ascii="Times New Roman" w:hAnsi="Times New Roman" w:cs="Times New Roman" w:eastAsia="Times New Roman" w:hint="default"/>
        </w:rPr>
        <w:t>5,350.00</w:t>
      </w:r>
      <w:r>
        <w:rPr/>
        <w:t>万元。 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日，本集团不存在其他应披露的资产负债表日后事项。</w:t>
      </w:r>
    </w:p>
    <w:p>
      <w:pPr>
        <w:spacing w:line="240" w:lineRule="auto" w:before="13"/>
        <w:rPr>
          <w:rFonts w:ascii="宋体" w:hAnsi="宋体" w:cs="宋体" w:eastAsia="宋体" w:hint="default"/>
          <w:sz w:val="12"/>
          <w:szCs w:val="12"/>
        </w:rPr>
      </w:pPr>
    </w:p>
    <w:p>
      <w:pPr>
        <w:pStyle w:val="Heading2"/>
        <w:spacing w:line="240" w:lineRule="auto"/>
        <w:ind w:right="704"/>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70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70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除系统集成业务、软件产品及服务业务外，本集团未经营其他对经营成果有重大影响的业务。同时，由于本集团仅于一个地</w:t>
      </w:r>
      <w:r>
        <w:rPr>
          <w:spacing w:val="-66"/>
        </w:rPr>
        <w:t> </w:t>
      </w:r>
      <w:r>
        <w:rPr>
          <w:spacing w:val="-66"/>
        </w:rPr>
      </w:r>
      <w:r>
        <w:rPr/>
        <w:t>域内经营业务，收入主要来自中国境内，其主要资产亦位于中国境内，因此本集团无需披露分部数据。</w:t>
      </w:r>
    </w:p>
    <w:p>
      <w:pPr>
        <w:spacing w:line="240" w:lineRule="auto" w:before="7"/>
        <w:rPr>
          <w:rFonts w:ascii="宋体" w:hAnsi="宋体" w:cs="宋体" w:eastAsia="宋体" w:hint="default"/>
          <w:sz w:val="22"/>
          <w:szCs w:val="22"/>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70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日，本集团不存在其他应披露的其他重要事项。</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704"/>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80,927,3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9,007,76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71,919,57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72,773,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115.63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8,438,109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64,335,005.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80,927,3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9,007,76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71,919,57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72,773,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115.63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8,438,109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64,335,005.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37,237,431.47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1,861,871.57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10,371,586.92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1,037,158.69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3,421,308.00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684,261.60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5,424,474.40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5,424,474.40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56,454,800.79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9,007,766.26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16.54%</w:t>
            </w:r>
            <w:r>
              <w:rPr>
                <w:rFonts w:ascii="Times New Roman"/>
                <w:sz w:val="18"/>
              </w:rPr>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569,656.34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4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704"/>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70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119"/>
        <w:gridCol w:w="1559"/>
        <w:gridCol w:w="2694"/>
        <w:gridCol w:w="2268"/>
      </w:tblGrid>
      <w:tr>
        <w:trPr>
          <w:trHeight w:val="663" w:hRule="exact"/>
        </w:trPr>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409" w:right="408"/>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172" w:right="77" w:hanging="109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占应收账款期末余额合计数的比 例</w:t>
            </w:r>
            <w:r>
              <w:rPr>
                <w:rFonts w:ascii="Times New Roman" w:hAnsi="Times New Roman" w:cs="Times New Roman" w:eastAsia="Times New Roman" w:hint="default"/>
                <w:sz w:val="18"/>
                <w:szCs w:val="18"/>
              </w:rPr>
              <w:t>%</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763" w:right="763"/>
              <w:jc w:val="center"/>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13,690,000.00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16.92</w:t>
            </w:r>
          </w:p>
        </w:tc>
        <w:tc>
          <w:tcPr>
            <w:tcW w:w="2268"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7,690,948.56</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9.50</w:t>
            </w:r>
          </w:p>
        </w:tc>
        <w:tc>
          <w:tcPr>
            <w:tcW w:w="226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河南信大科技有限公司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3,904,000.00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195,200.00</w:t>
            </w:r>
          </w:p>
        </w:tc>
      </w:tr>
      <w:tr>
        <w:trPr>
          <w:trHeight w:val="352"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平潭综合实验区交通投资发展有限公司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3,244,000.00</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324,400.00</w:t>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福州市仓山区人民政府办公室</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2,755,819.46</w:t>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137,790.97</w:t>
            </w:r>
          </w:p>
        </w:tc>
      </w:tr>
      <w:tr>
        <w:trPr>
          <w:trHeight w:val="353" w:hRule="exact"/>
        </w:trPr>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31,284,768.02</w:t>
            </w:r>
            <w:r>
              <w:rPr>
                <w:rFonts w:ascii="Times New Roman"/>
                <w:spacing w:val="-1"/>
                <w:sz w:val="18"/>
              </w:rPr>
            </w:r>
          </w:p>
        </w:tc>
        <w:tc>
          <w:tcPr>
            <w:tcW w:w="26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38.66</w:t>
            </w:r>
            <w:r>
              <w:rPr>
                <w:rFonts w:ascii="Times New Roman"/>
                <w:sz w:val="18"/>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657,390.97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407,153,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256.41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4,070,25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403,083,0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281,560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4,374,726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277,186,16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407,153,</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256.41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4,070,25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403,083,0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02.49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281,560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,896.38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4,374,726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277,186,16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18,622,060.69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931,103.03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8,161,139.21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816,113.92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1,938,938.99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387,787.80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1,935,249.17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1,935,249.17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30,657,388.06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4,070,253.92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13.28%</w:t>
            </w:r>
            <w:r>
              <w:rPr>
                <w:rFonts w:ascii="Times New Roman"/>
                <w:sz w:val="18"/>
              </w:rPr>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left="153" w:right="-17"/>
        <w:jc w:val="left"/>
      </w:pPr>
      <w:r>
        <w:rPr/>
        <w:t>本期计提坏账准备金额</w:t>
      </w:r>
      <w:r>
        <w:rPr>
          <w:spacing w:val="-46"/>
        </w:rPr>
        <w:t> </w:t>
      </w:r>
      <w:r>
        <w:rPr>
          <w:rFonts w:ascii="Times New Roman" w:hAnsi="Times New Roman" w:cs="Times New Roman" w:eastAsia="Times New Roman" w:hint="default"/>
        </w:rPr>
        <w:t>304,472.65</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5915" w:space="29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704"/>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704"/>
        <w:jc w:val="left"/>
      </w:pPr>
      <w:r>
        <w:rPr/>
        <w:t>其他应收款核销说明：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合并报表范围内各单位之间往来款项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376,495,868.35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258,578,994.19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23,766,591.88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15,449,843.27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4,962,166.55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4,863,285.35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231,034.00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575,735.32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1,697,595.63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2,093,038.25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407,153,256.41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281,560,896.38</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信阳榕基信息技术有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166,153,364.16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40.81%</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榕基五一（北京）信 息技术有限公司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59,881,720.24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14.71%</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马鞍山榕基软件信息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49,899,194.91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河南榕基信息技术有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43,825,742.40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10.76%</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福建榕基软件股份有 限公司北京分公司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27,865,262.18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6.84%</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347,625,283.89</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85.38%</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704"/>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698,376,537.29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698,376,537.29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754,576,537.29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754,576,537.29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698,376,537.29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698,376,537.29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754,576,537.29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754,576,537.29</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7,496,345.89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7,496,345.89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53,300,000.00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榕基五一（北京） 信息技术有限公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80,380,191.40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80,380,191.40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福建榕易付网络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754,576,537.29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698,376,537.29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48"/>
        <w:jc w:val="both"/>
      </w:pPr>
      <w:r>
        <w:rPr/>
        <w:t>注：本公司于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日召开第三届董事会第十六次会议及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日召开公司</w:t>
      </w:r>
      <w:r>
        <w:rPr>
          <w:rFonts w:ascii="Times New Roman" w:hAnsi="Times New Roman" w:cs="Times New Roman" w:eastAsia="Times New Roman" w:hint="default"/>
        </w:rPr>
        <w:t>2015</w:t>
      </w:r>
      <w:r>
        <w:rPr/>
        <w:t>年第一次临时股东大会，会议审</w:t>
      </w:r>
      <w:r>
        <w:rPr>
          <w:spacing w:val="-83"/>
        </w:rPr>
        <w:t> </w:t>
      </w:r>
      <w:r>
        <w:rPr>
          <w:spacing w:val="-83"/>
        </w:rPr>
      </w:r>
      <w:r>
        <w:rPr>
          <w:spacing w:val="-2"/>
        </w:rPr>
        <w:t>议通过了《关于变更部分超募资金使用计划的议案》，本公司同意对北京中榕基公司减资</w:t>
      </w:r>
      <w:r>
        <w:rPr>
          <w:rFonts w:ascii="Times New Roman" w:hAnsi="Times New Roman" w:cs="Times New Roman" w:eastAsia="Times New Roman" w:hint="default"/>
          <w:spacing w:val="-2"/>
        </w:rPr>
        <w:t>25,000.00</w:t>
      </w:r>
      <w:r>
        <w:rPr>
          <w:spacing w:val="-2"/>
        </w:rPr>
        <w:t>万元，本次减资后其注册</w:t>
      </w:r>
      <w:r>
        <w:rPr>
          <w:spacing w:val="-57"/>
        </w:rPr>
        <w:t> </w:t>
      </w:r>
      <w:r>
        <w:rPr>
          <w:spacing w:val="-57"/>
        </w:rPr>
      </w:r>
      <w:r>
        <w:rPr/>
        <w:t>资本将减至</w:t>
      </w:r>
      <w:r>
        <w:rPr>
          <w:rFonts w:ascii="Times New Roman" w:hAnsi="Times New Roman" w:cs="Times New Roman" w:eastAsia="Times New Roman" w:hint="default"/>
        </w:rPr>
        <w:t>5,000.00</w:t>
      </w:r>
      <w:r>
        <w:rPr/>
        <w:t>万元；本公司将收回超募资金</w:t>
      </w:r>
      <w:r>
        <w:rPr>
          <w:rFonts w:ascii="Times New Roman" w:hAnsi="Times New Roman" w:cs="Times New Roman" w:eastAsia="Times New Roman" w:hint="default"/>
        </w:rPr>
        <w:t>25,000.00</w:t>
      </w:r>
      <w:r>
        <w:rPr/>
        <w:t>万元，并将收回的超募资金用于以下两个方面：使用</w:t>
      </w:r>
      <w:r>
        <w:rPr>
          <w:rFonts w:ascii="Times New Roman" w:hAnsi="Times New Roman" w:cs="Times New Roman" w:eastAsia="Times New Roman" w:hint="default"/>
        </w:rPr>
        <w:t>10,500.00</w:t>
      </w:r>
      <w:r>
        <w:rPr/>
        <w:t>万</w:t>
      </w:r>
      <w:r>
        <w:rPr>
          <w:spacing w:val="-87"/>
        </w:rPr>
        <w:t> </w:t>
      </w:r>
      <w:r>
        <w:rPr/>
        <w:t>元设立福建榕易付公司，剩余</w:t>
      </w:r>
      <w:r>
        <w:rPr>
          <w:rFonts w:ascii="Times New Roman" w:hAnsi="Times New Roman" w:cs="Times New Roman" w:eastAsia="Times New Roman" w:hint="default"/>
        </w:rPr>
        <w:t>14,500.00</w:t>
      </w:r>
      <w:r>
        <w:rPr/>
        <w:t>万元暂无使用计划，将转回公司募集资金专户管理。</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377,537,209.89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244,141,677.01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442,284,498.38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283,282,671.28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377,537,209.89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244,141,677.01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442,284,498.38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283,282,671.28</w:t>
            </w:r>
          </w:p>
        </w:tc>
      </w:tr>
    </w:tbl>
    <w:p>
      <w:pPr>
        <w:pStyle w:val="BodyText"/>
        <w:spacing w:line="240" w:lineRule="auto" w:before="51"/>
        <w:ind w:right="70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704"/>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2,039,970.72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4,233,940.81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6,571,531.11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6,273,911.53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6,571,531.11</w:t>
            </w:r>
          </w:p>
        </w:tc>
      </w:tr>
    </w:tbl>
    <w:p>
      <w:pPr>
        <w:spacing w:line="240" w:lineRule="auto" w:before="2"/>
        <w:rPr>
          <w:rFonts w:ascii="宋体" w:hAnsi="宋体" w:cs="宋体" w:eastAsia="宋体" w:hint="default"/>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704"/>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5,822,237.71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14,208,765.40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-39,601.21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3,694,861.49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-849.74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16,297,390.15</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70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0.0254</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-0.0008</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704"/>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704"/>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7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704"/>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704"/>
        <w:jc w:val="left"/>
      </w:pPr>
      <w:r>
        <w:rPr/>
        <w:t>无。</w:t>
      </w:r>
    </w:p>
    <w:p>
      <w:pPr>
        <w:spacing w:after="0" w:line="240" w:lineRule="auto"/>
        <w:jc w:val="left"/>
        <w:sectPr>
          <w:pgSz w:w="11910" w:h="16840"/>
          <w:pgMar w:header="747" w:footer="982" w:top="1060" w:bottom="1180" w:left="980" w:right="980"/>
        </w:sectPr>
      </w:pPr>
    </w:p>
    <w:p>
      <w:pPr>
        <w:spacing w:line="240" w:lineRule="auto" w:before="11"/>
        <w:rPr>
          <w:rFonts w:ascii="宋体" w:hAnsi="宋体" w:cs="宋体" w:eastAsia="宋体" w:hint="default"/>
          <w:sz w:val="6"/>
          <w:szCs w:val="6"/>
        </w:rPr>
      </w:pPr>
    </w:p>
    <w:p>
      <w:pPr>
        <w:spacing w:line="10180" w:lineRule="exact"/>
        <w:ind w:left="114" w:right="0" w:firstLine="0"/>
        <w:rPr>
          <w:rFonts w:ascii="宋体" w:hAnsi="宋体" w:cs="宋体" w:eastAsia="宋体" w:hint="default"/>
          <w:sz w:val="20"/>
          <w:szCs w:val="20"/>
        </w:rPr>
      </w:pPr>
      <w:r>
        <w:rPr>
          <w:rFonts w:ascii="宋体" w:hAnsi="宋体" w:cs="宋体" w:eastAsia="宋体" w:hint="default"/>
          <w:position w:val="-203"/>
          <w:sz w:val="20"/>
          <w:szCs w:val="20"/>
        </w:rPr>
        <w:pict>
          <v:group style="width:493.8pt;height:509.05pt;mso-position-horizontal-relative:char;mso-position-vertical-relative:line" coordorigin="0,0" coordsize="9876,10181">
            <v:group style="position:absolute;left:7;top:458;width:9682;height:2" coordorigin="7,458" coordsize="9682,2">
              <v:shape style="position:absolute;left:7;top:458;width:9682;height:2" coordorigin="7,458" coordsize="9682,0" path="m7,458l9689,458e" filled="false" stroked="true" strokeweight=".72pt" strokecolor="#484f57">
                <v:path arrowok="t"/>
              </v:shape>
              <v:shape style="position:absolute;left:122;top:0;width:9754;height:10181" type="#_x0000_t75" stroked="false">
                <v:imagedata r:id="rId23" o:title=""/>
              </v:shape>
            </v:group>
          </v:group>
        </w:pict>
      </w:r>
      <w:r>
        <w:rPr>
          <w:rFonts w:ascii="宋体" w:hAnsi="宋体" w:cs="宋体" w:eastAsia="宋体" w:hint="default"/>
          <w:position w:val="-20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1641" w:lineRule="exact"/>
        <w:ind w:left="7686"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548384" cy="104241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24" cstate="print"/>
                    <a:stretch>
                      <a:fillRect/>
                    </a:stretch>
                  </pic:blipFill>
                  <pic:spPr>
                    <a:xfrm>
                      <a:off x="0" y="0"/>
                      <a:ext cx="1548384" cy="104241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11" w:lineRule="exact"/>
        <w:ind w:left="8540" w:right="0" w:firstLine="0"/>
        <w:rPr>
          <w:rFonts w:ascii="宋体" w:hAnsi="宋体" w:cs="宋体" w:eastAsia="宋体" w:hint="default"/>
          <w:sz w:val="20"/>
          <w:szCs w:val="20"/>
        </w:rPr>
      </w:pPr>
      <w:r>
        <w:rPr>
          <w:rFonts w:ascii="宋体" w:hAnsi="宋体" w:cs="宋体" w:eastAsia="宋体" w:hint="default"/>
          <w:position w:val="-3"/>
          <w:sz w:val="20"/>
          <w:szCs w:val="20"/>
        </w:rPr>
        <w:drawing>
          <wp:inline distT="0" distB="0" distL="0" distR="0">
            <wp:extent cx="835152" cy="13411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5" cstate="print"/>
                    <a:stretch>
                      <a:fillRect/>
                    </a:stretch>
                  </pic:blipFill>
                  <pic:spPr>
                    <a:xfrm>
                      <a:off x="0" y="0"/>
                      <a:ext cx="835152" cy="134112"/>
                    </a:xfrm>
                    <a:prstGeom prst="rect">
                      <a:avLst/>
                    </a:prstGeom>
                  </pic:spPr>
                </pic:pic>
              </a:graphicData>
            </a:graphic>
          </wp:inline>
        </w:drawing>
      </w:r>
      <w:r>
        <w:rPr>
          <w:rFonts w:ascii="宋体" w:hAnsi="宋体" w:cs="宋体" w:eastAsia="宋体" w:hint="default"/>
          <w:position w:val="-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76"/>
        <w:ind w:left="0" w:right="108" w:firstLine="0"/>
        <w:jc w:val="right"/>
        <w:rPr>
          <w:rFonts w:ascii="Times New Roman" w:hAnsi="Times New Roman" w:cs="Times New Roman" w:eastAsia="Times New Roman" w:hint="default"/>
          <w:sz w:val="18"/>
          <w:szCs w:val="18"/>
        </w:rPr>
      </w:pPr>
      <w:r>
        <w:rPr>
          <w:rFonts w:ascii="Times New Roman"/>
          <w:i/>
          <w:color w:val="4B565E"/>
          <w:w w:val="90"/>
          <w:sz w:val="18"/>
        </w:rPr>
        <w:t>177</w:t>
      </w:r>
      <w:r>
        <w:rPr>
          <w:rFonts w:ascii="Times New Roman"/>
          <w:sz w:val="18"/>
        </w:rPr>
      </w:r>
    </w:p>
    <w:sectPr>
      <w:headerReference w:type="default" r:id="rId21"/>
      <w:footerReference w:type="default" r:id="rId22"/>
      <w:pgSz w:w="11920" w:h="16840"/>
      <w:pgMar w:header="0" w:footer="0" w:top="6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43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43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43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143256" type="#_x0000_t202" filled="false" stroked="false">
          <v:textbox inset="0,0,0,0">
            <w:txbxContent>
              <w:p>
                <w:pPr>
                  <w:pStyle w:val="BodyText"/>
                  <w:spacing w:line="214" w:lineRule="exact"/>
                  <w:ind w:left="20" w:right="0"/>
                  <w:jc w:val="left"/>
                </w:pPr>
                <w:r>
                  <w:rPr/>
                  <w:t>福建榕基软件股份有限公司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42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133"/>
      <w:ind w:left="63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rongji.com/" TargetMode="External"/><Relationship Id="rId10" Type="http://schemas.openxmlformats.org/officeDocument/2006/relationships/hyperlink" Target="mailto:rongji@rongji.com" TargetMode="External"/><Relationship Id="rId11" Type="http://schemas.openxmlformats.org/officeDocument/2006/relationships/hyperlink" Target="mailto:wanxiaoxiong@rongji.com" TargetMode="External"/><Relationship Id="rId12" Type="http://schemas.openxmlformats.org/officeDocument/2006/relationships/hyperlink" Target="mailto:chenlve@rongji.com" TargetMode="External"/><Relationship Id="rId13" Type="http://schemas.openxmlformats.org/officeDocument/2006/relationships/hyperlink" Target="mailto:e@rongji.com" TargetMode="External"/><Relationship Id="rId14" Type="http://schemas.openxmlformats.org/officeDocument/2006/relationships/hyperlink" Target="http://www.cninfo.com.cn/" TargetMode="External"/><Relationship Id="rId15" Type="http://schemas.openxmlformats.org/officeDocument/2006/relationships/hyperlink" Target="http://w/" TargetMode="External"/><Relationship Id="rId16" Type="http://schemas.openxmlformats.org/officeDocument/2006/relationships/hyperlink" Target="http://ircs.p5w.net/ircs/topicInteraction/b" TargetMode="External"/><Relationship Id="rId17" Type="http://schemas.openxmlformats.org/officeDocument/2006/relationships/hyperlink" Target="http://www.cninfo.com.cn/finalpage/201" TargetMode="External"/><Relationship Id="rId18" Type="http://schemas.openxmlformats.org/officeDocument/2006/relationships/hyperlink" Target="http://www.cninfo.com.cn/finalpage/2014-09-30/1200275355.PDF" TargetMode="External"/><Relationship Id="rId19" Type="http://schemas.openxmlformats.org/officeDocument/2006/relationships/image" Target="media/image2.jpeg"/><Relationship Id="rId20" Type="http://schemas.openxmlformats.org/officeDocument/2006/relationships/footer" Target="footer3.xm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image" Target="media/image3.jpeg"/><Relationship Id="rId24" Type="http://schemas.openxmlformats.org/officeDocument/2006/relationships/image" Target="media/image4.jpeg"/><Relationship Id="rId2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2020-05-04T13:48:17Z</dcterms:created>
  <dcterms:modified xsi:type="dcterms:W3CDTF">2020-05-04T13:48:17Z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PScript5.dll Version 5.2.2</vt:lpwstr>
  </property>
  <property fmtid="{D5CDD505-2E9C-101B-9397-08002B2CF9AE}" pid="4" name="LastSaved">
    <vt:filetime>2020-05-04T00:00:00Z</vt:filetime>
  </property>
</Properties>
</file>