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52"/>
          <w:szCs w:val="52"/>
        </w:rPr>
      </w:pPr>
      <w:r>
        <w:rPr>
          <w:rFonts w:ascii="SimHei" w:eastAsia="SimHei" w:hAnsi="SimHei" w:cs="SimHei"/>
          <w:b/>
          <w:bCs/>
          <w:color w:val="000000"/>
          <w:spacing w:val="0"/>
          <w:w w:val="100"/>
          <w:position w:val="0"/>
          <w:sz w:val="52"/>
          <w:szCs w:val="52"/>
        </w:rPr>
        <w:t>福建榕基软件股份有限公司</w:t>
      </w:r>
    </w:p>
    <w:p>
      <w:pPr>
        <w:pStyle w:val="Style2"/>
        <w:keepNext w:val="0"/>
        <w:keepLines w:val="0"/>
        <w:widowControl w:val="0"/>
        <w:shd w:val="clear" w:color="auto" w:fill="auto"/>
        <w:bidi w:val="0"/>
        <w:spacing w:before="0" w:after="120" w:line="240" w:lineRule="auto"/>
        <w:ind w:left="0" w:right="0" w:firstLine="0"/>
        <w:jc w:val="center"/>
        <w:rPr>
          <w:sz w:val="30"/>
          <w:szCs w:val="30"/>
        </w:rPr>
      </w:pPr>
      <w:r>
        <w:rPr>
          <w:b/>
          <w:bCs/>
          <w:color w:val="000000"/>
          <w:spacing w:val="0"/>
          <w:w w:val="100"/>
          <w:position w:val="0"/>
          <w:sz w:val="30"/>
          <w:szCs w:val="30"/>
        </w:rPr>
        <w:t>Fujian Rongji Software Co., Ltd.</w:t>
      </w:r>
    </w:p>
    <w:p>
      <w:pPr>
        <w:pStyle w:val="Style2"/>
        <w:keepNext w:val="0"/>
        <w:keepLines w:val="0"/>
        <w:widowControl w:val="0"/>
        <w:shd w:val="clear" w:color="auto" w:fill="auto"/>
        <w:bidi w:val="0"/>
        <w:spacing w:before="0" w:after="3300" w:line="240" w:lineRule="auto"/>
        <w:ind w:left="1700" w:right="0" w:firstLine="0"/>
        <w:jc w:val="left"/>
        <w:rPr>
          <w:sz w:val="32"/>
          <w:szCs w:val="32"/>
        </w:rPr>
      </w:pPr>
      <w:r>
        <w:rPr>
          <w:rFonts w:ascii="SimHei" w:eastAsia="SimHei" w:hAnsi="SimHei" w:cs="SimHei"/>
          <w:b/>
          <w:bCs/>
          <w:color w:val="000000"/>
          <w:spacing w:val="0"/>
          <w:w w:val="100"/>
          <w:position w:val="0"/>
          <w:sz w:val="32"/>
          <w:szCs w:val="32"/>
        </w:rPr>
        <w:t>（福州市鼓楼区铜盘路福州软件园产业基地）</w:t>
      </w:r>
    </w:p>
    <w:p>
      <w:pPr>
        <w:pStyle w:val="Style2"/>
        <w:keepNext w:val="0"/>
        <w:keepLines w:val="0"/>
        <w:widowControl w:val="0"/>
        <w:shd w:val="clear" w:color="auto" w:fill="auto"/>
        <w:bidi w:val="0"/>
        <w:spacing w:before="0" w:after="5740" w:line="240" w:lineRule="auto"/>
        <w:ind w:left="0" w:right="0" w:firstLine="0"/>
        <w:jc w:val="center"/>
        <w:rPr>
          <w:sz w:val="72"/>
          <w:szCs w:val="72"/>
        </w:rPr>
      </w:pPr>
      <w:r>
        <w:rPr>
          <w:b/>
          <w:bCs/>
          <w:color w:val="000000"/>
          <w:spacing w:val="0"/>
          <w:w w:val="100"/>
          <w:position w:val="0"/>
          <w:sz w:val="72"/>
          <w:szCs w:val="72"/>
        </w:rPr>
        <w:t>2016</w:t>
      </w:r>
      <w:r>
        <w:rPr>
          <w:rFonts w:ascii="SimHei" w:eastAsia="SimHei" w:hAnsi="SimHei" w:cs="SimHei"/>
          <w:b/>
          <w:bCs/>
          <w:color w:val="000000"/>
          <w:spacing w:val="0"/>
          <w:w w:val="100"/>
          <w:position w:val="0"/>
          <w:sz w:val="72"/>
          <w:szCs w:val="72"/>
        </w:rPr>
        <w:t>年度报告</w:t>
      </w:r>
    </w:p>
    <w:p>
      <w:pPr>
        <w:pStyle w:val="Style2"/>
        <w:keepNext w:val="0"/>
        <w:keepLines w:val="0"/>
        <w:widowControl w:val="0"/>
        <w:shd w:val="clear" w:color="auto" w:fill="auto"/>
        <w:bidi w:val="0"/>
        <w:spacing w:before="0" w:after="0" w:line="466" w:lineRule="exact"/>
        <w:ind w:left="5480" w:right="0" w:firstLine="0"/>
        <w:jc w:val="left"/>
        <w:rPr>
          <w:sz w:val="28"/>
          <w:szCs w:val="28"/>
        </w:rPr>
      </w:pPr>
      <w:r>
        <w:rPr>
          <w:rFonts w:ascii="SimSun" w:eastAsia="SimSun" w:hAnsi="SimSun" w:cs="SimSun"/>
          <w:b/>
          <w:bCs/>
          <w:color w:val="000000"/>
          <w:spacing w:val="0"/>
          <w:w w:val="100"/>
          <w:position w:val="0"/>
          <w:sz w:val="28"/>
          <w:szCs w:val="28"/>
        </w:rPr>
        <w:t>公告编号：</w:t>
      </w:r>
      <w:r>
        <w:rPr>
          <w:rFonts w:ascii="Arial" w:eastAsia="Arial" w:hAnsi="Arial" w:cs="Arial"/>
          <w:b/>
          <w:bCs/>
          <w:color w:val="000000"/>
          <w:spacing w:val="0"/>
          <w:w w:val="100"/>
          <w:position w:val="0"/>
          <w:sz w:val="28"/>
          <w:szCs w:val="28"/>
        </w:rPr>
        <w:t xml:space="preserve">2017-016 </w:t>
      </w:r>
      <w:r>
        <w:rPr>
          <w:rFonts w:ascii="SimSun" w:eastAsia="SimSun" w:hAnsi="SimSun" w:cs="SimSun"/>
          <w:b/>
          <w:bCs/>
          <w:color w:val="000000"/>
          <w:spacing w:val="0"/>
          <w:w w:val="100"/>
          <w:position w:val="0"/>
          <w:sz w:val="28"/>
          <w:szCs w:val="28"/>
        </w:rPr>
        <w:t>证券代码：</w:t>
      </w:r>
      <w:r>
        <w:rPr>
          <w:rFonts w:ascii="Arial" w:eastAsia="Arial" w:hAnsi="Arial" w:cs="Arial"/>
          <w:b/>
          <w:bCs/>
          <w:color w:val="000000"/>
          <w:spacing w:val="0"/>
          <w:w w:val="100"/>
          <w:position w:val="0"/>
          <w:sz w:val="28"/>
          <w:szCs w:val="28"/>
        </w:rPr>
        <w:t>002474</w:t>
      </w:r>
    </w:p>
    <w:p>
      <w:pPr>
        <w:pStyle w:val="Style15"/>
        <w:keepNext w:val="0"/>
        <w:keepLines w:val="0"/>
        <w:widowControl w:val="0"/>
        <w:shd w:val="clear" w:color="auto" w:fill="auto"/>
        <w:bidi w:val="0"/>
        <w:spacing w:before="0" w:after="0" w:line="466" w:lineRule="exact"/>
        <w:ind w:left="5480" w:right="0" w:firstLine="0"/>
        <w:jc w:val="left"/>
      </w:pPr>
      <w:r>
        <w:rPr>
          <w:color w:val="000000"/>
          <w:spacing w:val="0"/>
          <w:w w:val="100"/>
          <w:position w:val="0"/>
        </w:rPr>
        <w:t>证券简称：榕基软件</w:t>
      </w:r>
    </w:p>
    <w:p>
      <w:pPr>
        <w:pStyle w:val="Style15"/>
        <w:keepNext w:val="0"/>
        <w:keepLines w:val="0"/>
        <w:widowControl w:val="0"/>
        <w:shd w:val="clear" w:color="auto" w:fill="auto"/>
        <w:bidi w:val="0"/>
        <w:spacing w:before="0" w:after="0" w:line="466" w:lineRule="exact"/>
        <w:ind w:left="5480" w:right="0" w:firstLine="0"/>
        <w:jc w:val="left"/>
      </w:pPr>
      <w:r>
        <w:rPr>
          <w:color w:val="000000"/>
          <w:spacing w:val="0"/>
          <w:w w:val="100"/>
          <w:position w:val="0"/>
        </w:rPr>
        <w:t>披露日期：</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1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ind w:left="0" w:right="0"/>
        <w:jc w:val="both"/>
      </w:pPr>
      <w:r>
        <w:rPr>
          <w:color w:val="000000"/>
          <w:spacing w:val="0"/>
          <w:w w:val="100"/>
          <w:position w:val="0"/>
        </w:rPr>
        <w:t>公司负责人鲁峰、主管会计工作负责人侯伟及会计机构负责人（会计主管人 员）镇千金声明：保证年度报告中财务报告的真实、准确、完整。</w:t>
      </w:r>
    </w:p>
    <w:p>
      <w:pPr>
        <w:pStyle w:val="Style15"/>
        <w:keepNext w:val="0"/>
        <w:keepLines w:val="0"/>
        <w:widowControl w:val="0"/>
        <w:shd w:val="clear" w:color="auto" w:fill="auto"/>
        <w:bidi w:val="0"/>
        <w:spacing w:before="0" w:after="120" w:line="626"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本报告中涉及未来发展规划等事项的前瞻性陈述，不构成公司对投资者的 实质承诺，请投资者注意投资风险。</w:t>
      </w:r>
    </w:p>
    <w:p>
      <w:pPr>
        <w:pStyle w:val="Style15"/>
        <w:keepNext w:val="0"/>
        <w:keepLines w:val="0"/>
        <w:widowControl w:val="0"/>
        <w:shd w:val="clear" w:color="auto" w:fill="auto"/>
        <w:bidi w:val="0"/>
        <w:spacing w:before="0" w:line="614" w:lineRule="exact"/>
        <w:ind w:left="0" w:right="0"/>
        <w:jc w:val="both"/>
      </w:pPr>
      <w:r>
        <w:rPr>
          <w:color w:val="000000"/>
          <w:spacing w:val="0"/>
          <w:w w:val="100"/>
          <w:position w:val="0"/>
        </w:rPr>
        <w:t>公司已在本报告中详细描述未来将面临的主要风险及应对措施，详情请查 阅本报告“第四节经营情况讨论与分析”之“九、公司未来发展的展望”部分，请 投资者注意投资风险。</w:t>
      </w:r>
    </w:p>
    <w:p>
      <w:pPr>
        <w:pStyle w:val="Style15"/>
        <w:keepNext w:val="0"/>
        <w:keepLines w:val="0"/>
        <w:widowControl w:val="0"/>
        <w:shd w:val="clear" w:color="auto" w:fill="auto"/>
        <w:bidi w:val="0"/>
        <w:spacing w:before="0" w:line="636"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599" w:right="1105" w:bottom="1858" w:left="1100" w:header="0" w:footer="3" w:gutter="0"/>
          <w:pgNumType w:start="1"/>
          <w:cols w:space="720"/>
          <w:noEndnote/>
          <w:titlePg/>
          <w:rtlGutter w:val="0"/>
          <w:docGrid w:linePitch="360"/>
        </w:sectPr>
      </w:pPr>
      <w:r>
        <w:rPr>
          <w:color w:val="000000"/>
          <w:spacing w:val="0"/>
          <w:w w:val="100"/>
          <w:position w:val="0"/>
        </w:rPr>
        <w:t>公司经本次董事会审议通过的利润分配预案为：以622,200,000为基数，向 全体股东每10股派发现金红利</w:t>
      </w:r>
      <w:r>
        <w:rPr>
          <w:color w:val="000000"/>
          <w:spacing w:val="0"/>
          <w:w w:val="100"/>
          <w:position w:val="0"/>
        </w:rPr>
        <w:t>0.10</w:t>
      </w:r>
      <w:r>
        <w:rPr>
          <w:color w:val="000000"/>
          <w:spacing w:val="0"/>
          <w:w w:val="100"/>
          <w:position w:val="0"/>
        </w:rPr>
        <w:t>元（含税），送红股0股（含税），不以公积 金转增股本。</w:t>
      </w:r>
    </w:p>
    <w:p>
      <w:pPr>
        <w:pStyle w:val="Style2"/>
        <w:keepNext w:val="0"/>
        <w:keepLines w:val="0"/>
        <w:widowControl w:val="0"/>
        <w:shd w:val="clear" w:color="auto" w:fill="auto"/>
        <w:bidi w:val="0"/>
        <w:spacing w:before="1420" w:after="148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1"/>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9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88"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3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9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9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32"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12"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16"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176</w:t>
      </w:r>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公司、本公司、榕基软件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福建榕基软件股份有限公司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上海榕基软件开发有限公司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创华公司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福州创华电气自动化有限公司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浙江榕基信息技术有限公司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五一公司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榕基五一（北京）信息技术有限公司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榕基工程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福建榕基软件工程有限公司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河南榕基信息技术有限公司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中榕基公司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北京中榕基信息技术有限公司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马鞍山榕基软件信息科技有限公司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榕基投资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福建榕基投资有限公司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信阳榕基信息技术有限公司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榕基国际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榕基国际控股有限公司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亿榕信息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福建亿榕信息技术有限公司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星云大数据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福建省星云大数据应用服务有限公司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星榕基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福建星榕基信息科技有限责任公司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中国证券监督管理委员会福建监管局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公司主营业务领域、四大业务领域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电子政务、信息安全、质检三电工程、协同管理等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电子政务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公共管理组织在政务活动中，综合运用现代信息技术，实现服务职能 和管理职能重组优化的运作模式。电子政务有狭义和广义之分。狭义 的电子政务专指政府部门的管理和服务，广义的电子政务包括各类行 政管理活动，例如电子政府（狭义电子政务）、电子党务、电子政协、 电子人大</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物联网是指通过各种信息传感设备，实时采集任何需要监控、连接、 互动的物体或过程等各种需要的信息，与互联网结合形成的一个巨大 网络。其目是实现物与物、物与人，所有物品与网络的连接，方便识 别、管理和控制。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天平工程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最高人民法院在''十二五''期间，推进全国法院信息化建设的重大举措， 是国家电子政务重点业务信息系统建设项目</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金质工程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质量监督检验检疫信息化工程，国家电子政务建设的重要组成部分。</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金质工程''的建设促进了各级质检机关向管理服务型转变，形成全国 统一的质检网络，促进质检系统执法电子化、信息化，为生产企业和 进出口企业带来更大的方便与效益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中国电子检验检疫主干系统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中国电子检验检疫在全国范围的信息化平台及应用系统；进一步完 善、整合和推广中国电子检验检疫''十一五''时期建成的各项信息化应 用而建成高速、泛在的信息基础云设施、实现数据大集中、应用大集 中、支撑平台大集中的项目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三电工程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金质工程''的重要组成部分，包括''电子申报、电子监管、电子放行</w:t>
            </w:r>
            <w:r>
              <w:rPr>
                <w:color w:val="000000"/>
                <w:spacing w:val="0"/>
                <w:w w:val="100"/>
                <w:position w:val="0"/>
              </w:rPr>
              <w:t xml:space="preserve">" </w:t>
            </w:r>
            <w:r>
              <w:rPr>
                <w:rFonts w:ascii="SimSun" w:eastAsia="SimSun" w:hAnsi="SimSun" w:cs="SimSun"/>
                <w:color w:val="000000"/>
                <w:spacing w:val="0"/>
                <w:w w:val="100"/>
                <w:position w:val="0"/>
              </w:rPr>
              <w:t>三大电子化业务应用</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协同管理软件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基于网络的、实现组织内部多人或者多组织共同完成管理事务、提高 组织的灵活性和应变能力的软件</w:t>
            </w:r>
          </w:p>
        </w:tc>
      </w:tr>
    </w:tbl>
    <w:p>
      <w:pPr>
        <w:sectPr>
          <w:footnotePr>
            <w:pos w:val="pageBottom"/>
            <w:numFmt w:val="decimal"/>
            <w:numRestart w:val="continuous"/>
          </w:footnotePr>
          <w:pgSz w:w="11900" w:h="16840"/>
          <w:pgMar w:top="1441" w:right="1142" w:bottom="1801" w:left="1085" w:header="0" w:footer="3" w:gutter="0"/>
          <w:cols w:space="720"/>
          <w:noEndnote/>
          <w:rtlGutter w:val="0"/>
          <w:docGrid w:linePitch="360"/>
        </w:sectPr>
      </w:pPr>
    </w:p>
    <w:p>
      <w:pPr>
        <w:pStyle w:val="Style18"/>
        <w:keepNext/>
        <w:keepLines/>
        <w:widowControl w:val="0"/>
        <w:shd w:val="clear" w:color="auto" w:fill="auto"/>
        <w:bidi w:val="0"/>
        <w:spacing w:before="50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6"/>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bookmarkStart w:id="9" w:name="bookmark9"/>
      <w:r>
        <w:rPr>
          <w:color w:val="000000"/>
          <w:spacing w:val="0"/>
          <w:w w:val="100"/>
          <w:position w:val="0"/>
          <w:sz w:val="24"/>
          <w:szCs w:val="24"/>
        </w:rPr>
        <w:t>、公司信息</w:t>
      </w:r>
      <w:bookmarkEnd w:id="7"/>
      <w:bookmarkEnd w:id="8"/>
      <w:bookmarkEnd w:id="9"/>
      <w:bookmarkEnd w:id="6"/>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榕基软件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福建榕基软件股份有限公司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榕基软件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FUJIAN RONGJI SOFTWARE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RONGJI SOFTWARE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福建省福州市鼓楼区铜盘路福州软件园产业基地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福建省福州市鼓楼区铜盘路福州软件园产业基地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rongji.com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"mailto:rongji@rongji.com" </w:instrText>
            </w:r>
            <w:r>
              <w:fldChar w:fldCharType="separate"/>
            </w:r>
            <w:r>
              <w:rPr>
                <w:color w:val="000000"/>
                <w:spacing w:val="0"/>
                <w:w w:val="100"/>
                <w:position w:val="0"/>
              </w:rPr>
              <w:t>rongji@rongji.com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万孝雄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福州市鼓楼区铜盘路福州软件园产业基 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福州市鼓楼区铜盘路福州软件园产业基 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0591-83517761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0591-87303569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0591-87862566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0591-87862566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"mailto:wanxiaoxiong@rongji.com" </w:instrText>
            </w:r>
            <w:r>
              <w:fldChar w:fldCharType="separate"/>
            </w:r>
            <w:r>
              <w:rPr>
                <w:color w:val="000000"/>
                <w:spacing w:val="0"/>
                <w:w w:val="100"/>
                <w:position w:val="0"/>
              </w:rPr>
              <w:t>wanxiaoxiong@rongji.com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"mailto:chenlve@rongji.com" </w:instrText>
            </w:r>
            <w:r>
              <w:fldChar w:fldCharType="separate"/>
            </w:r>
            <w:r>
              <w:rPr>
                <w:color w:val="000000"/>
                <w:spacing w:val="0"/>
                <w:w w:val="100"/>
                <w:position w:val="0"/>
              </w:rPr>
              <w:t>chenlve@rongji.com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《证券时报》、《证券日报》、《中国证券报》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913500006285075795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福建省厦门市珍珠湾软件园创新大厦</w:t>
            </w:r>
            <w:r>
              <w:rPr>
                <w:color w:val="000000"/>
                <w:spacing w:val="0"/>
                <w:w w:val="100"/>
                <w:position w:val="0"/>
              </w:rPr>
              <w:t>A</w:t>
            </w:r>
            <w:r>
              <w:rPr>
                <w:rFonts w:ascii="SimSun" w:eastAsia="SimSun" w:hAnsi="SimSun" w:cs="SimSun"/>
                <w:color w:val="000000"/>
                <w:spacing w:val="0"/>
                <w:w w:val="100"/>
                <w:position w:val="0"/>
              </w:rPr>
              <w:t>区</w:t>
            </w:r>
            <w:r>
              <w:rPr>
                <w:color w:val="000000"/>
                <w:spacing w:val="0"/>
                <w:w w:val="100"/>
                <w:position w:val="0"/>
              </w:rPr>
              <w:t>12-15</w:t>
            </w:r>
            <w:r>
              <w:rPr>
                <w:rFonts w:ascii="SimSun" w:eastAsia="SimSun" w:hAnsi="SimSun" w:cs="SimSun"/>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林庆瑜、杨莹</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702,592,311.90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623,602,054.84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598,305,165.28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24,845,319.23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15,830,627.57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22,250,622.89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12,405,680.66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-1,338,504.83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57,174,908.96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18,002,162.93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-43,156,140.17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2,135,196,120.20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1,906,471,210.30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1,686,154,881.95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1,403,645,637.60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1,367,295,745.91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1,355,839,634.45</w:t>
            </w:r>
          </w:p>
        </w:tc>
      </w:tr>
    </w:tbl>
    <w:p>
      <w:pPr>
        <w:pStyle w:val="Style26"/>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、境内外会计准则下会计数据差异</w:t>
      </w:r>
      <w:bookmarkEnd w:id="30"/>
      <w:bookmarkEnd w:id="31"/>
      <w:bookmarkEnd w:id="33"/>
    </w:p>
    <w:p>
      <w:pPr>
        <w:pStyle w:val="Style33"/>
        <w:keepNext/>
        <w:keepLines/>
        <w:widowControl w:val="0"/>
        <w:shd w:val="clear" w:color="auto" w:fill="auto"/>
        <w:tabs>
          <w:tab w:pos="368"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78"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、分季度主要财务指标</w:t>
      </w:r>
      <w:bookmarkEnd w:id="42"/>
      <w:bookmarkEnd w:id="43"/>
      <w:bookmarkEnd w:id="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1"/>
        <w:gridCol w:w="1747"/>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105,736,088.36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160,773,231.68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129,529,378.60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306,553,613.26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6,609,187.53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9,581,862.56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4,175,203.92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4,479,065.22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3,843,552.74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5,640,015.30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1,831,830.29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1,090,282.33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-38,290,419.67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-8,788,793.67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-11,550,557.50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115,804,679.80</w:t>
            </w:r>
          </w:p>
        </w:tc>
      </w:tr>
    </w:tbl>
    <w:p>
      <w:pPr>
        <w:pStyle w:val="Style30"/>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6"/>
        <w:gridCol w:w="1517"/>
        <w:gridCol w:w="1522"/>
        <w:gridCol w:w="17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6,613,758.07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5,822,237.71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4,643,214.66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8,326,697.62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14,208,765.40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24,293,468.96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-50,851.91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1,915,390.93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3,694,861.49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5,280,562.88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16,141.11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12,439,638.57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16,297,390.15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23,589,127.72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402" w:right="1131" w:bottom="1517"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8"/>
        <w:keepNext/>
        <w:keepLines/>
        <w:widowControl w:val="0"/>
        <w:shd w:val="clear" w:color="auto" w:fill="auto"/>
        <w:bidi w:val="0"/>
        <w:spacing w:before="520" w:after="56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6"/>
        <w:keepNext/>
        <w:keepLines/>
        <w:widowControl w:val="0"/>
        <w:shd w:val="clear" w:color="auto" w:fill="auto"/>
        <w:bidi w:val="0"/>
        <w:spacing w:before="0" w:after="24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、报告期内公司从事的主要业务</w:t>
      </w:r>
      <w:bookmarkEnd w:id="54"/>
      <w:bookmarkEnd w:id="55"/>
      <w:bookmarkEnd w:id="57"/>
      <w:bookmarkEnd w:id="53"/>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公司是国内电子政务和协同管理细分领域的领先服务厂商，海西软件产业的龙头企业；公司是国内质检行业信息化解决 方案的领导者，中国电子检验检疫核心主干系统</w:t>
      </w:r>
      <w:r>
        <w:rPr>
          <w:rFonts w:ascii="Times New Roman" w:eastAsia="Times New Roman" w:hAnsi="Times New Roman" w:cs="Times New Roman"/>
          <w:color w:val="000000"/>
          <w:spacing w:val="0"/>
          <w:w w:val="100"/>
          <w:position w:val="0"/>
        </w:rPr>
        <w:t>ECIQ</w:t>
      </w:r>
      <w:r>
        <w:rPr>
          <w:color w:val="000000"/>
          <w:spacing w:val="0"/>
          <w:w w:val="100"/>
          <w:position w:val="0"/>
        </w:rPr>
        <w:t>的唯一承建商，客户遍及全国；公司是法院、司法行政、环保等行业 信息化的重要服务厂商；公司是协同管理领域的先行者，客户遍及党政、能源、电信等行业，是国内拥有最多实用化客户的 厂商之一。公司一直专注于行业应用软件产品及相关系统集成和信息服务，为党政、质检、能源、司法行政、环保等行业客 户提供信息系统全生命周期、全方位的专业服务。</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报告期内，公司坚定推进软件</w:t>
      </w:r>
      <w:r>
        <w:rPr>
          <w:rFonts w:ascii="Calibri" w:eastAsia="Calibri" w:hAnsi="Calibri" w:cs="Calibri"/>
          <w:color w:val="000000"/>
          <w:spacing w:val="0"/>
          <w:w w:val="100"/>
          <w:position w:val="0"/>
          <w:sz w:val="18"/>
          <w:szCs w:val="18"/>
        </w:rPr>
        <w:t>“</w:t>
      </w:r>
      <w:r>
        <w:rPr>
          <w:color w:val="000000"/>
          <w:spacing w:val="0"/>
          <w:w w:val="100"/>
          <w:position w:val="0"/>
        </w:rPr>
        <w:t>行业化、产品化、服务化</w:t>
      </w:r>
      <w:r>
        <w:rPr>
          <w:rFonts w:ascii="Calibri" w:eastAsia="Calibri" w:hAnsi="Calibri" w:cs="Calibri"/>
          <w:color w:val="000000"/>
          <w:spacing w:val="0"/>
          <w:w w:val="100"/>
          <w:position w:val="0"/>
          <w:sz w:val="18"/>
          <w:szCs w:val="18"/>
        </w:rPr>
        <w:t>"</w:t>
      </w:r>
      <w:r>
        <w:rPr>
          <w:color w:val="000000"/>
          <w:spacing w:val="0"/>
          <w:w w:val="100"/>
          <w:position w:val="0"/>
        </w:rPr>
        <w:t>经营战略，依托长期积累的品牌、团队、产品、技术等综合优 势，进一步巩固在电子政务、质检信息化、物联网等领域的优势，积极培育和拓展大数据、自主可控、云计算、物联网等新 技术新业务。</w:t>
      </w:r>
    </w:p>
    <w:p>
      <w:pPr>
        <w:pStyle w:val="Style30"/>
        <w:keepNext w:val="0"/>
        <w:keepLines w:val="0"/>
        <w:widowControl w:val="0"/>
        <w:shd w:val="clear" w:color="auto" w:fill="auto"/>
        <w:bidi w:val="0"/>
        <w:spacing w:before="0" w:after="0" w:line="313" w:lineRule="exact"/>
        <w:ind w:left="0" w:right="0"/>
        <w:jc w:val="both"/>
      </w:pPr>
      <w:bookmarkStart w:id="58" w:name="bookmark58"/>
      <w:r>
        <w:rPr>
          <w:rFonts w:ascii="Times New Roman" w:eastAsia="Times New Roman" w:hAnsi="Times New Roman" w:cs="Times New Roman"/>
          <w:color w:val="000000"/>
          <w:spacing w:val="0"/>
          <w:w w:val="100"/>
          <w:position w:val="0"/>
        </w:rPr>
        <w:t>1</w:t>
      </w:r>
      <w:bookmarkEnd w:id="58"/>
      <w:r>
        <w:rPr>
          <w:color w:val="000000"/>
          <w:spacing w:val="0"/>
          <w:w w:val="100"/>
          <w:position w:val="0"/>
        </w:rPr>
        <w:t>、在电子政务领域，报告期内公司持续保持较高的研发投入，积极进行云计算、大数据、自主可控等先进技术的研究 以及基础性、共性关键技术和产品以及行业应用的研发，获得了无线信息服务平台、移动政务云平台、安全云服务平台、行 业大数据平台、安全可靠党政办公系统、安全可靠电子政务应用平台等多项自主知识产权，并实现了示范应用和推广，为提 升公司的核心竞争力、实现公司经营业绩的持续稳健增长提供了有效支撑。</w:t>
      </w:r>
    </w:p>
    <w:p>
      <w:pPr>
        <w:pStyle w:val="Style30"/>
        <w:keepNext w:val="0"/>
        <w:keepLines w:val="0"/>
        <w:widowControl w:val="0"/>
        <w:shd w:val="clear" w:color="auto" w:fill="auto"/>
        <w:tabs>
          <w:tab w:pos="836" w:val="left"/>
        </w:tabs>
        <w:bidi w:val="0"/>
        <w:spacing w:before="0" w:after="0" w:line="313" w:lineRule="exact"/>
        <w:ind w:left="0" w:right="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月，中共中央办公厅、国务院办公厅发布了《国家信息化发展战略纲要》，提出要构建安全可控的信息技 术体系，培育形成具有国际竞争力的产业生态。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月全国人大常委会表决通过《中华人民共和国网络安全法》，</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月国家互联网信息办公室发布《国家网络空间安全战略》，提出要加强自主创新能力建设，加快发展自主可控的战略高新技 术和重要领域核心关键技术，保障重大技术和工程的安全。</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近年来，国家更加重视信息安全战略，党政部门、企业和行业相关组织已形成共识，自主可控将是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保障信息化 建设和实现网络安全的立足之本，这一国家战略决策将深刻影响我国未来信息化的发展和</w:t>
      </w:r>
      <w:r>
        <w:rPr>
          <w:rFonts w:ascii="Times New Roman" w:eastAsia="Times New Roman" w:hAnsi="Times New Roman" w:cs="Times New Roman"/>
          <w:color w:val="000000"/>
          <w:spacing w:val="0"/>
          <w:w w:val="100"/>
          <w:position w:val="0"/>
        </w:rPr>
        <w:t>IT</w:t>
      </w:r>
      <w:r>
        <w:rPr>
          <w:color w:val="000000"/>
          <w:spacing w:val="0"/>
          <w:w w:val="100"/>
          <w:position w:val="0"/>
        </w:rPr>
        <w:t>市场的竞争格局。可以预见，随 着相关政策的推动和落地，国产安全可靠基础软硬件产业链的进一步培育发展，自主可控领域的需求将会呈现爆发式增长。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报告期内，公司进一步确定加速发展企业自主可控、安全可靠战略，以</w:t>
      </w:r>
      <w:r>
        <w:rPr>
          <w:rFonts w:ascii="Times New Roman" w:eastAsia="Times New Roman" w:hAnsi="Times New Roman" w:cs="Times New Roman"/>
          <w:color w:val="000000"/>
          <w:spacing w:val="0"/>
          <w:w w:val="100"/>
          <w:position w:val="0"/>
        </w:rPr>
        <w:t>“</w:t>
      </w:r>
      <w:r>
        <w:rPr>
          <w:color w:val="000000"/>
          <w:spacing w:val="0"/>
          <w:w w:val="100"/>
          <w:position w:val="0"/>
        </w:rPr>
        <w:t>自主创新、高起点集成、互相协作、分步实施</w:t>
      </w:r>
      <w:r>
        <w:rPr>
          <w:rFonts w:ascii="Times New Roman" w:eastAsia="Times New Roman" w:hAnsi="Times New Roman" w:cs="Times New Roman"/>
          <w:color w:val="000000"/>
          <w:spacing w:val="0"/>
          <w:w w:val="100"/>
          <w:position w:val="0"/>
        </w:rPr>
        <w:t xml:space="preserve">” </w:t>
      </w:r>
      <w:r>
        <w:rPr>
          <w:color w:val="000000"/>
          <w:spacing w:val="0"/>
          <w:w w:val="100"/>
          <w:position w:val="0"/>
        </w:rPr>
        <w:t>为原则，聚焦安全可靠基础应用平台、安全可靠办公系统的研发、适配和示范应用，未来将逐步推动质检、环保、法院等行 业应用的安全可靠全面替代。公司加大相关技术研发投入，加强自主可控重点实验室建设，与国产基础软硬件产业链企业紧 密合作，对系统架构、一体化适配、系统集成、系统性能和可靠性等重点难点问题进行全面攻关验证，研发形成安全可靠电 子公文系统、安全可靠电子公文交换系统、安全可靠党政办公系统、安全可靠电子政务应用平台等自主知识产权的自主可控 软件产品，并在项目中得到应用验证，为公司发展自主可控战略奠定了坚实的基础。</w:t>
      </w:r>
    </w:p>
    <w:p>
      <w:pPr>
        <w:pStyle w:val="Style30"/>
        <w:keepNext w:val="0"/>
        <w:keepLines w:val="0"/>
        <w:widowControl w:val="0"/>
        <w:shd w:val="clear" w:color="auto" w:fill="auto"/>
        <w:tabs>
          <w:tab w:pos="836" w:val="left"/>
        </w:tabs>
        <w:bidi w:val="0"/>
        <w:spacing w:before="0" w:after="0" w:line="316" w:lineRule="exact"/>
        <w:ind w:left="0" w:right="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rPr>
        <w:t>2</w:t>
      </w:r>
      <w:r>
        <w:rPr>
          <w:color w:val="000000"/>
          <w:spacing w:val="0"/>
          <w:w w:val="100"/>
          <w:position w:val="0"/>
        </w:rPr>
        <w:t>）</w:t>
        <w:tab/>
        <w:t>协同管理软件作为行业应用软件重要的细分领域，呈现出智能化、云化、移动化、平台化和国产化等发展趋势特 征，保持持续快速的增长势头。</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报告期内，公司坚持技术创新、应用创新和商业模式创新，研发出新一代智能云化协同办公平台、数字档案平台、移动 应用服务平台及安全可靠应用平台，继续提升在协同管理细分领域内的竞争优势，积极布局平台化运营和自主可控创新业务， 聚焦党政、司法行政、交通、能源等重点行业推广应用，在福建、浙江、江西、湖北、上海、河南等区域全面拓展市场，业 绩取得较大增长。</w:t>
      </w:r>
    </w:p>
    <w:p>
      <w:pPr>
        <w:pStyle w:val="Style30"/>
        <w:keepNext w:val="0"/>
        <w:keepLines w:val="0"/>
        <w:widowControl w:val="0"/>
        <w:shd w:val="clear" w:color="auto" w:fill="auto"/>
        <w:tabs>
          <w:tab w:pos="836" w:val="left"/>
        </w:tabs>
        <w:bidi w:val="0"/>
        <w:spacing w:before="0" w:after="0" w:line="316" w:lineRule="exact"/>
        <w:ind w:left="0" w:right="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rPr>
        <w:t>3</w:t>
      </w:r>
      <w:r>
        <w:rPr>
          <w:color w:val="000000"/>
          <w:spacing w:val="0"/>
          <w:w w:val="100"/>
          <w:position w:val="0"/>
        </w:rPr>
        <w:t>）</w:t>
        <w:tab/>
        <w:t>法院行业</w:t>
      </w:r>
      <w:r>
        <w:rPr>
          <w:rFonts w:ascii="Times New Roman" w:eastAsia="Times New Roman" w:hAnsi="Times New Roman" w:cs="Times New Roman"/>
          <w:color w:val="000000"/>
          <w:spacing w:val="0"/>
          <w:w w:val="100"/>
          <w:position w:val="0"/>
        </w:rPr>
        <w:t>“</w:t>
      </w:r>
      <w:r>
        <w:rPr>
          <w:color w:val="000000"/>
          <w:spacing w:val="0"/>
          <w:w w:val="100"/>
          <w:position w:val="0"/>
        </w:rPr>
        <w:t>天平工程</w:t>
      </w:r>
      <w:r>
        <w:rPr>
          <w:rFonts w:ascii="Times New Roman" w:eastAsia="Times New Roman" w:hAnsi="Times New Roman" w:cs="Times New Roman"/>
          <w:color w:val="000000"/>
          <w:spacing w:val="0"/>
          <w:w w:val="100"/>
          <w:position w:val="0"/>
        </w:rPr>
        <w:t>”</w:t>
      </w:r>
      <w:r>
        <w:rPr>
          <w:color w:val="000000"/>
          <w:spacing w:val="0"/>
          <w:w w:val="100"/>
          <w:position w:val="0"/>
        </w:rPr>
        <w:t>是国家电子政务建设的重要组成，最高人民法院发布的《人民法院信息化建设五年发展规划》 要求全面建设人民法院信息化</w:t>
      </w:r>
      <w:r>
        <w:rPr>
          <w:rFonts w:ascii="Times New Roman" w:eastAsia="Times New Roman" w:hAnsi="Times New Roman" w:cs="Times New Roman"/>
          <w:color w:val="000000"/>
          <w:spacing w:val="0"/>
          <w:w w:val="100"/>
          <w:position w:val="0"/>
        </w:rPr>
        <w:t>3.0</w:t>
      </w:r>
      <w:r>
        <w:rPr>
          <w:color w:val="000000"/>
          <w:spacing w:val="0"/>
          <w:w w:val="100"/>
          <w:position w:val="0"/>
        </w:rPr>
        <w:t>版，利用信息化促进审判体系、审判能力和法院管理能力现代化，围绕服务人民群众、服 务审判执行、服务司法管理，加快系统建设，打造智慧法院，强化保障体系，提升应用成效，为推进人民法院各项事业发展 提供有力的信息技术服务与保障。</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 xml:space="preserve">报告期内，公司以法院行业政策规划和市场需求为导向，积极运用大数据、移动互联网等技术，深入研究智慧法院和人 </w:t>
      </w:r>
      <w:r>
        <w:rPr>
          <w:color w:val="000000"/>
          <w:spacing w:val="0"/>
          <w:w w:val="100"/>
          <w:position w:val="0"/>
        </w:rPr>
        <w:t>民法院信息化</w:t>
      </w:r>
      <w:r>
        <w:rPr>
          <w:rFonts w:ascii="Times New Roman" w:eastAsia="Times New Roman" w:hAnsi="Times New Roman" w:cs="Times New Roman"/>
          <w:color w:val="000000"/>
          <w:spacing w:val="0"/>
          <w:w w:val="100"/>
          <w:position w:val="0"/>
        </w:rPr>
        <w:t>3.0</w:t>
      </w:r>
      <w:r>
        <w:rPr>
          <w:color w:val="000000"/>
          <w:spacing w:val="0"/>
          <w:w w:val="100"/>
          <w:position w:val="0"/>
        </w:rPr>
        <w:t>版建设需求，研发了司法大数据决策系统，升级完善了审判管理系统、移动执法系统等法院行业应用解决 方案，进一步提升了公司的核心竞争力，并在福建、河南和宁夏等地法院系统全面推广应用，为进一步拓展全国法院行业市 场建立了良好的典型示范。</w:t>
      </w:r>
    </w:p>
    <w:p>
      <w:pPr>
        <w:pStyle w:val="Style30"/>
        <w:keepNext w:val="0"/>
        <w:keepLines w:val="0"/>
        <w:widowControl w:val="0"/>
        <w:shd w:val="clear" w:color="auto" w:fill="auto"/>
        <w:bidi w:val="0"/>
        <w:spacing w:before="0" w:after="0" w:line="315" w:lineRule="exact"/>
        <w:ind w:left="0" w:right="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rPr>
        <w:t>4</w:t>
      </w:r>
      <w:r>
        <w:rPr>
          <w:color w:val="000000"/>
          <w:spacing w:val="0"/>
          <w:w w:val="100"/>
          <w:position w:val="0"/>
        </w:rPr>
        <w:t>）近年来，司法部大力推进全国司法行政行业信息化建设工作，取得了显著的成效，司法行政信息化市场规模得到 快速发展。</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月司法部主持召开全国司法行政信息化建设推进会议，会议明确指出推进司法行政信息化建设总的目标： 到</w:t>
      </w:r>
      <w:r>
        <w:rPr>
          <w:rFonts w:ascii="Times New Roman" w:eastAsia="Times New Roman" w:hAnsi="Times New Roman" w:cs="Times New Roman"/>
          <w:color w:val="000000"/>
          <w:spacing w:val="0"/>
          <w:w w:val="100"/>
          <w:position w:val="0"/>
        </w:rPr>
        <w:t>2020</w:t>
      </w:r>
      <w:r>
        <w:rPr>
          <w:color w:val="000000"/>
          <w:spacing w:val="0"/>
          <w:w w:val="100"/>
          <w:position w:val="0"/>
        </w:rPr>
        <w:t>年，建立网络纵横贯通、信息及时全面、硬件高效集约、技术成熟先进、标准科学统一的司法行政信息化体系，建成 全国统一的司法行政数据库、应急指挥体系，建成涵盖司法行政各项业务的</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司法行政信息化综合管理平台，实现信 息化与司法行政的深度融合，以信息化推动司法行政工作提升到一个新水平。</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报告期内，公司加大司法行政行业信息化解决方案研发投入，自主研发了司法行政综合信息管理平台以及监狱大数据智 能分析系统、监狱狱政管理应用系统、电子狱务应用与协同管理平台、监狱教育改造应用系统、监狱警务督察应用系统、监 狱刑罚执行应用系统、监狱罪犯管理应用系统等十多个司法行政行业应用解决方案，在福建省监狱管理局、河南省监狱管理 局等地推广应用，公司司法行政行业市场实现了有效突破。</w:t>
      </w:r>
    </w:p>
    <w:p>
      <w:pPr>
        <w:pStyle w:val="Style30"/>
        <w:keepNext w:val="0"/>
        <w:keepLines w:val="0"/>
        <w:widowControl w:val="0"/>
        <w:shd w:val="clear" w:color="auto" w:fill="auto"/>
        <w:tabs>
          <w:tab w:pos="649" w:val="left"/>
        </w:tabs>
        <w:bidi w:val="0"/>
        <w:spacing w:before="0" w:after="0" w:line="314" w:lineRule="exact"/>
        <w:ind w:left="0" w:right="0"/>
        <w:jc w:val="both"/>
      </w:pPr>
      <w:bookmarkStart w:id="63" w:name="bookmark63"/>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在质检信息化领域，公司拥有丰富的三电工程企业端软件开发和服务和建设经验，是国家</w:t>
      </w:r>
      <w:r>
        <w:rPr>
          <w:rFonts w:ascii="Times New Roman" w:eastAsia="Times New Roman" w:hAnsi="Times New Roman" w:cs="Times New Roman"/>
          <w:color w:val="000000"/>
          <w:spacing w:val="0"/>
          <w:w w:val="100"/>
          <w:position w:val="0"/>
        </w:rPr>
        <w:t>“</w:t>
      </w:r>
      <w:r>
        <w:rPr>
          <w:color w:val="000000"/>
          <w:spacing w:val="0"/>
          <w:w w:val="100"/>
          <w:position w:val="0"/>
        </w:rPr>
        <w:t>金质工程</w:t>
      </w:r>
      <w:r>
        <w:rPr>
          <w:rFonts w:ascii="Times New Roman" w:eastAsia="Times New Roman" w:hAnsi="Times New Roman" w:cs="Times New Roman"/>
          <w:color w:val="000000"/>
          <w:spacing w:val="0"/>
          <w:w w:val="100"/>
          <w:position w:val="0"/>
        </w:rPr>
        <w:t>”</w:t>
      </w:r>
      <w:r>
        <w:rPr>
          <w:color w:val="000000"/>
          <w:spacing w:val="0"/>
          <w:w w:val="100"/>
          <w:position w:val="0"/>
        </w:rPr>
        <w:t>的领先服务厂 商。</w:t>
      </w:r>
      <w:r>
        <w:rPr>
          <w:rFonts w:ascii="Times New Roman" w:eastAsia="Times New Roman" w:hAnsi="Times New Roman" w:cs="Times New Roman"/>
          <w:color w:val="000000"/>
          <w:spacing w:val="0"/>
          <w:w w:val="100"/>
          <w:position w:val="0"/>
        </w:rPr>
        <w:t>2012</w:t>
      </w:r>
      <w:r>
        <w:rPr>
          <w:color w:val="000000"/>
          <w:spacing w:val="0"/>
          <w:w w:val="100"/>
          <w:position w:val="0"/>
        </w:rPr>
        <w:t>年起，公司作为中国电子检验检疫主干系统的唯一承建方，建设全流程、全业务、全覆盖的中国电子检验检疫核心 业务系统，实现数据和应用全国质检系统大集中管理。该系统通过了国家质检总局用户测试，对检验检疫改革，提高检验检 疫通关效率，降低企业负担，避免执法风险具有重大的历史意义。</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月，公司承建的中国电子检验检疫主干系统 </w:t>
      </w:r>
      <w:r>
        <w:rPr>
          <w:rFonts w:ascii="Times New Roman" w:eastAsia="Times New Roman" w:hAnsi="Times New Roman" w:cs="Times New Roman"/>
          <w:color w:val="000000"/>
          <w:spacing w:val="0"/>
          <w:w w:val="100"/>
          <w:position w:val="0"/>
        </w:rPr>
        <w:t xml:space="preserve">e-CIQ </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主干系统</w:t>
      </w:r>
      <w:r>
        <w:rPr>
          <w:rFonts w:ascii="Times New Roman" w:eastAsia="Times New Roman" w:hAnsi="Times New Roman" w:cs="Times New Roman"/>
          <w:color w:val="000000"/>
          <w:spacing w:val="0"/>
          <w:w w:val="100"/>
          <w:position w:val="0"/>
        </w:rPr>
        <w:t>”</w:t>
      </w:r>
      <w:r>
        <w:rPr>
          <w:color w:val="000000"/>
          <w:spacing w:val="0"/>
          <w:w w:val="100"/>
          <w:position w:val="0"/>
        </w:rPr>
        <w:t>）完成全国试运行推广，</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月，主干系统在全国检验检疫机构全面正式运行。结合国家质 检总局</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规划，公司依托主干系统进行业务拓展：</w:t>
      </w:r>
    </w:p>
    <w:p>
      <w:pPr>
        <w:pStyle w:val="Style30"/>
        <w:keepNext w:val="0"/>
        <w:keepLines w:val="0"/>
        <w:widowControl w:val="0"/>
        <w:shd w:val="clear" w:color="auto" w:fill="auto"/>
        <w:tabs>
          <w:tab w:pos="841" w:val="left"/>
        </w:tabs>
        <w:bidi w:val="0"/>
        <w:spacing w:before="0" w:after="0" w:line="312" w:lineRule="exact"/>
        <w:ind w:left="0" w:right="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1</w:t>
      </w:r>
      <w:r>
        <w:rPr>
          <w:color w:val="000000"/>
          <w:spacing w:val="0"/>
          <w:w w:val="100"/>
          <w:position w:val="0"/>
        </w:rPr>
        <w:t>）</w:t>
        <w:tab/>
        <w:t>建设智慧质检管控平台。利用主干系统覆盖检验检疫全业务流程和应用、数据全国大集中的优势来建设智慧质检 管控平台，智能分析进出口商品质量安全，快速预警质量安全风险，决策管控产品抽批监管，强化进口商品后续监管和出口 商品质量调查跟踪反馈，追溯进口出商品生产销售使用过程。</w:t>
      </w:r>
    </w:p>
    <w:p>
      <w:pPr>
        <w:pStyle w:val="Style30"/>
        <w:keepNext w:val="0"/>
        <w:keepLines w:val="0"/>
        <w:widowControl w:val="0"/>
        <w:shd w:val="clear" w:color="auto" w:fill="auto"/>
        <w:tabs>
          <w:tab w:pos="841" w:val="left"/>
        </w:tabs>
        <w:bidi w:val="0"/>
        <w:spacing w:before="0" w:after="0" w:line="316" w:lineRule="exact"/>
        <w:ind w:left="0" w:right="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2</w:t>
      </w:r>
      <w:r>
        <w:rPr>
          <w:color w:val="000000"/>
          <w:spacing w:val="0"/>
          <w:w w:val="100"/>
          <w:position w:val="0"/>
        </w:rPr>
        <w:t>）</w:t>
        <w:tab/>
        <w:t>建设质检大通关数据分析应用平台。主干系统含有了全国数据大集中的检验检疫业务信息、企业信息、产品信息 等构建质检大数据服务平台的主体数据，我们将建设质检大通关数据分析应用平台，归集和共享各类大通关数据信息，建立 分析统计、数据挖掘、风险管理和决策支持等大数据应用。同时，可按质检</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规划要求强化宏观质量统计分析与信息 发布，通过质检大数据服务平台进行质量统计分析形成统计公报，将质量指标纳入国民经济和社会发展统计公报，将质检部 门打造为</w:t>
      </w:r>
      <w:r>
        <w:rPr>
          <w:rFonts w:ascii="Times New Roman" w:eastAsia="Times New Roman" w:hAnsi="Times New Roman" w:cs="Times New Roman"/>
          <w:color w:val="000000"/>
          <w:spacing w:val="0"/>
          <w:w w:val="100"/>
          <w:position w:val="0"/>
        </w:rPr>
        <w:t>“</w:t>
      </w:r>
      <w:r>
        <w:rPr>
          <w:color w:val="000000"/>
          <w:spacing w:val="0"/>
          <w:w w:val="100"/>
          <w:position w:val="0"/>
        </w:rPr>
        <w:t>质量信息权威发布机构匚</w:t>
      </w:r>
    </w:p>
    <w:p>
      <w:pPr>
        <w:pStyle w:val="Style30"/>
        <w:keepNext w:val="0"/>
        <w:keepLines w:val="0"/>
        <w:widowControl w:val="0"/>
        <w:shd w:val="clear" w:color="auto" w:fill="auto"/>
        <w:tabs>
          <w:tab w:pos="836" w:val="left"/>
        </w:tabs>
        <w:bidi w:val="0"/>
        <w:spacing w:before="0" w:after="0" w:line="317" w:lineRule="exact"/>
        <w:ind w:left="0" w:right="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3</w:t>
      </w:r>
      <w:r>
        <w:rPr>
          <w:color w:val="000000"/>
          <w:spacing w:val="0"/>
          <w:w w:val="100"/>
          <w:position w:val="0"/>
        </w:rPr>
        <w:t>）</w:t>
        <w:tab/>
        <w:t>建设企业质量信用管理平台。质检</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规划提出推进质量诚信体系建设，搭建质量信用平台，主干系统汇集 了检验检疫的各类注册备案登记的企业信息，基于这个全国集中、统一管理的企业信息库来扩展建设企业质量信用管理平台， 实现企业质量信用信息采集、考核、管理、公示、评价、评级和分级分类管理，推进质量信用信息社会公示和部门共享。</w:t>
      </w:r>
    </w:p>
    <w:p>
      <w:pPr>
        <w:pStyle w:val="Style30"/>
        <w:keepNext w:val="0"/>
        <w:keepLines w:val="0"/>
        <w:widowControl w:val="0"/>
        <w:shd w:val="clear" w:color="auto" w:fill="auto"/>
        <w:tabs>
          <w:tab w:pos="841" w:val="left"/>
        </w:tabs>
        <w:bidi w:val="0"/>
        <w:spacing w:before="0" w:after="0" w:line="315" w:lineRule="exact"/>
        <w:ind w:left="0" w:right="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4</w:t>
      </w:r>
      <w:r>
        <w:rPr>
          <w:color w:val="000000"/>
          <w:spacing w:val="0"/>
          <w:w w:val="100"/>
          <w:position w:val="0"/>
        </w:rPr>
        <w:t>）</w:t>
        <w:tab/>
        <w:t>建设企业大通关便利应用服务。依托建设和运维主干系统、信息交换平台和企业端申报的全环节系统应用的优势, 在符合规定的前提下，为全国进出口贸易相关企业建设、提供一系列的大通关便利应用服务。公司正在打造</w:t>
      </w:r>
      <w:r>
        <w:rPr>
          <w:rFonts w:ascii="Times New Roman" w:eastAsia="Times New Roman" w:hAnsi="Times New Roman" w:cs="Times New Roman"/>
          <w:color w:val="000000"/>
          <w:spacing w:val="0"/>
          <w:w w:val="100"/>
          <w:position w:val="0"/>
        </w:rPr>
        <w:t>“</w:t>
      </w:r>
      <w:r>
        <w:rPr>
          <w:color w:val="000000"/>
          <w:spacing w:val="0"/>
          <w:w w:val="100"/>
          <w:position w:val="0"/>
        </w:rPr>
        <w:t>榕基易贸商务 平台</w:t>
      </w:r>
      <w:r>
        <w:rPr>
          <w:rFonts w:ascii="Times New Roman" w:eastAsia="Times New Roman" w:hAnsi="Times New Roman" w:cs="Times New Roman"/>
          <w:color w:val="000000"/>
          <w:spacing w:val="0"/>
          <w:w w:val="100"/>
          <w:position w:val="0"/>
        </w:rPr>
        <w:t>”</w:t>
      </w:r>
      <w:r>
        <w:rPr>
          <w:color w:val="000000"/>
          <w:spacing w:val="0"/>
          <w:w w:val="100"/>
          <w:position w:val="0"/>
        </w:rPr>
        <w:t>，持续不断地根据外贸企业和检验检疫机构需要来建设和提供相应服务，在</w:t>
      </w:r>
      <w:r>
        <w:rPr>
          <w:rFonts w:ascii="Times New Roman" w:eastAsia="Times New Roman" w:hAnsi="Times New Roman" w:cs="Times New Roman"/>
          <w:color w:val="000000"/>
          <w:spacing w:val="0"/>
          <w:w w:val="100"/>
          <w:position w:val="0"/>
        </w:rPr>
        <w:t>“</w:t>
      </w:r>
      <w:r>
        <w:rPr>
          <w:color w:val="000000"/>
          <w:spacing w:val="0"/>
          <w:w w:val="100"/>
          <w:position w:val="0"/>
        </w:rPr>
        <w:t>外贸服务云平台</w:t>
      </w:r>
      <w:r>
        <w:rPr>
          <w:rFonts w:ascii="Times New Roman" w:eastAsia="Times New Roman" w:hAnsi="Times New Roman" w:cs="Times New Roman"/>
          <w:color w:val="000000"/>
          <w:spacing w:val="0"/>
          <w:w w:val="100"/>
          <w:position w:val="0"/>
        </w:rPr>
        <w:t>”</w:t>
      </w:r>
      <w:r>
        <w:rPr>
          <w:color w:val="000000"/>
          <w:spacing w:val="0"/>
          <w:w w:val="100"/>
          <w:position w:val="0"/>
        </w:rPr>
        <w:t>上提供更高效、更便捷 的增值服务，如云备份、云存储、云安全、云证单、云打印等。</w:t>
      </w:r>
    </w:p>
    <w:p>
      <w:pPr>
        <w:pStyle w:val="Style30"/>
        <w:keepNext w:val="0"/>
        <w:keepLines w:val="0"/>
        <w:widowControl w:val="0"/>
        <w:shd w:val="clear" w:color="auto" w:fill="auto"/>
        <w:tabs>
          <w:tab w:pos="649" w:val="left"/>
        </w:tabs>
        <w:bidi w:val="0"/>
        <w:spacing w:before="0" w:after="0" w:line="312" w:lineRule="exact"/>
        <w:ind w:left="0" w:right="0"/>
        <w:jc w:val="both"/>
      </w:pPr>
      <w:bookmarkStart w:id="68" w:name="bookmark68"/>
      <w:r>
        <w:rPr>
          <w:rFonts w:ascii="Arial" w:eastAsia="Arial" w:hAnsi="Arial" w:cs="Arial"/>
          <w:color w:val="000000"/>
          <w:spacing w:val="0"/>
          <w:w w:val="100"/>
          <w:position w:val="0"/>
        </w:rPr>
        <w:t>3</w:t>
      </w:r>
      <w:bookmarkEnd w:id="68"/>
      <w:r>
        <w:rPr>
          <w:color w:val="000000"/>
          <w:spacing w:val="0"/>
          <w:w w:val="100"/>
          <w:position w:val="0"/>
        </w:rPr>
        <w:t>、</w:t>
        <w:tab/>
        <w:t>在物联网运营服务领域，星榕基是公司与福建星云大数据应用服务有限公司合资设立的控股子公司，以物联网领域 为方向，运营业务为主业的公司。公司基于福建省物联网公共支撑平台及福建省中小企业信息化云服务公共平台，发展物联 网、中小企业信息化、党建信息化、行业信息化四大业务。当前业务开展情况如下：</w:t>
      </w:r>
    </w:p>
    <w:p>
      <w:pPr>
        <w:pStyle w:val="Style30"/>
        <w:keepNext w:val="0"/>
        <w:keepLines w:val="0"/>
        <w:widowControl w:val="0"/>
        <w:shd w:val="clear" w:color="auto" w:fill="auto"/>
        <w:tabs>
          <w:tab w:pos="841" w:val="left"/>
        </w:tabs>
        <w:bidi w:val="0"/>
        <w:spacing w:before="0" w:after="0" w:line="312" w:lineRule="exact"/>
        <w:ind w:left="0" w:right="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1</w:t>
      </w:r>
      <w:r>
        <w:rPr>
          <w:color w:val="000000"/>
          <w:spacing w:val="0"/>
          <w:w w:val="100"/>
          <w:position w:val="0"/>
        </w:rPr>
        <w:t>）</w:t>
        <w:tab/>
        <w:t>全力布局物联网业务。依托获得的福建省物联网公共支撑平台运营资格，确定了</w:t>
      </w:r>
      <w:r>
        <w:rPr>
          <w:rFonts w:ascii="Times New Roman" w:eastAsia="Times New Roman" w:hAnsi="Times New Roman" w:cs="Times New Roman"/>
          <w:color w:val="000000"/>
          <w:spacing w:val="0"/>
          <w:w w:val="100"/>
          <w:position w:val="0"/>
        </w:rPr>
        <w:t>T+N+1”</w:t>
      </w:r>
      <w:r>
        <w:rPr>
          <w:color w:val="000000"/>
          <w:spacing w:val="0"/>
          <w:w w:val="100"/>
          <w:position w:val="0"/>
        </w:rPr>
        <w:t>的物联网运营规划，基 于</w:t>
      </w:r>
      <w:r>
        <w:rPr>
          <w:rFonts w:ascii="Times New Roman" w:eastAsia="Times New Roman" w:hAnsi="Times New Roman" w:cs="Times New Roman"/>
          <w:color w:val="000000"/>
          <w:spacing w:val="0"/>
          <w:w w:val="100"/>
          <w:position w:val="0"/>
        </w:rPr>
        <w:t>T”</w:t>
      </w:r>
      <w:r>
        <w:rPr>
          <w:color w:val="000000"/>
          <w:spacing w:val="0"/>
          <w:w w:val="100"/>
          <w:position w:val="0"/>
        </w:rPr>
        <w:t>个物联网公共支撑平台，服务个物联网行业应用，设立</w:t>
      </w:r>
      <w:r>
        <w:rPr>
          <w:rFonts w:ascii="Times New Roman" w:eastAsia="Times New Roman" w:hAnsi="Times New Roman" w:cs="Times New Roman"/>
          <w:color w:val="000000"/>
          <w:spacing w:val="0"/>
          <w:w w:val="100"/>
          <w:position w:val="0"/>
        </w:rPr>
        <w:t>T”</w:t>
      </w:r>
      <w:r>
        <w:rPr>
          <w:color w:val="000000"/>
          <w:spacing w:val="0"/>
          <w:w w:val="100"/>
          <w:position w:val="0"/>
        </w:rPr>
        <w:t>个双创孵化基地，实现平台数据真正流动起来，带动全 省物联网产品升级和产业发展。经过一年多的摸索与实践，公司已开始向教育、消防、智慧生态等行业应用提供支撑和服务。</w:t>
      </w:r>
    </w:p>
    <w:p>
      <w:pPr>
        <w:pStyle w:val="Style30"/>
        <w:keepNext w:val="0"/>
        <w:keepLines w:val="0"/>
        <w:widowControl w:val="0"/>
        <w:shd w:val="clear" w:color="auto" w:fill="auto"/>
        <w:tabs>
          <w:tab w:pos="841" w:val="left"/>
        </w:tabs>
        <w:bidi w:val="0"/>
        <w:spacing w:before="0" w:after="0" w:line="312" w:lineRule="exact"/>
        <w:ind w:left="0" w:right="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2</w:t>
      </w:r>
      <w:r>
        <w:rPr>
          <w:color w:val="000000"/>
          <w:spacing w:val="0"/>
          <w:w w:val="100"/>
          <w:position w:val="0"/>
        </w:rPr>
        <w:t>）</w:t>
        <w:tab/>
        <w:t>孵化中小企业云平台。完成平台</w:t>
      </w:r>
      <w:r>
        <w:rPr>
          <w:rFonts w:ascii="Times New Roman" w:eastAsia="Times New Roman" w:hAnsi="Times New Roman" w:cs="Times New Roman"/>
          <w:color w:val="000000"/>
          <w:spacing w:val="0"/>
          <w:w w:val="100"/>
          <w:position w:val="0"/>
        </w:rPr>
        <w:t>1.0</w:t>
      </w:r>
      <w:r>
        <w:rPr>
          <w:color w:val="000000"/>
          <w:spacing w:val="0"/>
          <w:w w:val="100"/>
          <w:position w:val="0"/>
        </w:rPr>
        <w:t>版本上线试运行和验收，围绕</w:t>
      </w:r>
      <w:r>
        <w:rPr>
          <w:rFonts w:ascii="Times New Roman" w:eastAsia="Times New Roman" w:hAnsi="Times New Roman" w:cs="Times New Roman"/>
          <w:color w:val="000000"/>
          <w:spacing w:val="0"/>
          <w:w w:val="100"/>
          <w:position w:val="0"/>
        </w:rPr>
        <w:t>ICT</w:t>
      </w:r>
      <w:r>
        <w:rPr>
          <w:color w:val="000000"/>
          <w:spacing w:val="0"/>
          <w:w w:val="100"/>
          <w:position w:val="0"/>
        </w:rPr>
        <w:t>服务、应用服务、政务服务等领域，为中小 企业提供标准化、规范化、集约化的信息化服务。下一步将启动</w:t>
      </w:r>
      <w:r>
        <w:rPr>
          <w:rFonts w:ascii="Times New Roman" w:eastAsia="Times New Roman" w:hAnsi="Times New Roman" w:cs="Times New Roman"/>
          <w:color w:val="000000"/>
          <w:spacing w:val="0"/>
          <w:w w:val="100"/>
          <w:position w:val="0"/>
        </w:rPr>
        <w:t>2.0</w:t>
      </w:r>
      <w:r>
        <w:rPr>
          <w:color w:val="000000"/>
          <w:spacing w:val="0"/>
          <w:w w:val="100"/>
          <w:position w:val="0"/>
        </w:rPr>
        <w:t>版本建设，重点服务工业企业和进出口企业。</w:t>
      </w:r>
    </w:p>
    <w:p>
      <w:pPr>
        <w:pStyle w:val="Style30"/>
        <w:keepNext w:val="0"/>
        <w:keepLines w:val="0"/>
        <w:widowControl w:val="0"/>
        <w:shd w:val="clear" w:color="auto" w:fill="auto"/>
        <w:bidi w:val="0"/>
        <w:spacing w:before="0" w:after="0" w:line="312" w:lineRule="exact"/>
        <w:ind w:left="0" w:right="0" w:firstLine="30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3</w:t>
      </w:r>
      <w:r>
        <w:rPr>
          <w:color w:val="000000"/>
          <w:spacing w:val="0"/>
          <w:w w:val="100"/>
          <w:position w:val="0"/>
        </w:rPr>
        <w:t>）持续服务党建信息化。完成福建省</w:t>
      </w:r>
      <w:r>
        <w:rPr>
          <w:rFonts w:ascii="Times New Roman" w:eastAsia="Times New Roman" w:hAnsi="Times New Roman" w:cs="Times New Roman"/>
          <w:color w:val="000000"/>
          <w:spacing w:val="0"/>
          <w:w w:val="100"/>
          <w:position w:val="0"/>
        </w:rPr>
        <w:t>“</w:t>
      </w:r>
      <w:r>
        <w:rPr>
          <w:color w:val="000000"/>
          <w:spacing w:val="0"/>
          <w:w w:val="100"/>
          <w:position w:val="0"/>
        </w:rPr>
        <w:t>党员</w:t>
      </w:r>
      <w:r>
        <w:rPr>
          <w:rFonts w:ascii="Times New Roman" w:eastAsia="Times New Roman" w:hAnsi="Times New Roman" w:cs="Times New Roman"/>
          <w:color w:val="000000"/>
          <w:spacing w:val="0"/>
          <w:w w:val="100"/>
          <w:position w:val="0"/>
        </w:rPr>
        <w:t>e</w:t>
      </w:r>
      <w:r>
        <w:rPr>
          <w:color w:val="000000"/>
          <w:spacing w:val="0"/>
          <w:w w:val="100"/>
          <w:position w:val="0"/>
        </w:rPr>
        <w:t>家</w:t>
      </w:r>
      <w:r>
        <w:rPr>
          <w:rFonts w:ascii="Times New Roman" w:eastAsia="Times New Roman" w:hAnsi="Times New Roman" w:cs="Times New Roman"/>
          <w:color w:val="000000"/>
          <w:spacing w:val="0"/>
          <w:w w:val="100"/>
          <w:position w:val="0"/>
        </w:rPr>
        <w:t>”</w:t>
      </w:r>
      <w:r>
        <w:rPr>
          <w:color w:val="000000"/>
          <w:spacing w:val="0"/>
          <w:w w:val="100"/>
          <w:position w:val="0"/>
        </w:rPr>
        <w:t>一期项目建设，承担平台基础运营服务，实现入驻党组织</w:t>
      </w:r>
      <w:r>
        <w:rPr>
          <w:rFonts w:ascii="Times New Roman" w:eastAsia="Times New Roman" w:hAnsi="Times New Roman" w:cs="Times New Roman"/>
          <w:color w:val="000000"/>
          <w:spacing w:val="0"/>
          <w:w w:val="100"/>
          <w:position w:val="0"/>
        </w:rPr>
        <w:t>9.9</w:t>
      </w:r>
      <w:r>
        <w:rPr>
          <w:color w:val="000000"/>
          <w:spacing w:val="0"/>
          <w:w w:val="100"/>
          <w:position w:val="0"/>
        </w:rPr>
        <w:t>万个、党 员</w:t>
      </w:r>
      <w:r>
        <w:rPr>
          <w:rFonts w:ascii="Times New Roman" w:eastAsia="Times New Roman" w:hAnsi="Times New Roman" w:cs="Times New Roman"/>
          <w:color w:val="000000"/>
          <w:spacing w:val="0"/>
          <w:w w:val="100"/>
          <w:position w:val="0"/>
        </w:rPr>
        <w:t>199</w:t>
      </w:r>
      <w:r>
        <w:rPr>
          <w:color w:val="000000"/>
          <w:spacing w:val="0"/>
          <w:w w:val="100"/>
          <w:position w:val="0"/>
        </w:rPr>
        <w:t>万，活跃党员</w:t>
      </w:r>
      <w:r>
        <w:rPr>
          <w:rFonts w:ascii="Times New Roman" w:eastAsia="Times New Roman" w:hAnsi="Times New Roman" w:cs="Times New Roman"/>
          <w:color w:val="000000"/>
          <w:spacing w:val="0"/>
          <w:w w:val="100"/>
          <w:position w:val="0"/>
        </w:rPr>
        <w:t>133</w:t>
      </w:r>
      <w:r>
        <w:rPr>
          <w:color w:val="000000"/>
          <w:spacing w:val="0"/>
          <w:w w:val="100"/>
          <w:position w:val="0"/>
        </w:rPr>
        <w:t>万，为推广和进一步增值运营打下良好基础。</w:t>
      </w:r>
    </w:p>
    <w:p>
      <w:pPr>
        <w:pStyle w:val="Style2"/>
        <w:keepNext w:val="0"/>
        <w:keepLines w:val="0"/>
        <w:widowControl w:val="0"/>
        <w:shd w:val="clear" w:color="auto" w:fill="auto"/>
        <w:bidi w:val="0"/>
        <w:spacing w:before="0" w:after="320" w:line="240" w:lineRule="auto"/>
        <w:ind w:left="0" w:right="0" w:firstLine="0"/>
        <w:jc w:val="left"/>
        <w:rPr>
          <w:sz w:val="24"/>
          <w:szCs w:val="24"/>
        </w:rPr>
      </w:pPr>
      <w:bookmarkStart w:id="72" w:name="bookmark72"/>
      <w:r>
        <w:rPr>
          <w:rFonts w:ascii="SimSun" w:eastAsia="SimSun" w:hAnsi="SimSun" w:cs="SimSun"/>
          <w:b/>
          <w:bCs/>
          <w:color w:val="000000"/>
          <w:spacing w:val="0"/>
          <w:w w:val="100"/>
          <w:position w:val="0"/>
          <w:sz w:val="24"/>
          <w:szCs w:val="24"/>
        </w:rPr>
        <w:t>二</w:t>
      </w:r>
      <w:bookmarkEnd w:id="72"/>
      <w:r>
        <w:rPr>
          <w:rFonts w:ascii="SimSun" w:eastAsia="SimSun" w:hAnsi="SimSun" w:cs="SimSun"/>
          <w:b/>
          <w:bCs/>
          <w:color w:val="000000"/>
          <w:spacing w:val="0"/>
          <w:w w:val="100"/>
          <w:position w:val="0"/>
          <w:sz w:val="24"/>
          <w:szCs w:val="24"/>
        </w:rPr>
        <w:t>、主要资产重大变化情况</w:t>
      </w:r>
    </w:p>
    <w:p>
      <w:pPr>
        <w:pStyle w:val="Style26"/>
        <w:keepNext/>
        <w:keepLines/>
        <w:widowControl w:val="0"/>
        <w:shd w:val="clear" w:color="auto" w:fill="auto"/>
        <w:bidi w:val="0"/>
        <w:spacing w:before="0" w:after="320" w:line="240" w:lineRule="auto"/>
        <w:ind w:left="0" w:right="0" w:firstLine="0"/>
        <w:jc w:val="left"/>
        <w:rPr>
          <w:sz w:val="20"/>
          <w:szCs w:val="20"/>
        </w:rPr>
      </w:pPr>
      <w:bookmarkStart w:id="73" w:name="bookmark73"/>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sz w:val="20"/>
          <w:szCs w:val="20"/>
        </w:rPr>
        <w:t>1</w:t>
      </w:r>
      <w:bookmarkEnd w:id="75"/>
      <w:r>
        <w:rPr>
          <w:color w:val="000000"/>
          <w:spacing w:val="0"/>
          <w:w w:val="100"/>
          <w:position w:val="0"/>
          <w:sz w:val="20"/>
          <w:szCs w:val="20"/>
        </w:rPr>
        <w:t>、主要资产重大变化情况</w:t>
      </w:r>
      <w:bookmarkEnd w:id="73"/>
      <w:bookmarkEnd w:id="74"/>
      <w:bookmarkEnd w:id="76"/>
      <w:bookmarkEnd w:id="77"/>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2</w:t>
      </w:r>
      <w:bookmarkEnd w:id="80"/>
      <w:r>
        <w:rPr>
          <w:color w:val="000000"/>
          <w:spacing w:val="0"/>
          <w:w w:val="100"/>
          <w:position w:val="0"/>
        </w:rPr>
        <w:t>、主要境外资产情况</w:t>
      </w:r>
      <w:bookmarkEnd w:id="78"/>
      <w:bookmarkEnd w:id="79"/>
      <w:bookmarkEnd w:id="81"/>
    </w:p>
    <w:p>
      <w:pPr>
        <w:pStyle w:val="Style30"/>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公司自成立以来专注于软件产品的开发与销售、计算机系统集成及技术支持与服务，经过多年的不懈努力，已在客户资 源、技术创新、行业经验、企业管理与人力资源、销售和服务网络等方面形成了公司的核心竞争力，成为国内知名的软件产 品和服务提供商。</w:t>
      </w:r>
    </w:p>
    <w:p>
      <w:pPr>
        <w:pStyle w:val="Style30"/>
        <w:keepNext w:val="0"/>
        <w:keepLines w:val="0"/>
        <w:widowControl w:val="0"/>
        <w:shd w:val="clear" w:color="auto" w:fill="auto"/>
        <w:tabs>
          <w:tab w:pos="714" w:val="left"/>
        </w:tabs>
        <w:bidi w:val="0"/>
        <w:spacing w:before="0" w:after="0" w:line="314" w:lineRule="exact"/>
        <w:ind w:left="0" w:right="0"/>
        <w:jc w:val="both"/>
      </w:pPr>
      <w:bookmarkStart w:id="86" w:name="bookmark86"/>
      <w:r>
        <w:rPr>
          <w:rFonts w:ascii="Times New Roman" w:eastAsia="Times New Roman" w:hAnsi="Times New Roman" w:cs="Times New Roman"/>
          <w:color w:val="000000"/>
          <w:spacing w:val="0"/>
          <w:w w:val="100"/>
          <w:position w:val="0"/>
        </w:rPr>
        <w:t>1</w:t>
      </w:r>
      <w:bookmarkEnd w:id="86"/>
      <w:r>
        <w:rPr>
          <w:color w:val="000000"/>
          <w:spacing w:val="0"/>
          <w:w w:val="100"/>
          <w:position w:val="0"/>
        </w:rPr>
        <w:t>、</w:t>
        <w:tab/>
        <w:t>客户资源</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公司经过</w:t>
      </w:r>
      <w:r>
        <w:rPr>
          <w:rFonts w:ascii="Times New Roman" w:eastAsia="Times New Roman" w:hAnsi="Times New Roman" w:cs="Times New Roman"/>
          <w:color w:val="000000"/>
          <w:spacing w:val="0"/>
          <w:w w:val="100"/>
          <w:position w:val="0"/>
        </w:rPr>
        <w:t>25</w:t>
      </w:r>
      <w:r>
        <w:rPr>
          <w:color w:val="000000"/>
          <w:spacing w:val="0"/>
          <w:w w:val="100"/>
          <w:position w:val="0"/>
        </w:rPr>
        <w:t>年的发展和积累，客户涵盖了政府、军事机关、质检、能源和电信等重要机关和行业，拥有了广泛、优质的 客户资源，公司客户群整体质量突出。公司始终强调品牌建设，重视客户需求，技术支持和服务到位，客户满意度和忠诚度 较高，客户对公司各类产品形成了较强的粘性，稳定客户的保有率不断提高。</w:t>
      </w:r>
    </w:p>
    <w:p>
      <w:pPr>
        <w:pStyle w:val="Style30"/>
        <w:keepNext w:val="0"/>
        <w:keepLines w:val="0"/>
        <w:widowControl w:val="0"/>
        <w:shd w:val="clear" w:color="auto" w:fill="auto"/>
        <w:tabs>
          <w:tab w:pos="734" w:val="left"/>
        </w:tabs>
        <w:bidi w:val="0"/>
        <w:spacing w:before="0" w:after="0" w:line="314" w:lineRule="exact"/>
        <w:ind w:left="0" w:right="0"/>
        <w:jc w:val="both"/>
      </w:pPr>
      <w:bookmarkStart w:id="87" w:name="bookmark87"/>
      <w:r>
        <w:rPr>
          <w:rFonts w:ascii="Times New Roman" w:eastAsia="Times New Roman" w:hAnsi="Times New Roman" w:cs="Times New Roman"/>
          <w:color w:val="000000"/>
          <w:spacing w:val="0"/>
          <w:w w:val="100"/>
          <w:position w:val="0"/>
        </w:rPr>
        <w:t>2</w:t>
      </w:r>
      <w:bookmarkEnd w:id="87"/>
      <w:r>
        <w:rPr>
          <w:color w:val="000000"/>
          <w:spacing w:val="0"/>
          <w:w w:val="100"/>
          <w:position w:val="0"/>
        </w:rPr>
        <w:t>、</w:t>
        <w:tab/>
        <w:t>技术领先性和创新性</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公司连续</w:t>
      </w:r>
      <w:r>
        <w:rPr>
          <w:rFonts w:ascii="Times New Roman" w:eastAsia="Times New Roman" w:hAnsi="Times New Roman" w:cs="Times New Roman"/>
          <w:color w:val="000000"/>
          <w:spacing w:val="0"/>
          <w:w w:val="100"/>
          <w:position w:val="0"/>
        </w:rPr>
        <w:t>16</w:t>
      </w:r>
      <w:r>
        <w:rPr>
          <w:color w:val="000000"/>
          <w:spacing w:val="0"/>
          <w:w w:val="100"/>
          <w:position w:val="0"/>
        </w:rPr>
        <w:t>年被评为</w:t>
      </w:r>
      <w:r>
        <w:rPr>
          <w:rFonts w:ascii="Times New Roman" w:eastAsia="Times New Roman" w:hAnsi="Times New Roman" w:cs="Times New Roman"/>
          <w:color w:val="000000"/>
          <w:spacing w:val="0"/>
          <w:w w:val="100"/>
          <w:position w:val="0"/>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国家</w:t>
      </w:r>
      <w:r>
        <w:rPr>
          <w:rFonts w:ascii="Times New Roman" w:eastAsia="Times New Roman" w:hAnsi="Times New Roman" w:cs="Times New Roman"/>
          <w:color w:val="000000"/>
          <w:spacing w:val="0"/>
          <w:w w:val="100"/>
          <w:position w:val="0"/>
        </w:rPr>
        <w:t>863</w:t>
      </w:r>
      <w:r>
        <w:rPr>
          <w:color w:val="000000"/>
          <w:spacing w:val="0"/>
          <w:w w:val="100"/>
          <w:position w:val="0"/>
        </w:rPr>
        <w:t>计划成果产业化基地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国家火炬计划重点高新技术 企业</w:t>
      </w:r>
      <w:r>
        <w:rPr>
          <w:rFonts w:ascii="Times New Roman" w:eastAsia="Times New Roman" w:hAnsi="Times New Roman" w:cs="Times New Roman"/>
          <w:color w:val="000000"/>
          <w:spacing w:val="0"/>
          <w:w w:val="100"/>
          <w:position w:val="0"/>
        </w:rPr>
        <w:t>”</w:t>
      </w:r>
      <w:r>
        <w:rPr>
          <w:color w:val="000000"/>
          <w:spacing w:val="0"/>
          <w:w w:val="100"/>
          <w:position w:val="0"/>
        </w:rPr>
        <w:t>，被认定为</w:t>
      </w:r>
      <w:r>
        <w:rPr>
          <w:rFonts w:ascii="Times New Roman" w:eastAsia="Times New Roman" w:hAnsi="Times New Roman" w:cs="Times New Roman"/>
          <w:color w:val="000000"/>
          <w:spacing w:val="0"/>
          <w:w w:val="100"/>
          <w:position w:val="0"/>
        </w:rPr>
        <w:t>“</w:t>
      </w:r>
      <w:r>
        <w:rPr>
          <w:color w:val="000000"/>
          <w:spacing w:val="0"/>
          <w:w w:val="100"/>
          <w:position w:val="0"/>
        </w:rPr>
        <w:t>福建省省级企业技术中心</w:t>
      </w:r>
      <w:r>
        <w:rPr>
          <w:rFonts w:ascii="Times New Roman" w:eastAsia="Times New Roman" w:hAnsi="Times New Roman" w:cs="Times New Roman"/>
          <w:color w:val="000000"/>
          <w:spacing w:val="0"/>
          <w:w w:val="100"/>
          <w:position w:val="0"/>
        </w:rPr>
        <w:t>“</w:t>
      </w:r>
      <w:r>
        <w:rPr>
          <w:color w:val="000000"/>
          <w:spacing w:val="0"/>
          <w:w w:val="100"/>
          <w:position w:val="0"/>
        </w:rPr>
        <w:t>福建省软件技术研发中心</w:t>
      </w:r>
      <w:r>
        <w:rPr>
          <w:rFonts w:ascii="Times New Roman" w:eastAsia="Times New Roman" w:hAnsi="Times New Roman" w:cs="Times New Roman"/>
          <w:color w:val="000000"/>
          <w:spacing w:val="0"/>
          <w:w w:val="100"/>
          <w:position w:val="0"/>
        </w:rPr>
        <w:t>“</w:t>
      </w:r>
      <w:r>
        <w:rPr>
          <w:color w:val="000000"/>
          <w:spacing w:val="0"/>
          <w:w w:val="100"/>
          <w:position w:val="0"/>
        </w:rPr>
        <w:t>福州软件园博士后工作站榕基分站</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福建省 创新型企业</w:t>
      </w:r>
      <w:r>
        <w:rPr>
          <w:rFonts w:ascii="Times New Roman" w:eastAsia="Times New Roman" w:hAnsi="Times New Roman" w:cs="Times New Roman"/>
          <w:color w:val="000000"/>
          <w:spacing w:val="0"/>
          <w:w w:val="100"/>
          <w:position w:val="0"/>
        </w:rPr>
        <w:t>”</w:t>
      </w:r>
      <w:r>
        <w:rPr>
          <w:color w:val="000000"/>
          <w:spacing w:val="0"/>
          <w:w w:val="100"/>
          <w:position w:val="0"/>
        </w:rPr>
        <w:t>，曾荣获</w:t>
      </w:r>
      <w:r>
        <w:rPr>
          <w:rFonts w:ascii="Times New Roman" w:eastAsia="Times New Roman" w:hAnsi="Times New Roman" w:cs="Times New Roman"/>
          <w:color w:val="000000"/>
          <w:spacing w:val="0"/>
          <w:w w:val="100"/>
          <w:position w:val="0"/>
        </w:rPr>
        <w:t>“</w:t>
      </w:r>
      <w:r>
        <w:rPr>
          <w:color w:val="000000"/>
          <w:spacing w:val="0"/>
          <w:w w:val="100"/>
          <w:position w:val="0"/>
        </w:rPr>
        <w:t>中国十大创新软件企业</w:t>
      </w:r>
      <w:r>
        <w:rPr>
          <w:rFonts w:ascii="Times New Roman" w:eastAsia="Times New Roman" w:hAnsi="Times New Roman" w:cs="Times New Roman"/>
          <w:color w:val="000000"/>
          <w:spacing w:val="0"/>
          <w:w w:val="100"/>
          <w:position w:val="0"/>
        </w:rPr>
        <w:t>“</w:t>
      </w:r>
      <w:r>
        <w:rPr>
          <w:color w:val="000000"/>
          <w:spacing w:val="0"/>
          <w:w w:val="100"/>
          <w:position w:val="0"/>
        </w:rPr>
        <w:t>福建省知识产权优势企业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福建省战略性新兴产业骨干企业</w:t>
      </w:r>
      <w:r>
        <w:rPr>
          <w:rFonts w:ascii="Times New Roman" w:eastAsia="Times New Roman" w:hAnsi="Times New Roman" w:cs="Times New Roman"/>
          <w:color w:val="000000"/>
          <w:spacing w:val="0"/>
          <w:w w:val="100"/>
          <w:position w:val="0"/>
        </w:rPr>
        <w:t>”</w:t>
      </w:r>
      <w:r>
        <w:rPr>
          <w:color w:val="000000"/>
          <w:spacing w:val="0"/>
          <w:w w:val="100"/>
          <w:position w:val="0"/>
        </w:rPr>
        <w:t>。公司作 为中国软件产品开发与销售的先行者之一，建立了以企业技术中心为核心的创新体系，多次承担国家</w:t>
      </w:r>
      <w:r>
        <w:rPr>
          <w:rFonts w:ascii="Times New Roman" w:eastAsia="Times New Roman" w:hAnsi="Times New Roman" w:cs="Times New Roman"/>
          <w:color w:val="000000"/>
          <w:spacing w:val="0"/>
          <w:w w:val="100"/>
          <w:position w:val="0"/>
        </w:rPr>
        <w:t>863</w:t>
      </w:r>
      <w:r>
        <w:rPr>
          <w:color w:val="000000"/>
          <w:spacing w:val="0"/>
          <w:w w:val="100"/>
          <w:position w:val="0"/>
        </w:rPr>
        <w:t>项目、电子信息产 业发展基金、创新基金以及高科技产业化专项基金项目课题，在所处领域中拥有多项国内领先的创新技术，已形成较强的核 心技术竞争力。</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公司结合自身条件和外部市场环境，在移动办公云平台、智慧城市、中小企业信息化、智能电网等新业务方向上取得了 许多先进技术的创新。截至目前，公司拥有</w:t>
      </w:r>
      <w:r>
        <w:rPr>
          <w:rFonts w:ascii="Times New Roman" w:eastAsia="Times New Roman" w:hAnsi="Times New Roman" w:cs="Times New Roman"/>
          <w:color w:val="000000"/>
          <w:spacing w:val="0"/>
          <w:w w:val="100"/>
          <w:position w:val="0"/>
        </w:rPr>
        <w:t>“</w:t>
      </w:r>
      <w:r>
        <w:rPr>
          <w:color w:val="000000"/>
          <w:spacing w:val="0"/>
          <w:w w:val="100"/>
          <w:position w:val="0"/>
        </w:rPr>
        <w:t>榕基</w:t>
      </w:r>
      <w:r>
        <w:rPr>
          <w:rFonts w:ascii="Times New Roman" w:eastAsia="Times New Roman" w:hAnsi="Times New Roman" w:cs="Times New Roman"/>
          <w:color w:val="000000"/>
          <w:spacing w:val="0"/>
          <w:w w:val="100"/>
          <w:position w:val="0"/>
        </w:rPr>
        <w:t>”</w:t>
      </w:r>
      <w:r>
        <w:rPr>
          <w:color w:val="000000"/>
          <w:spacing w:val="0"/>
          <w:w w:val="100"/>
          <w:position w:val="0"/>
        </w:rPr>
        <w:t>品牌的自主知识产权包括</w:t>
      </w:r>
      <w:r>
        <w:rPr>
          <w:rFonts w:ascii="Times New Roman" w:eastAsia="Times New Roman" w:hAnsi="Times New Roman" w:cs="Times New Roman"/>
          <w:color w:val="000000"/>
          <w:spacing w:val="0"/>
          <w:w w:val="100"/>
          <w:position w:val="0"/>
        </w:rPr>
        <w:t>31</w:t>
      </w:r>
      <w:r>
        <w:rPr>
          <w:color w:val="000000"/>
          <w:spacing w:val="0"/>
          <w:w w:val="100"/>
          <w:position w:val="0"/>
        </w:rPr>
        <w:t>项专利，</w:t>
      </w:r>
      <w:r>
        <w:rPr>
          <w:rFonts w:ascii="Times New Roman" w:eastAsia="Times New Roman" w:hAnsi="Times New Roman" w:cs="Times New Roman"/>
          <w:color w:val="000000"/>
          <w:spacing w:val="0"/>
          <w:w w:val="100"/>
          <w:position w:val="0"/>
        </w:rPr>
        <w:t>166</w:t>
      </w:r>
      <w:r>
        <w:rPr>
          <w:color w:val="000000"/>
          <w:spacing w:val="0"/>
          <w:w w:val="100"/>
          <w:position w:val="0"/>
        </w:rPr>
        <w:t>项计算机软件著作权及</w:t>
      </w:r>
      <w:r>
        <w:rPr>
          <w:rFonts w:ascii="Times New Roman" w:eastAsia="Times New Roman" w:hAnsi="Times New Roman" w:cs="Times New Roman"/>
          <w:color w:val="000000"/>
          <w:spacing w:val="0"/>
          <w:w w:val="100"/>
          <w:position w:val="0"/>
        </w:rPr>
        <w:t>108</w:t>
      </w:r>
      <w:r>
        <w:rPr>
          <w:color w:val="000000"/>
          <w:spacing w:val="0"/>
          <w:w w:val="100"/>
          <w:position w:val="0"/>
        </w:rPr>
        <w:t>项软件 产品登记证书。公司多个自主知识产权的软件产品和技术达到国内领先水平和国际先进水平，近年来有多个自主产品被列入 国家和省部级创新产品，获得多项国家、省、市科技进步奖和优秀产品等荣誉。</w:t>
      </w:r>
    </w:p>
    <w:p>
      <w:pPr>
        <w:pStyle w:val="Style30"/>
        <w:keepNext w:val="0"/>
        <w:keepLines w:val="0"/>
        <w:widowControl w:val="0"/>
        <w:shd w:val="clear" w:color="auto" w:fill="auto"/>
        <w:tabs>
          <w:tab w:pos="734" w:val="left"/>
        </w:tabs>
        <w:bidi w:val="0"/>
        <w:spacing w:before="0" w:after="0" w:line="314" w:lineRule="exact"/>
        <w:ind w:left="0" w:right="0"/>
        <w:jc w:val="both"/>
      </w:pPr>
      <w:bookmarkStart w:id="88" w:name="bookmark88"/>
      <w:r>
        <w:rPr>
          <w:rFonts w:ascii="Times New Roman" w:eastAsia="Times New Roman" w:hAnsi="Times New Roman" w:cs="Times New Roman"/>
          <w:color w:val="000000"/>
          <w:spacing w:val="0"/>
          <w:w w:val="100"/>
          <w:position w:val="0"/>
        </w:rPr>
        <w:t>3</w:t>
      </w:r>
      <w:bookmarkEnd w:id="88"/>
      <w:r>
        <w:rPr>
          <w:color w:val="000000"/>
          <w:spacing w:val="0"/>
          <w:w w:val="100"/>
          <w:position w:val="0"/>
        </w:rPr>
        <w:t>、</w:t>
        <w:tab/>
        <w:t>行业经验</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公司作为四大主营业务领域的龙头企业和骨干企业，承担了金质工程、金环工程、天平工程、</w:t>
      </w:r>
      <w:r>
        <w:rPr>
          <w:rFonts w:ascii="Times New Roman" w:eastAsia="Times New Roman" w:hAnsi="Times New Roman" w:cs="Times New Roman"/>
          <w:color w:val="000000"/>
          <w:spacing w:val="0"/>
          <w:w w:val="100"/>
          <w:position w:val="0"/>
        </w:rPr>
        <w:t>SG186</w:t>
      </w:r>
      <w:r>
        <w:rPr>
          <w:color w:val="000000"/>
          <w:spacing w:val="0"/>
          <w:w w:val="100"/>
          <w:position w:val="0"/>
        </w:rPr>
        <w:t>工程、信息安全内 控运维、政府政务云计算平台等国家重大信息化项目以及多个行业核心业务支撑系统和关键共性技术平台，具有典型示范和 辐射带动作用。</w:t>
      </w:r>
    </w:p>
    <w:p>
      <w:pPr>
        <w:pStyle w:val="Style30"/>
        <w:keepNext w:val="0"/>
        <w:keepLines w:val="0"/>
        <w:widowControl w:val="0"/>
        <w:shd w:val="clear" w:color="auto" w:fill="auto"/>
        <w:tabs>
          <w:tab w:pos="734" w:val="left"/>
        </w:tabs>
        <w:bidi w:val="0"/>
        <w:spacing w:before="0" w:after="0" w:line="314" w:lineRule="exact"/>
        <w:ind w:left="0" w:right="0"/>
        <w:jc w:val="both"/>
      </w:pPr>
      <w:bookmarkStart w:id="89" w:name="bookmark89"/>
      <w:r>
        <w:rPr>
          <w:rFonts w:ascii="Times New Roman" w:eastAsia="Times New Roman" w:hAnsi="Times New Roman" w:cs="Times New Roman"/>
          <w:color w:val="000000"/>
          <w:spacing w:val="0"/>
          <w:w w:val="100"/>
          <w:position w:val="0"/>
        </w:rPr>
        <w:t>4</w:t>
      </w:r>
      <w:bookmarkEnd w:id="89"/>
      <w:r>
        <w:rPr>
          <w:color w:val="000000"/>
          <w:spacing w:val="0"/>
          <w:w w:val="100"/>
          <w:position w:val="0"/>
        </w:rPr>
        <w:t>、</w:t>
        <w:tab/>
        <w:t>企业管理与人力资源</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报告期内，公司通过了信息安全与</w:t>
      </w:r>
      <w:r>
        <w:rPr>
          <w:rFonts w:ascii="Times New Roman" w:eastAsia="Times New Roman" w:hAnsi="Times New Roman" w:cs="Times New Roman"/>
          <w:color w:val="000000"/>
          <w:spacing w:val="0"/>
          <w:w w:val="100"/>
          <w:position w:val="0"/>
        </w:rPr>
        <w:t>IT</w:t>
      </w:r>
      <w:r>
        <w:rPr>
          <w:color w:val="000000"/>
          <w:spacing w:val="0"/>
          <w:w w:val="100"/>
          <w:position w:val="0"/>
        </w:rPr>
        <w:t>服务两大管理体系认证，提高了识别信息风险能力，保障了企业信息安全，提高了 服务质量，降低了服务成本。通过这些管理能力的提高，公司能更加有效地交付管理服务以满足业务和客户的需求，更具备 持续控制和改善</w:t>
      </w:r>
      <w:r>
        <w:rPr>
          <w:rFonts w:ascii="Times New Roman" w:eastAsia="Times New Roman" w:hAnsi="Times New Roman" w:cs="Times New Roman"/>
          <w:color w:val="000000"/>
          <w:spacing w:val="0"/>
          <w:w w:val="100"/>
          <w:position w:val="0"/>
        </w:rPr>
        <w:t>IT</w:t>
      </w:r>
      <w:r>
        <w:rPr>
          <w:color w:val="000000"/>
          <w:spacing w:val="0"/>
          <w:w w:val="100"/>
          <w:position w:val="0"/>
        </w:rPr>
        <w:t>服务的能力以此，强化了榕基软件在体系管理方面的能力，进一步提高了经营管理和市场认可度，增强了 市场竞争力。</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公司在多年的经营实践中形成了稳定的、受过良好教育又具有行业经验的核心管理团队和优秀的、富有经验的研发技术 团队。公司建立了人员招聘体系、职务职责体系、薪酬福利体系、绩效考核体系、研发和创新激励体系等一系列机制，吸引、 培养了一支技术水平高、经验丰富、富有团队协作精神，且对公司的企业文化有较高的认同感的研发技术团队，为公司规模 化发展提供了有力的保障。</w:t>
      </w:r>
    </w:p>
    <w:p>
      <w:pPr>
        <w:pStyle w:val="Style30"/>
        <w:keepNext w:val="0"/>
        <w:keepLines w:val="0"/>
        <w:widowControl w:val="0"/>
        <w:shd w:val="clear" w:color="auto" w:fill="auto"/>
        <w:bidi w:val="0"/>
        <w:spacing w:before="0" w:after="0"/>
        <w:ind w:left="0" w:right="0"/>
        <w:jc w:val="both"/>
      </w:pPr>
      <w:bookmarkStart w:id="90" w:name="bookmark90"/>
      <w:r>
        <w:rPr>
          <w:rFonts w:ascii="Times New Roman" w:eastAsia="Times New Roman" w:hAnsi="Times New Roman" w:cs="Times New Roman"/>
          <w:color w:val="000000"/>
          <w:spacing w:val="0"/>
          <w:w w:val="100"/>
          <w:position w:val="0"/>
        </w:rPr>
        <w:t>5</w:t>
      </w:r>
      <w:bookmarkEnd w:id="90"/>
      <w:r>
        <w:rPr>
          <w:color w:val="000000"/>
          <w:spacing w:val="0"/>
          <w:w w:val="100"/>
          <w:position w:val="0"/>
        </w:rPr>
        <w:t>、销售和服务网络</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公司以产品运作和渠道拓展为基础，积极发展分销产品业务，致力于成为厂商和用户之间具有核心价值的信息交换桥梁。 报告期内，公司通过双方的区域战略、行业战略等多方面产业链整合，分销业务取得了较好的销售规模，与国内众多的渠道 商建立了业务联系，并通过渠道商对公司自主软件产品的积极影响力扩大了公司软件产品的销售规模。</w:t>
      </w:r>
    </w:p>
    <w:p>
      <w:pPr>
        <w:pStyle w:val="Style30"/>
        <w:keepNext w:val="0"/>
        <w:keepLines w:val="0"/>
        <w:widowControl w:val="0"/>
        <w:shd w:val="clear" w:color="auto" w:fill="auto"/>
        <w:bidi w:val="0"/>
        <w:spacing w:before="0" w:after="80" w:line="322" w:lineRule="exact"/>
        <w:ind w:left="0" w:right="0" w:firstLine="300"/>
        <w:jc w:val="both"/>
        <w:sectPr>
          <w:footnotePr>
            <w:pos w:val="pageBottom"/>
            <w:numFmt w:val="decimal"/>
            <w:numRestart w:val="continuous"/>
          </w:footnotePr>
          <w:pgSz w:w="11900" w:h="16840"/>
          <w:pgMar w:top="1388" w:right="1034" w:bottom="1508" w:left="1092" w:header="0" w:footer="3" w:gutter="0"/>
          <w:cols w:space="720"/>
          <w:noEndnote/>
          <w:rtlGutter w:val="0"/>
          <w:docGrid w:linePitch="360"/>
        </w:sectPr>
      </w:pPr>
      <w:r>
        <w:rPr>
          <w:color w:val="000000"/>
          <w:spacing w:val="0"/>
          <w:w w:val="100"/>
          <w:position w:val="0"/>
        </w:rPr>
        <w:t>截至报告期末，公司新建、扩建运维服务网点共</w:t>
      </w:r>
      <w:r>
        <w:rPr>
          <w:rFonts w:ascii="Times New Roman" w:eastAsia="Times New Roman" w:hAnsi="Times New Roman" w:cs="Times New Roman"/>
          <w:color w:val="000000"/>
          <w:spacing w:val="0"/>
          <w:w w:val="100"/>
          <w:position w:val="0"/>
        </w:rPr>
        <w:t>130</w:t>
      </w:r>
      <w:r>
        <w:rPr>
          <w:color w:val="000000"/>
          <w:spacing w:val="0"/>
          <w:w w:val="100"/>
          <w:position w:val="0"/>
        </w:rPr>
        <w:t>多个，提高了运维服务网络的覆盖率，完善了包括客户服务支持系 统、客户服务中心、服务管理体系在内的运维服务体系，提高了公司的运维服务能力和服务质量，进一步提高了市场占有率。</w:t>
      </w:r>
    </w:p>
    <w:p>
      <w:pPr>
        <w:pStyle w:val="Style18"/>
        <w:keepNext/>
        <w:keepLines/>
        <w:widowControl w:val="0"/>
        <w:shd w:val="clear" w:color="auto" w:fill="auto"/>
        <w:bidi w:val="0"/>
        <w:spacing w:before="58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6"/>
        <w:keepNext/>
        <w:keepLines/>
        <w:widowControl w:val="0"/>
        <w:shd w:val="clear" w:color="auto" w:fill="auto"/>
        <w:bidi w:val="0"/>
        <w:spacing w:before="0" w:after="360" w:line="240" w:lineRule="auto"/>
        <w:ind w:left="0" w:right="0" w:firstLine="0"/>
        <w:jc w:val="both"/>
      </w:pPr>
      <w:bookmarkStart w:id="100" w:name="bookmark100"/>
      <w:bookmarkStart w:id="101" w:name="bookmark101"/>
      <w:bookmarkStart w:id="97" w:name="bookmark97"/>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、概述</w:t>
      </w:r>
      <w:bookmarkEnd w:id="101"/>
      <w:bookmarkEnd w:id="98"/>
      <w:bookmarkEnd w:id="99"/>
      <w:bookmarkEnd w:id="97"/>
    </w:p>
    <w:p>
      <w:pPr>
        <w:pStyle w:val="Style30"/>
        <w:keepNext w:val="0"/>
        <w:keepLines w:val="0"/>
        <w:widowControl w:val="0"/>
        <w:shd w:val="clear" w:color="auto" w:fill="auto"/>
        <w:tabs>
          <w:tab w:pos="787" w:val="left"/>
        </w:tabs>
        <w:bidi w:val="0"/>
        <w:spacing w:before="0" w:after="0"/>
        <w:ind w:left="0" w:right="0"/>
        <w:jc w:val="left"/>
      </w:pPr>
      <w:bookmarkStart w:id="102" w:name="bookmark102"/>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总体经营情况</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报告期内，在公司经营管理班子和全体员工的共同努力下，公司坚定推进软件</w:t>
      </w:r>
      <w:r>
        <w:rPr>
          <w:rFonts w:ascii="Calibri" w:eastAsia="Calibri" w:hAnsi="Calibri" w:cs="Calibri"/>
          <w:color w:val="000000"/>
          <w:spacing w:val="0"/>
          <w:w w:val="100"/>
          <w:position w:val="0"/>
          <w:sz w:val="18"/>
          <w:szCs w:val="18"/>
        </w:rPr>
        <w:t>“</w:t>
      </w:r>
      <w:r>
        <w:rPr>
          <w:color w:val="000000"/>
          <w:spacing w:val="0"/>
          <w:w w:val="100"/>
          <w:position w:val="0"/>
        </w:rPr>
        <w:t>行业化、产品化、服务化</w:t>
      </w:r>
      <w:r>
        <w:rPr>
          <w:color w:val="000000"/>
          <w:spacing w:val="0"/>
          <w:w w:val="100"/>
          <w:position w:val="0"/>
          <w:sz w:val="19"/>
          <w:szCs w:val="19"/>
        </w:rPr>
        <w:t>〃</w:t>
      </w:r>
      <w:r>
        <w:rPr>
          <w:color w:val="000000"/>
          <w:spacing w:val="0"/>
          <w:w w:val="100"/>
          <w:position w:val="0"/>
        </w:rPr>
        <w:t>经营战略，持 续加大产品研发的投入和力度，依托长期积累的品牌、团队、产品、技术等综合优势，进一步巩固在电子政务、质检信息化、 物联网等领域的优势，积极培育和拓展大数据、自主可控、云计算、物联网等新技术新业务，致力于传统和创新两大运营服 务体系建设，开拓了新的业务增长点，提升了公司的竞争力。</w:t>
      </w:r>
    </w:p>
    <w:p>
      <w:pPr>
        <w:pStyle w:val="Style30"/>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年公司共实现营业收入</w:t>
      </w:r>
      <w:r>
        <w:rPr>
          <w:rFonts w:ascii="Times New Roman" w:eastAsia="Times New Roman" w:hAnsi="Times New Roman" w:cs="Times New Roman"/>
          <w:color w:val="000000"/>
          <w:spacing w:val="0"/>
          <w:w w:val="100"/>
          <w:position w:val="0"/>
        </w:rPr>
        <w:t>70,259.23</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12.67%</w:t>
      </w:r>
      <w:r>
        <w:rPr>
          <w:color w:val="000000"/>
          <w:spacing w:val="0"/>
          <w:w w:val="100"/>
          <w:position w:val="0"/>
        </w:rPr>
        <w:t>；营业成本比上年同期增加</w:t>
      </w:r>
      <w:r>
        <w:rPr>
          <w:rFonts w:ascii="Times New Roman" w:eastAsia="Times New Roman" w:hAnsi="Times New Roman" w:cs="Times New Roman"/>
          <w:color w:val="000000"/>
          <w:spacing w:val="0"/>
          <w:w w:val="100"/>
          <w:position w:val="0"/>
        </w:rPr>
        <w:t>13.48%</w:t>
      </w:r>
      <w:r>
        <w:rPr>
          <w:color w:val="000000"/>
          <w:spacing w:val="0"/>
          <w:w w:val="100"/>
          <w:position w:val="0"/>
        </w:rPr>
        <w:t>；销售费用比上 年同期减少</w:t>
      </w:r>
      <w:r>
        <w:rPr>
          <w:rFonts w:ascii="Times New Roman" w:eastAsia="Times New Roman" w:hAnsi="Times New Roman" w:cs="Times New Roman"/>
          <w:color w:val="000000"/>
          <w:spacing w:val="0"/>
          <w:w w:val="100"/>
          <w:position w:val="0"/>
        </w:rPr>
        <w:t>1.94%</w:t>
      </w:r>
      <w:r>
        <w:rPr>
          <w:color w:val="000000"/>
          <w:spacing w:val="0"/>
          <w:w w:val="100"/>
          <w:position w:val="0"/>
        </w:rPr>
        <w:t>，管理费用与上年同期相比基本持平；财务费用比上年同期增加</w:t>
      </w:r>
      <w:r>
        <w:rPr>
          <w:rFonts w:ascii="Times New Roman" w:eastAsia="Times New Roman" w:hAnsi="Times New Roman" w:cs="Times New Roman"/>
          <w:color w:val="000000"/>
          <w:spacing w:val="0"/>
          <w:w w:val="100"/>
          <w:position w:val="0"/>
        </w:rPr>
        <w:t>128.14%</w:t>
      </w:r>
      <w:r>
        <w:rPr>
          <w:color w:val="000000"/>
          <w:spacing w:val="0"/>
          <w:w w:val="100"/>
          <w:position w:val="0"/>
        </w:rPr>
        <w:t>，主要是报告期利息支出较上年 增加较多；经营活动产生的现金流量净额较上年同期增加</w:t>
      </w:r>
      <w:r>
        <w:rPr>
          <w:rFonts w:ascii="Times New Roman" w:eastAsia="Times New Roman" w:hAnsi="Times New Roman" w:cs="Times New Roman"/>
          <w:color w:val="000000"/>
          <w:spacing w:val="0"/>
          <w:w w:val="100"/>
          <w:position w:val="0"/>
        </w:rPr>
        <w:t>217.6%</w:t>
      </w:r>
      <w:r>
        <w:rPr>
          <w:color w:val="000000"/>
          <w:spacing w:val="0"/>
          <w:w w:val="100"/>
          <w:position w:val="0"/>
        </w:rPr>
        <w:t>，主要是报告期销售商品、提供劳务收到的现金增加及支 付的其他与经营活动有关的现金减少；投资活动产生的现金流量净额较上年同期增加</w:t>
      </w:r>
      <w:r>
        <w:rPr>
          <w:rFonts w:ascii="Times New Roman" w:eastAsia="Times New Roman" w:hAnsi="Times New Roman" w:cs="Times New Roman"/>
          <w:color w:val="000000"/>
          <w:spacing w:val="0"/>
          <w:w w:val="100"/>
          <w:position w:val="0"/>
        </w:rPr>
        <w:t>182.62%</w:t>
      </w:r>
      <w:r>
        <w:rPr>
          <w:color w:val="000000"/>
          <w:spacing w:val="0"/>
          <w:w w:val="100"/>
          <w:position w:val="0"/>
        </w:rPr>
        <w:t>,主要是报告期理财产品净额 减少。</w:t>
      </w:r>
    </w:p>
    <w:p>
      <w:pPr>
        <w:pStyle w:val="Style30"/>
        <w:keepNext w:val="0"/>
        <w:keepLines w:val="0"/>
        <w:widowControl w:val="0"/>
        <w:shd w:val="clear" w:color="auto" w:fill="auto"/>
        <w:tabs>
          <w:tab w:pos="787" w:val="left"/>
        </w:tabs>
        <w:bidi w:val="0"/>
        <w:spacing w:before="0" w:after="0" w:line="315" w:lineRule="exact"/>
        <w:ind w:left="0" w:right="0"/>
        <w:jc w:val="left"/>
      </w:pPr>
      <w:bookmarkStart w:id="103" w:name="bookmark103"/>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报告期内公司重要经营管理事项回顾</w:t>
      </w:r>
    </w:p>
    <w:p>
      <w:pPr>
        <w:pStyle w:val="Style30"/>
        <w:keepNext w:val="0"/>
        <w:keepLines w:val="0"/>
        <w:widowControl w:val="0"/>
        <w:shd w:val="clear" w:color="auto" w:fill="auto"/>
        <w:bidi w:val="0"/>
        <w:spacing w:before="0" w:after="0" w:line="315" w:lineRule="exact"/>
        <w:ind w:left="0" w:right="0"/>
        <w:jc w:val="left"/>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 公司按照《国务院办公厅关于加快推进</w:t>
      </w:r>
      <w:r>
        <w:rPr>
          <w:rFonts w:ascii="Times New Roman" w:eastAsia="Times New Roman" w:hAnsi="Times New Roman" w:cs="Times New Roman"/>
          <w:color w:val="000000"/>
          <w:spacing w:val="0"/>
          <w:w w:val="100"/>
          <w:position w:val="0"/>
        </w:rPr>
        <w:t>“</w:t>
      </w:r>
      <w:r>
        <w:rPr>
          <w:color w:val="000000"/>
          <w:spacing w:val="0"/>
          <w:w w:val="100"/>
          <w:position w:val="0"/>
        </w:rPr>
        <w:t>三证合一</w:t>
      </w:r>
      <w:r>
        <w:rPr>
          <w:rFonts w:ascii="Times New Roman" w:eastAsia="Times New Roman" w:hAnsi="Times New Roman" w:cs="Times New Roman"/>
          <w:color w:val="000000"/>
          <w:spacing w:val="0"/>
          <w:w w:val="100"/>
          <w:position w:val="0"/>
        </w:rPr>
        <w:t>”</w:t>
      </w:r>
      <w:r>
        <w:rPr>
          <w:color w:val="000000"/>
          <w:spacing w:val="0"/>
          <w:w w:val="100"/>
          <w:position w:val="0"/>
        </w:rPr>
        <w:t>登记制度改革的意见》（国办发〔</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50</w:t>
      </w:r>
      <w:r>
        <w:rPr>
          <w:color w:val="000000"/>
          <w:spacing w:val="0"/>
          <w:w w:val="100"/>
          <w:position w:val="0"/>
        </w:rPr>
        <w:t>号）和《福建省人 民政府办公厅转发省工商局等部门关于深化</w:t>
      </w:r>
      <w:r>
        <w:rPr>
          <w:rFonts w:ascii="Times New Roman" w:eastAsia="Times New Roman" w:hAnsi="Times New Roman" w:cs="Times New Roman"/>
          <w:color w:val="000000"/>
          <w:spacing w:val="0"/>
          <w:w w:val="100"/>
          <w:position w:val="0"/>
        </w:rPr>
        <w:t>“</w:t>
      </w:r>
      <w:r>
        <w:rPr>
          <w:color w:val="000000"/>
          <w:spacing w:val="0"/>
          <w:w w:val="100"/>
          <w:position w:val="0"/>
        </w:rPr>
        <w:t>一照一码</w:t>
      </w:r>
      <w:r>
        <w:rPr>
          <w:rFonts w:ascii="Times New Roman" w:eastAsia="Times New Roman" w:hAnsi="Times New Roman" w:cs="Times New Roman"/>
          <w:color w:val="000000"/>
          <w:spacing w:val="0"/>
          <w:w w:val="100"/>
          <w:position w:val="0"/>
        </w:rPr>
        <w:t>”</w:t>
      </w:r>
      <w:r>
        <w:rPr>
          <w:color w:val="000000"/>
          <w:spacing w:val="0"/>
          <w:w w:val="100"/>
          <w:position w:val="0"/>
        </w:rPr>
        <w:t>登记制度改革工作意见的通知》（闽政办〔</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130</w:t>
      </w:r>
      <w:r>
        <w:rPr>
          <w:color w:val="000000"/>
          <w:spacing w:val="0"/>
          <w:w w:val="100"/>
          <w:position w:val="0"/>
        </w:rPr>
        <w:t>号）等相关要 求，向福建省工商行政管理局、福州市工商行政管理局申请并完成了</w:t>
      </w:r>
      <w:r>
        <w:rPr>
          <w:rFonts w:ascii="Times New Roman" w:eastAsia="Times New Roman" w:hAnsi="Times New Roman" w:cs="Times New Roman"/>
          <w:color w:val="000000"/>
          <w:spacing w:val="0"/>
          <w:w w:val="100"/>
          <w:position w:val="0"/>
        </w:rPr>
        <w:t>“</w:t>
      </w:r>
      <w:r>
        <w:rPr>
          <w:color w:val="000000"/>
          <w:spacing w:val="0"/>
          <w:w w:val="100"/>
          <w:position w:val="0"/>
        </w:rPr>
        <w:t>三证合一</w:t>
      </w:r>
      <w:r>
        <w:rPr>
          <w:rFonts w:ascii="Times New Roman" w:eastAsia="Times New Roman" w:hAnsi="Times New Roman" w:cs="Times New Roman"/>
          <w:color w:val="000000"/>
          <w:spacing w:val="0"/>
          <w:w w:val="100"/>
          <w:position w:val="0"/>
        </w:rPr>
        <w:t>”</w:t>
      </w:r>
      <w:r>
        <w:rPr>
          <w:color w:val="000000"/>
          <w:spacing w:val="0"/>
          <w:w w:val="100"/>
          <w:position w:val="0"/>
        </w:rPr>
        <w:t>的工商变更登记。</w:t>
      </w:r>
    </w:p>
    <w:p>
      <w:pPr>
        <w:pStyle w:val="Style30"/>
        <w:keepNext w:val="0"/>
        <w:keepLines w:val="0"/>
        <w:widowControl w:val="0"/>
        <w:shd w:val="clear" w:color="auto" w:fill="auto"/>
        <w:tabs>
          <w:tab w:pos="877" w:val="left"/>
        </w:tabs>
        <w:bidi w:val="0"/>
        <w:spacing w:before="0" w:after="0" w:line="315" w:lineRule="exact"/>
        <w:ind w:left="0" w:right="0"/>
        <w:jc w:val="left"/>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月，公司承建的</w:t>
      </w:r>
      <w:r>
        <w:rPr>
          <w:rFonts w:ascii="Times New Roman" w:eastAsia="Times New Roman" w:hAnsi="Times New Roman" w:cs="Times New Roman"/>
          <w:color w:val="000000"/>
          <w:spacing w:val="0"/>
          <w:w w:val="100"/>
          <w:position w:val="0"/>
        </w:rPr>
        <w:t>“</w:t>
      </w:r>
      <w:r>
        <w:rPr>
          <w:color w:val="000000"/>
          <w:spacing w:val="0"/>
          <w:w w:val="100"/>
          <w:position w:val="0"/>
        </w:rPr>
        <w:t>浙江省交通投资集团有限公司内网综合信息管理平台建设项目</w:t>
      </w: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“2015</w:t>
      </w:r>
      <w:r>
        <w:rPr>
          <w:color w:val="000000"/>
          <w:spacing w:val="0"/>
          <w:w w:val="100"/>
          <w:position w:val="0"/>
        </w:rPr>
        <w:t>年浙江省企业信息化 年终分享会暨回顾与创新高峰论坛</w:t>
      </w:r>
      <w:r>
        <w:rPr>
          <w:rFonts w:ascii="Times New Roman" w:eastAsia="Times New Roman" w:hAnsi="Times New Roman" w:cs="Times New Roman"/>
          <w:color w:val="000000"/>
          <w:spacing w:val="0"/>
          <w:w w:val="100"/>
          <w:position w:val="0"/>
        </w:rPr>
        <w:t>”</w:t>
      </w:r>
      <w:r>
        <w:rPr>
          <w:color w:val="000000"/>
          <w:spacing w:val="0"/>
          <w:w w:val="100"/>
          <w:position w:val="0"/>
        </w:rPr>
        <w:t>上，荣获</w:t>
      </w:r>
      <w:r>
        <w:rPr>
          <w:rFonts w:ascii="Times New Roman" w:eastAsia="Times New Roman" w:hAnsi="Times New Roman" w:cs="Times New Roman"/>
          <w:color w:val="000000"/>
          <w:spacing w:val="0"/>
          <w:w w:val="100"/>
          <w:position w:val="0"/>
        </w:rPr>
        <w:t>“2015</w:t>
      </w:r>
      <w:r>
        <w:rPr>
          <w:color w:val="000000"/>
          <w:spacing w:val="0"/>
          <w:w w:val="100"/>
          <w:position w:val="0"/>
        </w:rPr>
        <w:t>企业信息化创新项目优秀奖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801" w:val="left"/>
        </w:tabs>
        <w:bidi w:val="0"/>
        <w:spacing w:before="0" w:after="0" w:line="315" w:lineRule="exact"/>
        <w:ind w:left="0" w:right="0"/>
        <w:jc w:val="left"/>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月，公司完成</w:t>
      </w:r>
      <w:r>
        <w:rPr>
          <w:rFonts w:ascii="Times New Roman" w:eastAsia="Times New Roman" w:hAnsi="Times New Roman" w:cs="Times New Roman"/>
          <w:color w:val="000000"/>
          <w:spacing w:val="0"/>
          <w:w w:val="100"/>
          <w:position w:val="0"/>
        </w:rPr>
        <w:t>2015</w:t>
      </w:r>
      <w:r>
        <w:rPr>
          <w:color w:val="000000"/>
          <w:spacing w:val="0"/>
          <w:w w:val="100"/>
          <w:position w:val="0"/>
        </w:rPr>
        <w:t>年度第一期短期融资券的兑付，本息合计人民币</w:t>
      </w:r>
      <w:r>
        <w:rPr>
          <w:rFonts w:ascii="Times New Roman" w:eastAsia="Times New Roman" w:hAnsi="Times New Roman" w:cs="Times New Roman"/>
          <w:color w:val="000000"/>
          <w:spacing w:val="0"/>
          <w:w w:val="100"/>
          <w:position w:val="0"/>
        </w:rPr>
        <w:t>53,500,000</w:t>
      </w:r>
      <w:r>
        <w:rPr>
          <w:color w:val="000000"/>
          <w:spacing w:val="0"/>
          <w:w w:val="100"/>
          <w:position w:val="0"/>
        </w:rPr>
        <w:t>元。</w:t>
      </w:r>
    </w:p>
    <w:p>
      <w:pPr>
        <w:pStyle w:val="Style30"/>
        <w:keepNext w:val="0"/>
        <w:keepLines w:val="0"/>
        <w:widowControl w:val="0"/>
        <w:shd w:val="clear" w:color="auto" w:fill="auto"/>
        <w:tabs>
          <w:tab w:pos="877" w:val="left"/>
        </w:tabs>
        <w:bidi w:val="0"/>
        <w:spacing w:before="0" w:after="0" w:line="315" w:lineRule="exact"/>
        <w:ind w:left="0" w:right="0"/>
        <w:jc w:val="left"/>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5</w:t>
      </w:r>
      <w:r>
        <w:rPr>
          <w:color w:val="000000"/>
          <w:spacing w:val="0"/>
          <w:w w:val="100"/>
          <w:position w:val="0"/>
        </w:rPr>
        <w:t>月，公司承建的中国电子检验检疫（</w:t>
      </w:r>
      <w:r>
        <w:rPr>
          <w:rFonts w:ascii="Times New Roman" w:eastAsia="Times New Roman" w:hAnsi="Times New Roman" w:cs="Times New Roman"/>
          <w:color w:val="000000"/>
          <w:spacing w:val="0"/>
          <w:w w:val="100"/>
          <w:position w:val="0"/>
        </w:rPr>
        <w:t>e-CIQ</w:t>
      </w:r>
      <w:r>
        <w:rPr>
          <w:color w:val="000000"/>
          <w:spacing w:val="0"/>
          <w:w w:val="100"/>
          <w:position w:val="0"/>
        </w:rPr>
        <w:t>）主干系统在北京、天津、河北三地上线试点运行，公司持续创新系 统功能及用户体验，确保系统的运行稳定和全面推广，助力提升检验检疫部门工作效率及国家检验检疫核心竞争力。</w:t>
      </w:r>
      <w:r>
        <w:rPr>
          <w:rFonts w:ascii="Times New Roman" w:eastAsia="Times New Roman" w:hAnsi="Times New Roman" w:cs="Times New Roman"/>
          <w:color w:val="000000"/>
          <w:spacing w:val="0"/>
          <w:w w:val="100"/>
          <w:position w:val="0"/>
        </w:rPr>
        <w:t>12</w:t>
      </w:r>
      <w:r>
        <w:rPr>
          <w:color w:val="000000"/>
          <w:spacing w:val="0"/>
          <w:w w:val="100"/>
          <w:position w:val="0"/>
        </w:rPr>
        <w:t>月， 公司获得由国家质检总局授予的该系统建设工作突出贡献集体荣誉称号。此前，</w:t>
      </w:r>
      <w:r>
        <w:rPr>
          <w:rFonts w:ascii="Times New Roman" w:eastAsia="Times New Roman" w:hAnsi="Times New Roman" w:cs="Times New Roman"/>
          <w:color w:val="000000"/>
          <w:spacing w:val="0"/>
          <w:w w:val="100"/>
          <w:position w:val="0"/>
        </w:rPr>
        <w:t>e-CIQ</w:t>
      </w:r>
      <w:r>
        <w:rPr>
          <w:color w:val="000000"/>
          <w:spacing w:val="0"/>
          <w:w w:val="100"/>
          <w:position w:val="0"/>
        </w:rPr>
        <w:t>主干系统已完成分批试点，开始在全 国实现全面上线试运行，并于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日起正式运行。</w:t>
      </w:r>
    </w:p>
    <w:p>
      <w:pPr>
        <w:pStyle w:val="Style30"/>
        <w:keepNext w:val="0"/>
        <w:keepLines w:val="0"/>
        <w:widowControl w:val="0"/>
        <w:shd w:val="clear" w:color="auto" w:fill="auto"/>
        <w:tabs>
          <w:tab w:pos="877" w:val="left"/>
        </w:tabs>
        <w:bidi w:val="0"/>
        <w:spacing w:before="0" w:after="0" w:line="315" w:lineRule="exact"/>
        <w:ind w:left="0" w:right="0"/>
        <w:jc w:val="left"/>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5</w:t>
      </w:r>
      <w:r>
        <w:rPr>
          <w:color w:val="000000"/>
          <w:spacing w:val="0"/>
          <w:w w:val="100"/>
          <w:position w:val="0"/>
        </w:rPr>
        <w:t>月，公司控股子公司星榕基入选福建自贸试验区第一批第三方信用服务机构，入选的第三方信用服务机构可为福 建自贸试验区内政府在行政管理事项中使用信用评级报告等信用工作提供服务，也可面向区内运营的企业或分支机构开展信 用服务工作。</w:t>
      </w:r>
    </w:p>
    <w:p>
      <w:pPr>
        <w:pStyle w:val="Style30"/>
        <w:keepNext w:val="0"/>
        <w:keepLines w:val="0"/>
        <w:widowControl w:val="0"/>
        <w:shd w:val="clear" w:color="auto" w:fill="auto"/>
        <w:tabs>
          <w:tab w:pos="873" w:val="left"/>
        </w:tabs>
        <w:bidi w:val="0"/>
        <w:spacing w:before="0" w:after="0" w:line="315" w:lineRule="exact"/>
        <w:ind w:left="0" w:right="0"/>
        <w:jc w:val="left"/>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8</w:t>
      </w:r>
      <w:r>
        <w:rPr>
          <w:color w:val="000000"/>
          <w:spacing w:val="0"/>
          <w:w w:val="100"/>
          <w:position w:val="0"/>
        </w:rPr>
        <w:t>月，公司自主研发的榕基</w:t>
      </w:r>
      <w:r>
        <w:rPr>
          <w:rFonts w:ascii="Times New Roman" w:eastAsia="Times New Roman" w:hAnsi="Times New Roman" w:cs="Times New Roman"/>
          <w:color w:val="000000"/>
          <w:spacing w:val="0"/>
          <w:w w:val="100"/>
          <w:position w:val="0"/>
        </w:rPr>
        <w:t>iTask</w:t>
      </w:r>
      <w:r>
        <w:rPr>
          <w:color w:val="000000"/>
          <w:spacing w:val="0"/>
          <w:w w:val="100"/>
          <w:position w:val="0"/>
        </w:rPr>
        <w:t>移动协同管理平台，作为国家电网公司协同办公一级部署系统任务协作中间件的 唯一入选产品，开始随着该系统在国家电网公司总部、分部的成功上线试运行，而全面应用于该公司的日常任务与协作管理。</w:t>
      </w:r>
    </w:p>
    <w:p>
      <w:pPr>
        <w:pStyle w:val="Style30"/>
        <w:keepNext w:val="0"/>
        <w:keepLines w:val="0"/>
        <w:widowControl w:val="0"/>
        <w:shd w:val="clear" w:color="auto" w:fill="auto"/>
        <w:tabs>
          <w:tab w:pos="877" w:val="left"/>
        </w:tabs>
        <w:bidi w:val="0"/>
        <w:spacing w:before="0" w:after="0" w:line="315" w:lineRule="exact"/>
        <w:ind w:left="0" w:right="0"/>
        <w:jc w:val="left"/>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9</w:t>
      </w:r>
      <w:r>
        <w:rPr>
          <w:color w:val="000000"/>
          <w:spacing w:val="0"/>
          <w:w w:val="100"/>
          <w:position w:val="0"/>
        </w:rPr>
        <w:t>月，公司顺利获得</w:t>
      </w:r>
      <w:r>
        <w:rPr>
          <w:rFonts w:ascii="Times New Roman" w:eastAsia="Times New Roman" w:hAnsi="Times New Roman" w:cs="Times New Roman"/>
          <w:color w:val="000000"/>
          <w:spacing w:val="0"/>
          <w:w w:val="100"/>
          <w:position w:val="0"/>
        </w:rPr>
        <w:t>CMMI5</w:t>
      </w:r>
      <w:r>
        <w:rPr>
          <w:color w:val="000000"/>
          <w:spacing w:val="0"/>
          <w:w w:val="100"/>
          <w:position w:val="0"/>
        </w:rPr>
        <w:t>级国际评估认证证书。此项认证标志着公司的研发管理、质量管理等能力已达到国际 先进水平。</w:t>
      </w:r>
    </w:p>
    <w:p>
      <w:pPr>
        <w:pStyle w:val="Style30"/>
        <w:keepNext w:val="0"/>
        <w:keepLines w:val="0"/>
        <w:widowControl w:val="0"/>
        <w:shd w:val="clear" w:color="auto" w:fill="auto"/>
        <w:tabs>
          <w:tab w:pos="877" w:val="left"/>
        </w:tabs>
        <w:bidi w:val="0"/>
        <w:spacing w:before="0" w:after="0" w:line="315" w:lineRule="exact"/>
        <w:ind w:left="0" w:right="0"/>
        <w:jc w:val="left"/>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9</w:t>
      </w:r>
      <w:r>
        <w:rPr>
          <w:color w:val="000000"/>
          <w:spacing w:val="0"/>
          <w:w w:val="100"/>
          <w:position w:val="0"/>
        </w:rPr>
        <w:t>月，公司获得安防工程企业设计施工维护能力一级证书。</w:t>
      </w:r>
      <w:r>
        <w:rPr>
          <w:rFonts w:ascii="Times New Roman" w:eastAsia="Times New Roman" w:hAnsi="Times New Roman" w:cs="Times New Roman"/>
          <w:color w:val="000000"/>
          <w:spacing w:val="0"/>
          <w:w w:val="100"/>
          <w:position w:val="0"/>
        </w:rPr>
        <w:t>11</w:t>
      </w:r>
      <w:r>
        <w:rPr>
          <w:color w:val="000000"/>
          <w:spacing w:val="0"/>
          <w:w w:val="100"/>
          <w:position w:val="0"/>
        </w:rPr>
        <w:t>月，公司获得电子与智能化工程专业承包一级资质证 书。获此资质表明业界对公司提供安防工程、电子及智能化工程建设实力的充分认可。</w:t>
      </w:r>
    </w:p>
    <w:p>
      <w:pPr>
        <w:pStyle w:val="Style30"/>
        <w:keepNext w:val="0"/>
        <w:keepLines w:val="0"/>
        <w:widowControl w:val="0"/>
        <w:shd w:val="clear" w:color="auto" w:fill="auto"/>
        <w:tabs>
          <w:tab w:pos="873" w:val="left"/>
        </w:tabs>
        <w:bidi w:val="0"/>
        <w:spacing w:before="0" w:after="0" w:line="315" w:lineRule="exact"/>
        <w:ind w:left="0" w:right="0"/>
        <w:jc w:val="left"/>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11</w:t>
      </w:r>
      <w:r>
        <w:rPr>
          <w:color w:val="000000"/>
          <w:spacing w:val="0"/>
          <w:w w:val="100"/>
          <w:position w:val="0"/>
        </w:rPr>
        <w:t>月，在</w:t>
      </w:r>
      <w:r>
        <w:rPr>
          <w:rFonts w:ascii="Times New Roman" w:eastAsia="Times New Roman" w:hAnsi="Times New Roman" w:cs="Times New Roman"/>
          <w:color w:val="000000"/>
          <w:spacing w:val="0"/>
          <w:w w:val="100"/>
          <w:position w:val="0"/>
        </w:rPr>
        <w:t>2016</w:t>
      </w:r>
      <w:r>
        <w:rPr>
          <w:color w:val="000000"/>
          <w:spacing w:val="0"/>
          <w:w w:val="100"/>
          <w:position w:val="0"/>
        </w:rPr>
        <w:t>年全国实施用户满意工程推进大会上，公司荣获</w:t>
      </w:r>
      <w:r>
        <w:rPr>
          <w:rFonts w:ascii="Times New Roman" w:eastAsia="Times New Roman" w:hAnsi="Times New Roman" w:cs="Times New Roman"/>
          <w:color w:val="000000"/>
          <w:spacing w:val="0"/>
          <w:w w:val="100"/>
          <w:position w:val="0"/>
        </w:rPr>
        <w:t>“</w:t>
      </w:r>
      <w:r>
        <w:rPr>
          <w:color w:val="000000"/>
          <w:spacing w:val="0"/>
          <w:w w:val="100"/>
          <w:position w:val="0"/>
        </w:rPr>
        <w:t>全国用户满意辉煌二十年</w:t>
      </w:r>
      <w:r>
        <w:rPr>
          <w:rFonts w:ascii="Times New Roman" w:eastAsia="Times New Roman" w:hAnsi="Times New Roman" w:cs="Times New Roman"/>
          <w:color w:val="000000"/>
          <w:spacing w:val="0"/>
          <w:w w:val="100"/>
          <w:position w:val="0"/>
        </w:rPr>
        <w:t>”</w:t>
      </w:r>
      <w:r>
        <w:rPr>
          <w:color w:val="000000"/>
          <w:spacing w:val="0"/>
          <w:w w:val="100"/>
          <w:position w:val="0"/>
        </w:rPr>
        <w:t>优秀企业、全国用户满 意企业荣誉称号。</w:t>
      </w:r>
    </w:p>
    <w:p>
      <w:pPr>
        <w:pStyle w:val="Style30"/>
        <w:keepNext w:val="0"/>
        <w:keepLines w:val="0"/>
        <w:widowControl w:val="0"/>
        <w:shd w:val="clear" w:color="auto" w:fill="auto"/>
        <w:tabs>
          <w:tab w:pos="973" w:val="left"/>
        </w:tabs>
        <w:bidi w:val="0"/>
        <w:spacing w:before="0" w:after="0" w:line="315" w:lineRule="exact"/>
        <w:ind w:left="0" w:right="0"/>
        <w:jc w:val="left"/>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11</w:t>
      </w:r>
      <w:r>
        <w:rPr>
          <w:color w:val="000000"/>
          <w:spacing w:val="0"/>
          <w:w w:val="100"/>
          <w:position w:val="0"/>
        </w:rPr>
        <w:t>月，上海榕基软件开发有限公司松江园区项目开工，园区建成后主要用于信息技术的研发及相关企业的办公与 运营，通过上下游产业的集聚与对接，打造完整的</w:t>
      </w:r>
      <w:r>
        <w:rPr>
          <w:rFonts w:ascii="Times New Roman" w:eastAsia="Times New Roman" w:hAnsi="Times New Roman" w:cs="Times New Roman"/>
          <w:color w:val="000000"/>
          <w:spacing w:val="0"/>
          <w:w w:val="100"/>
          <w:position w:val="0"/>
        </w:rPr>
        <w:t>IT</w:t>
      </w:r>
      <w:r>
        <w:rPr>
          <w:color w:val="000000"/>
          <w:spacing w:val="0"/>
          <w:w w:val="100"/>
          <w:position w:val="0"/>
        </w:rPr>
        <w:t>产业生态圈。</w:t>
      </w:r>
    </w:p>
    <w:p>
      <w:pPr>
        <w:pStyle w:val="Style30"/>
        <w:keepNext w:val="0"/>
        <w:keepLines w:val="0"/>
        <w:widowControl w:val="0"/>
        <w:shd w:val="clear" w:color="auto" w:fill="auto"/>
        <w:tabs>
          <w:tab w:pos="969" w:val="left"/>
        </w:tabs>
        <w:bidi w:val="0"/>
        <w:spacing w:before="0" w:after="0" w:line="315" w:lineRule="exact"/>
        <w:ind w:left="0" w:right="0"/>
        <w:jc w:val="left"/>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月，公司承建的福州市政务网云计算平台升级改造项目顺利通过福州市</w:t>
      </w:r>
      <w:r>
        <w:rPr>
          <w:rFonts w:ascii="Times New Roman" w:eastAsia="Times New Roman" w:hAnsi="Times New Roman" w:cs="Times New Roman"/>
          <w:color w:val="000000"/>
          <w:spacing w:val="0"/>
          <w:w w:val="100"/>
          <w:position w:val="0"/>
        </w:rPr>
        <w:t>“</w:t>
      </w:r>
      <w:r>
        <w:rPr>
          <w:color w:val="000000"/>
          <w:spacing w:val="0"/>
          <w:w w:val="100"/>
          <w:position w:val="0"/>
        </w:rPr>
        <w:t>数字福州</w:t>
      </w:r>
      <w:r>
        <w:rPr>
          <w:rFonts w:ascii="Times New Roman" w:eastAsia="Times New Roman" w:hAnsi="Times New Roman" w:cs="Times New Roman"/>
          <w:color w:val="000000"/>
          <w:spacing w:val="0"/>
          <w:w w:val="100"/>
          <w:position w:val="0"/>
        </w:rPr>
        <w:t>”</w:t>
      </w:r>
      <w:r>
        <w:rPr>
          <w:color w:val="000000"/>
          <w:spacing w:val="0"/>
          <w:w w:val="100"/>
          <w:position w:val="0"/>
        </w:rPr>
        <w:t>建设领导小组办公室组织的 专家组验收。目前该平台已为福州全市市直党政机关单位</w:t>
      </w:r>
      <w:r>
        <w:rPr>
          <w:rFonts w:ascii="Times New Roman" w:eastAsia="Times New Roman" w:hAnsi="Times New Roman" w:cs="Times New Roman"/>
          <w:color w:val="000000"/>
          <w:spacing w:val="0"/>
          <w:w w:val="100"/>
          <w:position w:val="0"/>
        </w:rPr>
        <w:t>100</w:t>
      </w:r>
      <w:r>
        <w:rPr>
          <w:color w:val="000000"/>
          <w:spacing w:val="0"/>
          <w:w w:val="100"/>
          <w:position w:val="0"/>
        </w:rPr>
        <w:t>多个应用提供云资源服务和技术支撑。</w:t>
      </w:r>
    </w:p>
    <w:p>
      <w:pPr>
        <w:pStyle w:val="Style30"/>
        <w:keepNext w:val="0"/>
        <w:keepLines w:val="0"/>
        <w:widowControl w:val="0"/>
        <w:shd w:val="clear" w:color="auto" w:fill="auto"/>
        <w:bidi w:val="0"/>
        <w:spacing w:before="0" w:after="0" w:line="315" w:lineRule="exact"/>
        <w:ind w:left="0" w:right="0" w:firstLine="300"/>
        <w:jc w:val="left"/>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年度新获得</w:t>
      </w:r>
      <w:r>
        <w:rPr>
          <w:rFonts w:ascii="Times New Roman" w:eastAsia="Times New Roman" w:hAnsi="Times New Roman" w:cs="Times New Roman"/>
          <w:color w:val="000000"/>
          <w:spacing w:val="0"/>
          <w:w w:val="100"/>
          <w:position w:val="0"/>
        </w:rPr>
        <w:t>9</w:t>
      </w:r>
      <w:r>
        <w:rPr>
          <w:color w:val="000000"/>
          <w:spacing w:val="0"/>
          <w:w w:val="100"/>
          <w:position w:val="0"/>
        </w:rPr>
        <w:t>项专利、</w:t>
      </w:r>
      <w:r>
        <w:rPr>
          <w:rFonts w:ascii="Times New Roman" w:eastAsia="Times New Roman" w:hAnsi="Times New Roman" w:cs="Times New Roman"/>
          <w:color w:val="000000"/>
          <w:spacing w:val="0"/>
          <w:w w:val="100"/>
          <w:position w:val="0"/>
        </w:rPr>
        <w:t>28</w:t>
      </w:r>
      <w:r>
        <w:rPr>
          <w:color w:val="000000"/>
          <w:spacing w:val="0"/>
          <w:w w:val="100"/>
          <w:position w:val="0"/>
        </w:rPr>
        <w:t>项计算机软件著作权。截至目前，公司拥有</w:t>
      </w:r>
      <w:r>
        <w:rPr>
          <w:rFonts w:ascii="Times New Roman" w:eastAsia="Times New Roman" w:hAnsi="Times New Roman" w:cs="Times New Roman"/>
          <w:color w:val="000000"/>
          <w:spacing w:val="0"/>
          <w:w w:val="100"/>
          <w:position w:val="0"/>
        </w:rPr>
        <w:t>“</w:t>
      </w:r>
      <w:r>
        <w:rPr>
          <w:color w:val="000000"/>
          <w:spacing w:val="0"/>
          <w:w w:val="100"/>
          <w:position w:val="0"/>
        </w:rPr>
        <w:t>榕基</w:t>
      </w:r>
      <w:r>
        <w:rPr>
          <w:rFonts w:ascii="Times New Roman" w:eastAsia="Times New Roman" w:hAnsi="Times New Roman" w:cs="Times New Roman"/>
          <w:color w:val="000000"/>
          <w:spacing w:val="0"/>
          <w:w w:val="100"/>
          <w:position w:val="0"/>
        </w:rPr>
        <w:t>”</w:t>
      </w:r>
      <w:r>
        <w:rPr>
          <w:color w:val="000000"/>
          <w:spacing w:val="0"/>
          <w:w w:val="100"/>
          <w:position w:val="0"/>
        </w:rPr>
        <w:t>品牌的自主知识产权包括</w:t>
      </w:r>
      <w:r>
        <w:rPr>
          <w:rFonts w:ascii="Times New Roman" w:eastAsia="Times New Roman" w:hAnsi="Times New Roman" w:cs="Times New Roman"/>
          <w:color w:val="000000"/>
          <w:spacing w:val="0"/>
          <w:w w:val="100"/>
          <w:position w:val="0"/>
        </w:rPr>
        <w:t>31</w:t>
      </w:r>
      <w:r>
        <w:rPr>
          <w:color w:val="000000"/>
          <w:spacing w:val="0"/>
          <w:w w:val="100"/>
          <w:position w:val="0"/>
        </w:rPr>
        <w:t>项专利，</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166</w:t>
      </w:r>
      <w:r>
        <w:rPr>
          <w:color w:val="000000"/>
          <w:spacing w:val="0"/>
          <w:w w:val="100"/>
          <w:position w:val="0"/>
        </w:rPr>
        <w:t>项计算机软件著作权及</w:t>
      </w:r>
      <w:r>
        <w:rPr>
          <w:rFonts w:ascii="Times New Roman" w:eastAsia="Times New Roman" w:hAnsi="Times New Roman" w:cs="Times New Roman"/>
          <w:color w:val="000000"/>
          <w:spacing w:val="0"/>
          <w:w w:val="100"/>
          <w:position w:val="0"/>
        </w:rPr>
        <w:t>108</w:t>
      </w:r>
      <w:r>
        <w:rPr>
          <w:color w:val="000000"/>
          <w:spacing w:val="0"/>
          <w:w w:val="100"/>
          <w:position w:val="0"/>
        </w:rPr>
        <w:t>项软件产品登记证书。</w:t>
      </w:r>
    </w:p>
    <w:p>
      <w:pPr>
        <w:pStyle w:val="Style26"/>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sz w:val="24"/>
          <w:szCs w:val="24"/>
        </w:rPr>
        <w:t>二</w:t>
      </w:r>
      <w:bookmarkEnd w:id="118"/>
      <w:r>
        <w:rPr>
          <w:color w:val="000000"/>
          <w:spacing w:val="0"/>
          <w:w w:val="100"/>
          <w:position w:val="0"/>
          <w:sz w:val="24"/>
          <w:szCs w:val="24"/>
        </w:rPr>
        <w:t>、主营业务分析</w:t>
      </w:r>
      <w:bookmarkEnd w:id="116"/>
      <w:bookmarkEnd w:id="117"/>
      <w:bookmarkEnd w:id="119"/>
    </w:p>
    <w:p>
      <w:pPr>
        <w:pStyle w:val="Style33"/>
        <w:keepNext/>
        <w:keepLines/>
        <w:widowControl w:val="0"/>
        <w:shd w:val="clear" w:color="auto" w:fill="auto"/>
        <w:tabs>
          <w:tab w:pos="368"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w:t>
        <w:tab/>
        <w:t>概述</w:t>
      </w:r>
      <w:bookmarkEnd w:id="120"/>
      <w:bookmarkEnd w:id="121"/>
      <w:bookmarkEnd w:id="123"/>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w:t>
        <w:tab/>
        <w:t>收入与成本</w:t>
      </w:r>
      <w:bookmarkEnd w:id="124"/>
      <w:bookmarkEnd w:id="125"/>
      <w:bookmarkEnd w:id="127"/>
    </w:p>
    <w:p>
      <w:pPr>
        <w:pStyle w:val="Style44"/>
        <w:keepNext/>
        <w:keepLines/>
        <w:widowControl w:val="0"/>
        <w:numPr>
          <w:ilvl w:val="0"/>
          <w:numId w:val="1"/>
        </w:numPr>
        <w:shd w:val="clear" w:color="auto" w:fill="auto"/>
        <w:bidi w:val="0"/>
        <w:spacing w:before="0" w:after="340" w:line="240" w:lineRule="auto"/>
        <w:ind w:left="0" w:right="0" w:firstLine="140"/>
        <w:jc w:val="left"/>
      </w:pPr>
      <w:bookmarkStart w:id="128" w:name="bookmark128"/>
      <w:bookmarkStart w:id="129" w:name="bookmark129"/>
      <w:bookmarkStart w:id="130" w:name="bookmark130"/>
      <w:bookmarkStart w:id="131" w:name="bookmark131"/>
      <w:bookmarkEnd w:id="130"/>
      <w:r>
        <w:rPr>
          <w:color w:val="000000"/>
          <w:spacing w:val="0"/>
          <w:w w:val="100"/>
          <w:position w:val="0"/>
        </w:rPr>
        <w:t>营业收入构成</w:t>
      </w:r>
      <w:bookmarkEnd w:id="128"/>
      <w:bookmarkEnd w:id="129"/>
      <w:bookmarkEnd w:id="1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702,592,311.90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623,602,054.84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12.67%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702,147,251.91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623,602,054.84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软件园租赁行业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445,059.99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433,785,305.49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395,422,247.93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软件产品及服务收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268,361,946.42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228,179,806.91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软件园租赁收入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445,059.99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100,061,298.55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97,001,186.71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189,210,989.65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189,174,161.27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284,337,236.18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208,072,502.74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86,857,175.56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80,743,940.26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42,125,611.96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48,610,263.86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w:t>
            </w:r>
          </w:p>
        </w:tc>
      </w:tr>
    </w:tbl>
    <w:p>
      <w:pPr>
        <w:widowControl w:val="0"/>
        <w:spacing w:after="339" w:line="1" w:lineRule="exact"/>
      </w:pPr>
    </w:p>
    <w:p>
      <w:pPr>
        <w:pStyle w:val="Style44"/>
        <w:keepNext/>
        <w:keepLines/>
        <w:widowControl w:val="0"/>
        <w:numPr>
          <w:ilvl w:val="0"/>
          <w:numId w:val="1"/>
        </w:numPr>
        <w:shd w:val="clear" w:color="auto" w:fill="auto"/>
        <w:bidi w:val="0"/>
        <w:spacing w:before="0" w:after="34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2"/>
      <w:bookmarkEnd w:id="133"/>
      <w:bookmarkEnd w:id="13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702,147,251.91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474,042,600.11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软件园租赁行业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445,059.99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433,785,305.48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380,082,541.65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软件产品及服务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268,361,946.42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93,960,058.46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100,061,298.55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63,718,108.89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189,210,989.65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129,253,421.14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284,337,236.17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182,340,259.96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86,857,175.56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65,262,716.63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42,125,611.96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33,816,004.79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14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6"/>
      <w:bookmarkEnd w:id="137"/>
      <w:bookmarkEnd w:id="13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同比增减</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433,785,305.48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395,422,247.93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216,431,912.75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144,272,585.32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50.02%</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本年由于在建未结算项目增加，造成期末库存增加较多。</w:t>
      </w:r>
    </w:p>
    <w:p>
      <w:pPr>
        <w:pStyle w:val="Style44"/>
        <w:keepNext/>
        <w:keepLines/>
        <w:widowControl w:val="0"/>
        <w:shd w:val="clear" w:color="auto" w:fill="auto"/>
        <w:tabs>
          <w:tab w:pos="488" w:val="left"/>
        </w:tabs>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0"/>
      <w:bookmarkEnd w:id="141"/>
      <w:bookmarkEnd w:id="143"/>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请详见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rPr>
        <w:t>/</w:t>
      </w:r>
      <w:r>
        <w:rPr>
          <w:color w:val="000000"/>
          <w:spacing w:val="0"/>
          <w:w w:val="100"/>
          <w:position w:val="0"/>
        </w:rPr>
        <w:t>十七、重大合同及其履行情况</w:t>
      </w:r>
      <w:r>
        <w:rPr>
          <w:rFonts w:ascii="Times New Roman" w:eastAsia="Times New Roman" w:hAnsi="Times New Roman" w:cs="Times New Roman"/>
          <w:color w:val="000000"/>
          <w:spacing w:val="0"/>
          <w:w w:val="100"/>
          <w:position w:val="0"/>
        </w:rPr>
        <w:t>/4</w:t>
      </w:r>
      <w:r>
        <w:rPr>
          <w:color w:val="000000"/>
          <w:spacing w:val="0"/>
          <w:w w:val="100"/>
          <w:position w:val="0"/>
        </w:rPr>
        <w:t>、其他重大合同</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4"/>
        <w:keepNext/>
        <w:keepLines/>
        <w:widowControl w:val="0"/>
        <w:shd w:val="clear" w:color="auto" w:fill="auto"/>
        <w:tabs>
          <w:tab w:pos="488" w:val="left"/>
        </w:tabs>
        <w:bidi w:val="0"/>
        <w:spacing w:before="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4"/>
      <w:bookmarkEnd w:id="145"/>
      <w:bookmarkEnd w:id="147"/>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产品分类</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380,082,541.65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354,570,754.59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软件产品及服务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93,960,058.46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63,467,607.66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软件园租赁收入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347,911.30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44"/>
        <w:keepNext/>
        <w:keepLines/>
        <w:widowControl w:val="0"/>
        <w:shd w:val="clear" w:color="auto" w:fill="auto"/>
        <w:tabs>
          <w:tab w:pos="488"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8"/>
      <w:bookmarkEnd w:id="149"/>
      <w:bookmarkEnd w:id="15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4"/>
        <w:keepNext/>
        <w:keepLines/>
        <w:widowControl w:val="0"/>
        <w:shd w:val="clear" w:color="auto" w:fill="auto"/>
        <w:tabs>
          <w:tab w:pos="488" w:val="left"/>
        </w:tabs>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2"/>
      <w:bookmarkEnd w:id="153"/>
      <w:bookmarkEnd w:id="15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488" w:val="left"/>
        </w:tabs>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6"/>
      <w:bookmarkEnd w:id="157"/>
      <w:bookmarkEnd w:id="159"/>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184,243,648.23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65,715,295.84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33,216,981.13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24,515,284.63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24,094,339.62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36,701,747.01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184,243,648.23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230,816,179.19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23"/>
        <w:gridCol w:w="31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采购额（元）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bl>
    <w:p>
      <w:pPr>
        <w:widowControl w:val="0"/>
        <w:spacing w:line="1" w:lineRule="exact"/>
      </w:pPr>
      <w:r>
        <w:br w:type="page"/>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80,228,356.19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55,498,600.00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35,400,000.00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18,689,223.00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230,816,179.19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、费用</w:t>
      </w:r>
      <w:bookmarkEnd w:id="160"/>
      <w:bookmarkEnd w:id="161"/>
      <w:bookmarkEnd w:id="1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9"/>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46,012,793.69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46,922,095.29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180,912,113.26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180,929,641.25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5,447,921.17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2,388,015.88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主要是利息支出增加</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4</w:t>
      </w:r>
      <w:bookmarkEnd w:id="166"/>
      <w:r>
        <w:rPr>
          <w:color w:val="000000"/>
          <w:spacing w:val="0"/>
          <w:w w:val="100"/>
          <w:position w:val="0"/>
        </w:rPr>
        <w:t>、研发投入</w:t>
      </w:r>
      <w:bookmarkEnd w:id="164"/>
      <w:bookmarkEnd w:id="165"/>
      <w:bookmarkEnd w:id="167"/>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480" w:line="312" w:lineRule="exact"/>
        <w:ind w:left="0" w:right="0" w:firstLine="440"/>
        <w:jc w:val="both"/>
      </w:pPr>
      <w:r>
        <w:rPr>
          <w:color w:val="000000"/>
          <w:spacing w:val="0"/>
          <w:w w:val="100"/>
          <w:position w:val="0"/>
        </w:rPr>
        <w:t>报告期内研发支出主要用于新一代电子政务应用平台、信息安全风险综合管理系统、质检三电工程企业端软件运维服 务平台、协同管理软件平台和技术研发与创新中心五个项目的研发，研发进展等情况详见募集资金使用报告。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91,879,906.70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93,209,609.55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34,114,110.72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36,446,304.52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after="36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5</w:t>
      </w:r>
      <w:bookmarkEnd w:id="170"/>
      <w:r>
        <w:rPr>
          <w:color w:val="000000"/>
          <w:spacing w:val="0"/>
          <w:w w:val="100"/>
          <w:position w:val="0"/>
        </w:rPr>
        <w:t>、现金流</w:t>
      </w:r>
      <w:bookmarkEnd w:id="168"/>
      <w:bookmarkEnd w:id="169"/>
      <w:bookmarkEnd w:id="1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824,250,364.47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806,716,971.90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767,075,455.51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788,714,808.97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57,174,908.96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18,002,162.93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1,827,905,974.82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2,618,698,736.12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1,809,214,359.48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2,641,321,212.04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18,691,615.34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-22,622,475.92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249,073,113.93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92,033,109.86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52,926,886.07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45,466,890.14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134,573,475.90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45,703,433.30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194.45%</w:t>
            </w:r>
          </w:p>
        </w:tc>
      </w:tr>
    </w:tbl>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7" w:lineRule="exact"/>
        <w:ind w:left="0" w:right="0" w:firstLine="0"/>
        <w:jc w:val="left"/>
      </w:pPr>
      <w:bookmarkStart w:id="172" w:name="bookmark172"/>
      <w:r>
        <w:rPr>
          <w:rFonts w:ascii="Times New Roman" w:eastAsia="Times New Roman" w:hAnsi="Times New Roman" w:cs="Times New Roman"/>
          <w:color w:val="000000"/>
          <w:spacing w:val="0"/>
          <w:w w:val="100"/>
          <w:position w:val="0"/>
        </w:rPr>
        <w:t>1</w:t>
      </w:r>
      <w:bookmarkEnd w:id="172"/>
      <w:r>
        <w:rPr>
          <w:color w:val="000000"/>
          <w:spacing w:val="0"/>
          <w:w w:val="100"/>
          <w:position w:val="0"/>
        </w:rPr>
        <w:t>、</w:t>
        <w:tab/>
        <w:t>经营活动产生的现金流量净额较上年同期增加</w:t>
      </w:r>
      <w:r>
        <w:rPr>
          <w:rFonts w:ascii="Times New Roman" w:eastAsia="Times New Roman" w:hAnsi="Times New Roman" w:cs="Times New Roman"/>
          <w:color w:val="000000"/>
          <w:spacing w:val="0"/>
          <w:w w:val="100"/>
          <w:position w:val="0"/>
        </w:rPr>
        <w:t>217.6%</w:t>
      </w:r>
      <w:r>
        <w:rPr>
          <w:color w:val="000000"/>
          <w:spacing w:val="0"/>
          <w:w w:val="100"/>
          <w:position w:val="0"/>
        </w:rPr>
        <w:t>,主要是报告期销售商品、提供劳务收到的现金增加及支付的其他 与经营活动有关的现金减少所致。</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173" w:name="bookmark173"/>
      <w:r>
        <w:rPr>
          <w:rFonts w:ascii="Times New Roman" w:eastAsia="Times New Roman" w:hAnsi="Times New Roman" w:cs="Times New Roman"/>
          <w:color w:val="000000"/>
          <w:spacing w:val="0"/>
          <w:w w:val="100"/>
          <w:position w:val="0"/>
        </w:rPr>
        <w:t>2</w:t>
      </w:r>
      <w:bookmarkEnd w:id="173"/>
      <w:r>
        <w:rPr>
          <w:color w:val="000000"/>
          <w:spacing w:val="0"/>
          <w:w w:val="100"/>
          <w:position w:val="0"/>
        </w:rPr>
        <w:t>、</w:t>
        <w:tab/>
        <w:t>投资活动现金流入小计较上年同期减少</w:t>
      </w:r>
      <w:r>
        <w:rPr>
          <w:rFonts w:ascii="Times New Roman" w:eastAsia="Times New Roman" w:hAnsi="Times New Roman" w:cs="Times New Roman"/>
          <w:color w:val="000000"/>
          <w:spacing w:val="0"/>
          <w:w w:val="100"/>
          <w:position w:val="0"/>
        </w:rPr>
        <w:t>30.20%</w:t>
      </w:r>
      <w:r>
        <w:rPr>
          <w:color w:val="000000"/>
          <w:spacing w:val="0"/>
          <w:w w:val="100"/>
          <w:position w:val="0"/>
        </w:rPr>
        <w:t>，主要是报告期理财产品到期赎回金额减少所致。</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174" w:name="bookmark174"/>
      <w:r>
        <w:rPr>
          <w:rFonts w:ascii="Times New Roman" w:eastAsia="Times New Roman" w:hAnsi="Times New Roman" w:cs="Times New Roman"/>
          <w:color w:val="000000"/>
          <w:spacing w:val="0"/>
          <w:w w:val="100"/>
          <w:position w:val="0"/>
        </w:rPr>
        <w:t>3</w:t>
      </w:r>
      <w:bookmarkEnd w:id="174"/>
      <w:r>
        <w:rPr>
          <w:color w:val="000000"/>
          <w:spacing w:val="0"/>
          <w:w w:val="100"/>
          <w:position w:val="0"/>
        </w:rPr>
        <w:t>、</w:t>
        <w:tab/>
        <w:t>投资活动现金流出小计较上年同期减少</w:t>
      </w:r>
      <w:r>
        <w:rPr>
          <w:rFonts w:ascii="Times New Roman" w:eastAsia="Times New Roman" w:hAnsi="Times New Roman" w:cs="Times New Roman"/>
          <w:color w:val="000000"/>
          <w:spacing w:val="0"/>
          <w:w w:val="100"/>
          <w:position w:val="0"/>
        </w:rPr>
        <w:t>31.50%</w:t>
      </w:r>
      <w:r>
        <w:rPr>
          <w:color w:val="000000"/>
          <w:spacing w:val="0"/>
          <w:w w:val="100"/>
          <w:position w:val="0"/>
        </w:rPr>
        <w:t>，主要是报告期购买理财产品金额减少及购置长期资产减少所致。</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175" w:name="bookmark175"/>
      <w:r>
        <w:rPr>
          <w:rFonts w:ascii="Times New Roman" w:eastAsia="Times New Roman" w:hAnsi="Times New Roman" w:cs="Times New Roman"/>
          <w:color w:val="000000"/>
          <w:spacing w:val="0"/>
          <w:w w:val="100"/>
          <w:position w:val="0"/>
        </w:rPr>
        <w:t>4</w:t>
      </w:r>
      <w:bookmarkEnd w:id="175"/>
      <w:r>
        <w:rPr>
          <w:color w:val="000000"/>
          <w:spacing w:val="0"/>
          <w:w w:val="100"/>
          <w:position w:val="0"/>
        </w:rPr>
        <w:t>、</w:t>
        <w:tab/>
        <w:t>投资活动产生的现金流量净额较上年同期增加</w:t>
      </w:r>
      <w:r>
        <w:rPr>
          <w:rFonts w:ascii="Times New Roman" w:eastAsia="Times New Roman" w:hAnsi="Times New Roman" w:cs="Times New Roman"/>
          <w:color w:val="000000"/>
          <w:spacing w:val="0"/>
          <w:w w:val="100"/>
          <w:position w:val="0"/>
        </w:rPr>
        <w:t>182.62%</w:t>
      </w:r>
      <w:r>
        <w:rPr>
          <w:color w:val="000000"/>
          <w:spacing w:val="0"/>
          <w:w w:val="100"/>
          <w:position w:val="0"/>
        </w:rPr>
        <w:t>，主要是报告期理财产品净额减少所致。</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176" w:name="bookmark176"/>
      <w:r>
        <w:rPr>
          <w:rFonts w:ascii="Times New Roman" w:eastAsia="Times New Roman" w:hAnsi="Times New Roman" w:cs="Times New Roman"/>
          <w:color w:val="000000"/>
          <w:spacing w:val="0"/>
          <w:w w:val="100"/>
          <w:position w:val="0"/>
        </w:rPr>
        <w:t>5</w:t>
      </w:r>
      <w:bookmarkEnd w:id="176"/>
      <w:r>
        <w:rPr>
          <w:color w:val="000000"/>
          <w:spacing w:val="0"/>
          <w:w w:val="100"/>
          <w:position w:val="0"/>
        </w:rPr>
        <w:t>、</w:t>
        <w:tab/>
        <w:t>筹资活动现金流入小计较上年同期增加</w:t>
      </w:r>
      <w:r>
        <w:rPr>
          <w:rFonts w:ascii="Times New Roman" w:eastAsia="Times New Roman" w:hAnsi="Times New Roman" w:cs="Times New Roman"/>
          <w:color w:val="000000"/>
          <w:spacing w:val="0"/>
          <w:w w:val="100"/>
          <w:position w:val="0"/>
        </w:rPr>
        <w:t>119.64%</w:t>
      </w:r>
      <w:r>
        <w:rPr>
          <w:color w:val="000000"/>
          <w:spacing w:val="0"/>
          <w:w w:val="100"/>
          <w:position w:val="0"/>
        </w:rPr>
        <w:t>，主要是报告期借款增加所致。</w:t>
      </w:r>
    </w:p>
    <w:p>
      <w:pPr>
        <w:pStyle w:val="Style30"/>
        <w:keepNext w:val="0"/>
        <w:keepLines w:val="0"/>
        <w:widowControl w:val="0"/>
        <w:shd w:val="clear" w:color="auto" w:fill="auto"/>
        <w:tabs>
          <w:tab w:pos="354" w:val="left"/>
        </w:tabs>
        <w:bidi w:val="0"/>
        <w:spacing w:before="0" w:after="840" w:line="317" w:lineRule="exact"/>
        <w:ind w:left="0" w:right="0" w:firstLine="0"/>
        <w:jc w:val="left"/>
      </w:pPr>
      <w:bookmarkStart w:id="177" w:name="bookmark177"/>
      <w:r>
        <w:rPr>
          <w:rFonts w:ascii="Times New Roman" w:eastAsia="Times New Roman" w:hAnsi="Times New Roman" w:cs="Times New Roman"/>
          <w:color w:val="000000"/>
          <w:spacing w:val="0"/>
          <w:w w:val="100"/>
          <w:position w:val="0"/>
        </w:rPr>
        <w:t>6</w:t>
      </w:r>
      <w:bookmarkEnd w:id="177"/>
      <w:r>
        <w:rPr>
          <w:color w:val="000000"/>
          <w:spacing w:val="0"/>
          <w:w w:val="100"/>
          <w:position w:val="0"/>
        </w:rPr>
        <w:t>、</w:t>
        <w:tab/>
        <w:t>筹资活动现金流出小计较上年同期增加</w:t>
      </w:r>
      <w:r>
        <w:rPr>
          <w:rFonts w:ascii="Times New Roman" w:eastAsia="Times New Roman" w:hAnsi="Times New Roman" w:cs="Times New Roman"/>
          <w:color w:val="000000"/>
          <w:spacing w:val="0"/>
          <w:w w:val="100"/>
          <w:position w:val="0"/>
        </w:rPr>
        <w:t>170.63%</w:t>
      </w:r>
      <w:r>
        <w:rPr>
          <w:color w:val="000000"/>
          <w:spacing w:val="0"/>
          <w:w w:val="100"/>
          <w:position w:val="0"/>
        </w:rPr>
        <w:t>，主要是报告期偿还借款增加所致。</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0"/>
        <w:jc w:val="both"/>
        <w:rPr>
          <w:sz w:val="20"/>
          <w:szCs w:val="20"/>
        </w:rPr>
      </w:pPr>
      <w:r>
        <w:rPr>
          <w:rFonts w:ascii="SimSun" w:eastAsia="SimSun" w:hAnsi="SimSun" w:cs="SimSun"/>
          <w:color w:val="000000"/>
          <w:spacing w:val="0"/>
          <w:w w:val="100"/>
          <w:position w:val="0"/>
          <w:sz w:val="18"/>
          <w:szCs w:val="18"/>
        </w:rPr>
        <w:t>主要是由于报告期</w:t>
      </w:r>
      <w:r>
        <w:rPr>
          <w:rFonts w:ascii="SimSun" w:eastAsia="SimSun" w:hAnsi="SimSun" w:cs="SimSun"/>
          <w:color w:val="000000"/>
          <w:spacing w:val="0"/>
          <w:w w:val="100"/>
          <w:position w:val="0"/>
          <w:sz w:val="20"/>
          <w:szCs w:val="20"/>
        </w:rPr>
        <w:t>经营性应付项目增加及无形资产摊销增加等</w:t>
      </w:r>
    </w:p>
    <w:p>
      <w:pPr>
        <w:pStyle w:val="Style26"/>
        <w:keepNext/>
        <w:keepLines/>
        <w:widowControl w:val="0"/>
        <w:shd w:val="clear" w:color="auto" w:fill="auto"/>
        <w:bidi w:val="0"/>
        <w:spacing w:before="0" w:after="360" w:line="240" w:lineRule="auto"/>
        <w:ind w:left="0" w:right="0" w:firstLine="0"/>
        <w:jc w:val="both"/>
      </w:pPr>
      <w:bookmarkStart w:id="178" w:name="bookmark178"/>
      <w:bookmarkStart w:id="179" w:name="bookmark179"/>
      <w:bookmarkStart w:id="180" w:name="bookmark180"/>
      <w:bookmarkStart w:id="181" w:name="bookmark181"/>
      <w:r>
        <w:rPr>
          <w:color w:val="000000"/>
          <w:spacing w:val="0"/>
          <w:w w:val="100"/>
          <w:position w:val="0"/>
          <w:sz w:val="24"/>
          <w:szCs w:val="24"/>
        </w:rPr>
        <w:t>三</w:t>
      </w:r>
      <w:bookmarkEnd w:id="180"/>
      <w:r>
        <w:rPr>
          <w:color w:val="000000"/>
          <w:spacing w:val="0"/>
          <w:w w:val="100"/>
          <w:position w:val="0"/>
          <w:sz w:val="24"/>
          <w:szCs w:val="24"/>
        </w:rPr>
        <w:t>、非主营业务分析</w:t>
      </w:r>
      <w:bookmarkEnd w:id="178"/>
      <w:bookmarkEnd w:id="179"/>
      <w:bookmarkEnd w:id="181"/>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925"/>
        <w:gridCol w:w="1622"/>
        <w:gridCol w:w="2251"/>
        <w:gridCol w:w="22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是否具有可持续性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26,341,941.71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理财收益，对联营企业的投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部分不可持续</w:t>
            </w:r>
          </w:p>
        </w:tc>
      </w:tr>
    </w:tbl>
    <w:p>
      <w:pPr>
        <w:widowControl w:val="0"/>
        <w:spacing w:line="1" w:lineRule="exact"/>
      </w:pPr>
      <w:r>
        <w:br w:type="page"/>
      </w:r>
    </w:p>
    <w:tbl>
      <w:tblPr>
        <w:tblOverlap w:val="never"/>
        <w:jc w:val="center"/>
        <w:tblLayout w:type="fixed"/>
      </w:tblPr>
      <w:tblGrid>
        <w:gridCol w:w="1517"/>
        <w:gridCol w:w="1930"/>
        <w:gridCol w:w="1622"/>
        <w:gridCol w:w="2251"/>
        <w:gridCol w:w="22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4,568,320.54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按账龄计提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9,275,646.93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575,985.80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四</w:t>
      </w:r>
      <w:bookmarkEnd w:id="184"/>
      <w:r>
        <w:rPr>
          <w:color w:val="000000"/>
          <w:spacing w:val="0"/>
          <w:w w:val="100"/>
          <w:position w:val="0"/>
          <w:sz w:val="24"/>
          <w:szCs w:val="24"/>
        </w:rPr>
        <w:t>、资产及负债状况分析</w:t>
      </w:r>
      <w:bookmarkEnd w:id="182"/>
      <w:bookmarkEnd w:id="183"/>
      <w:bookmarkEnd w:id="185"/>
    </w:p>
    <w:p>
      <w:pPr>
        <w:pStyle w:val="Style33"/>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、资产构成重大变动情况</w:t>
      </w:r>
      <w:bookmarkEnd w:id="186"/>
      <w:bookmarkEnd w:id="187"/>
      <w:bookmarkEnd w:id="1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552,975,440.2</w:t>
            </w:r>
          </w:p>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448,073,047.98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116,052,904.4</w:t>
            </w:r>
          </w:p>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82,626,850.53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757,809,363.7</w:t>
            </w:r>
          </w:p>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486,756,391.18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主要是报告期开发成本增加所致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15,624,406.21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94,658,748.16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87,198,279.86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35,336,841.64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37,947,027.90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11,037,952.52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3,766,730.33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114,000,000.0</w:t>
            </w:r>
          </w:p>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、以公允价值计量的资产和负债</w:t>
      </w:r>
      <w:bookmarkEnd w:id="190"/>
      <w:bookmarkEnd w:id="191"/>
      <w:bookmarkEnd w:id="193"/>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、截至报告期末的资产权利受限情况</w:t>
      </w:r>
      <w:bookmarkEnd w:id="194"/>
      <w:bookmarkEnd w:id="195"/>
      <w:bookmarkEnd w:id="197"/>
    </w:p>
    <w:p>
      <w:pPr>
        <w:pStyle w:val="Style30"/>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单位：元</w:t>
      </w:r>
    </w:p>
    <w:tbl>
      <w:tblPr>
        <w:tblOverlap w:val="never"/>
        <w:jc w:val="center"/>
        <w:tblLayout w:type="fixed"/>
      </w:tblPr>
      <w:tblGrid>
        <w:gridCol w:w="2990"/>
        <w:gridCol w:w="2842"/>
        <w:gridCol w:w="3264"/>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34,501,508.89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定期存款</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定期存款质押</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29,441,474.80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保函保证金</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2,212,897.07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银行承兑汇票保证金</w:t>
            </w:r>
          </w:p>
        </w:tc>
      </w:tr>
    </w:tbl>
    <w:p>
      <w:pPr>
        <w:widowControl w:val="0"/>
        <w:spacing w:line="1" w:lineRule="exact"/>
      </w:pPr>
    </w:p>
    <w:tbl>
      <w:tblPr>
        <w:tblOverlap w:val="never"/>
        <w:jc w:val="center"/>
        <w:tblLayout w:type="fixed"/>
      </w:tblPr>
      <w:tblGrid>
        <w:gridCol w:w="2990"/>
        <w:gridCol w:w="2842"/>
        <w:gridCol w:w="3264"/>
      </w:tblGrid>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71,165,280.76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五</w:t>
      </w:r>
      <w:bookmarkEnd w:id="200"/>
      <w:r>
        <w:rPr>
          <w:color w:val="000000"/>
          <w:spacing w:val="0"/>
          <w:w w:val="100"/>
          <w:position w:val="0"/>
          <w:sz w:val="24"/>
          <w:szCs w:val="24"/>
        </w:rPr>
        <w:t>、投资状况分析</w:t>
      </w:r>
      <w:bookmarkEnd w:id="198"/>
      <w:bookmarkEnd w:id="199"/>
      <w:bookmarkEnd w:id="201"/>
    </w:p>
    <w:p>
      <w:pPr>
        <w:pStyle w:val="Style33"/>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、总体情况</w:t>
      </w:r>
      <w:bookmarkEnd w:id="202"/>
      <w:bookmarkEnd w:id="203"/>
      <w:bookmarkEnd w:id="205"/>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-55,604,600.00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115.29%</w:t>
            </w:r>
          </w:p>
        </w:tc>
      </w:tr>
    </w:tbl>
    <w:p>
      <w:pPr>
        <w:widowControl w:val="0"/>
        <w:spacing w:after="33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报告期内获取的重大的股权投资情况</w:t>
      </w:r>
      <w:bookmarkEnd w:id="206"/>
      <w:bookmarkEnd w:id="207"/>
      <w:bookmarkEnd w:id="209"/>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3</w:t>
      </w:r>
      <w:bookmarkEnd w:id="212"/>
      <w:r>
        <w:rPr>
          <w:color w:val="000000"/>
          <w:spacing w:val="0"/>
          <w:w w:val="100"/>
          <w:position w:val="0"/>
        </w:rPr>
        <w:t>、</w:t>
        <w:tab/>
        <w:t>报告期内正在进行的重大的非股权投资情况</w:t>
      </w:r>
      <w:bookmarkEnd w:id="210"/>
      <w:bookmarkEnd w:id="211"/>
      <w:bookmarkEnd w:id="213"/>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4</w:t>
      </w:r>
      <w:bookmarkEnd w:id="216"/>
      <w:r>
        <w:rPr>
          <w:color w:val="000000"/>
          <w:spacing w:val="0"/>
          <w:w w:val="100"/>
          <w:position w:val="0"/>
        </w:rPr>
        <w:t>、</w:t>
        <w:tab/>
        <w:t>以公允价值计量的金融资产</w:t>
      </w:r>
      <w:bookmarkEnd w:id="214"/>
      <w:bookmarkEnd w:id="215"/>
      <w:bookmarkEnd w:id="217"/>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5</w:t>
      </w:r>
      <w:bookmarkEnd w:id="220"/>
      <w:r>
        <w:rPr>
          <w:color w:val="000000"/>
          <w:spacing w:val="0"/>
          <w:w w:val="100"/>
          <w:position w:val="0"/>
        </w:rPr>
        <w:t>、</w:t>
        <w:tab/>
        <w:t>募集资金使用情况</w:t>
      </w:r>
      <w:bookmarkEnd w:id="218"/>
      <w:bookmarkEnd w:id="219"/>
      <w:bookmarkEnd w:id="221"/>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keepLines/>
        <w:widowControl w:val="0"/>
        <w:shd w:val="clear" w:color="auto" w:fill="auto"/>
        <w:bidi w:val="0"/>
        <w:spacing w:before="0" w:after="34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2"/>
      <w:bookmarkEnd w:id="223"/>
      <w:bookmarkEnd w:id="225"/>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累计变更 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pPr>
            <w:r>
              <w:rPr>
                <w:rFonts w:ascii="SimSun" w:eastAsia="SimSun" w:hAnsi="SimSun" w:cs="SimSun"/>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向社会公 开发行股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90,566.32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55,680.03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购买银行 理财产品</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发行短期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95,566.32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60,680.03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46,225.06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374" w:hRule="exact"/>
        </w:trPr>
        <w:tc>
          <w:tcPr>
            <w:gridSpan w:val="11"/>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本公司实际募集资金净额</w:t>
            </w:r>
            <w:r>
              <w:rPr>
                <w:color w:val="000000"/>
                <w:spacing w:val="0"/>
                <w:w w:val="100"/>
                <w:position w:val="0"/>
              </w:rPr>
              <w:t>90,566.32</w:t>
            </w:r>
            <w:r>
              <w:rPr>
                <w:rFonts w:ascii="SimSun" w:eastAsia="SimSun" w:hAnsi="SimSun" w:cs="SimSun"/>
                <w:color w:val="000000"/>
                <w:spacing w:val="0"/>
                <w:w w:val="100"/>
                <w:position w:val="0"/>
              </w:rPr>
              <w:t>万元，</w:t>
            </w:r>
            <w:r>
              <w:rPr>
                <w:color w:val="000000"/>
                <w:spacing w:val="0"/>
                <w:w w:val="100"/>
                <w:position w:val="0"/>
              </w:rPr>
              <w:t>2010</w:t>
            </w:r>
            <w:r>
              <w:rPr>
                <w:rFonts w:ascii="SimSun" w:eastAsia="SimSun" w:hAnsi="SimSun" w:cs="SimSun"/>
                <w:color w:val="000000"/>
                <w:spacing w:val="0"/>
                <w:w w:val="100"/>
                <w:position w:val="0"/>
              </w:rPr>
              <w:t>年度使用募集资金总额为</w:t>
            </w:r>
            <w:r>
              <w:rPr>
                <w:color w:val="000000"/>
                <w:spacing w:val="0"/>
                <w:w w:val="100"/>
                <w:position w:val="0"/>
              </w:rPr>
              <w:t>3,885.65</w:t>
            </w:r>
            <w:r>
              <w:rPr>
                <w:rFonts w:ascii="SimSun" w:eastAsia="SimSun" w:hAnsi="SimSun" w:cs="SimSun"/>
                <w:color w:val="000000"/>
                <w:spacing w:val="0"/>
                <w:w w:val="100"/>
                <w:position w:val="0"/>
              </w:rPr>
              <w:t>万元，</w:t>
            </w:r>
            <w:r>
              <w:rPr>
                <w:color w:val="000000"/>
                <w:spacing w:val="0"/>
                <w:w w:val="100"/>
                <w:position w:val="0"/>
              </w:rPr>
              <w:t>2011</w:t>
            </w:r>
            <w:r>
              <w:rPr>
                <w:rFonts w:ascii="SimSun" w:eastAsia="SimSun" w:hAnsi="SimSun" w:cs="SimSun"/>
                <w:color w:val="000000"/>
                <w:spacing w:val="0"/>
                <w:w w:val="100"/>
                <w:position w:val="0"/>
              </w:rPr>
              <w:t>年度使用募集资金总额为</w:t>
            </w:r>
          </w:p>
        </w:tc>
      </w:tr>
    </w:tbl>
    <w:p>
      <w:pPr>
        <w:spacing w:lineRule="exact" w:line="1"/>
        <w:rPr>
          <w:sz w:val="2"/>
          <w:szCs w:val="2"/>
        </w:rPr>
      </w:pPr>
      <w:r>
        <w:br w:type="page"/>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2" w:lineRule="exact"/>
        <w:ind w:left="0" w:right="0" w:firstLine="0"/>
        <w:jc w:val="both"/>
      </w:pPr>
      <w:r>
        <w:rPr>
          <w:rFonts w:ascii="Times New Roman" w:eastAsia="Times New Roman" w:hAnsi="Times New Roman" w:cs="Times New Roman"/>
          <w:color w:val="000000"/>
          <w:spacing w:val="0"/>
          <w:w w:val="100"/>
          <w:position w:val="0"/>
        </w:rPr>
        <w:t>9,734.67</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rPr>
        <w:t>15,939.63</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rPr>
        <w:t>7,976.94</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年度使 用募集资金总额为</w:t>
      </w:r>
      <w:r>
        <w:rPr>
          <w:rFonts w:ascii="Times New Roman" w:eastAsia="Times New Roman" w:hAnsi="Times New Roman" w:cs="Times New Roman"/>
          <w:color w:val="000000"/>
          <w:spacing w:val="0"/>
          <w:w w:val="100"/>
          <w:position w:val="0"/>
        </w:rPr>
        <w:t>9,698.53</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rPr>
        <w:t>6,958.79</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年度募集 资金投入</w:t>
      </w:r>
      <w:r>
        <w:rPr>
          <w:rFonts w:ascii="Times New Roman" w:eastAsia="Times New Roman" w:hAnsi="Times New Roman" w:cs="Times New Roman"/>
          <w:color w:val="000000"/>
          <w:spacing w:val="0"/>
          <w:w w:val="100"/>
          <w:position w:val="0"/>
        </w:rPr>
        <w:t>1,485.82</w:t>
      </w:r>
      <w:r>
        <w:rPr>
          <w:color w:val="000000"/>
          <w:spacing w:val="0"/>
          <w:w w:val="100"/>
          <w:position w:val="0"/>
        </w:rPr>
        <w:t>万元，募集资金累计投入</w:t>
      </w:r>
      <w:r>
        <w:rPr>
          <w:rFonts w:ascii="Times New Roman" w:eastAsia="Times New Roman" w:hAnsi="Times New Roman" w:cs="Times New Roman"/>
          <w:color w:val="000000"/>
          <w:spacing w:val="0"/>
          <w:w w:val="100"/>
          <w:position w:val="0"/>
        </w:rPr>
        <w:t>55,680.03</w:t>
      </w:r>
      <w:r>
        <w:rPr>
          <w:color w:val="000000"/>
          <w:spacing w:val="0"/>
          <w:w w:val="100"/>
          <w:position w:val="0"/>
        </w:rPr>
        <w:t>万元，尚未使用的金额为</w:t>
      </w:r>
      <w:r>
        <w:rPr>
          <w:rFonts w:ascii="Times New Roman" w:eastAsia="Times New Roman" w:hAnsi="Times New Roman" w:cs="Times New Roman"/>
          <w:color w:val="000000"/>
          <w:spacing w:val="0"/>
          <w:w w:val="100"/>
          <w:position w:val="0"/>
        </w:rPr>
        <w:t>45,751.51</w:t>
      </w:r>
      <w:r>
        <w:rPr>
          <w:color w:val="000000"/>
          <w:spacing w:val="0"/>
          <w:w w:val="100"/>
          <w:position w:val="0"/>
        </w:rPr>
        <w:t>万元(其中包含利息及理财收益 净收入</w:t>
      </w:r>
      <w:r>
        <w:rPr>
          <w:rFonts w:ascii="Times New Roman" w:eastAsia="Times New Roman" w:hAnsi="Times New Roman" w:cs="Times New Roman"/>
          <w:color w:val="000000"/>
          <w:spacing w:val="0"/>
          <w:w w:val="100"/>
          <w:position w:val="0"/>
        </w:rPr>
        <w:t>10,865.22</w:t>
      </w:r>
      <w:r>
        <w:rPr>
          <w:color w:val="000000"/>
          <w:spacing w:val="0"/>
          <w:w w:val="100"/>
          <w:position w:val="0"/>
        </w:rPr>
        <w:t>万元)。</w:t>
      </w:r>
    </w:p>
    <w:p>
      <w:pPr>
        <w:pStyle w:val="Style44"/>
        <w:keepNext/>
        <w:keepLines/>
        <w:widowControl w:val="0"/>
        <w:numPr>
          <w:ilvl w:val="0"/>
          <w:numId w:val="3"/>
        </w:numPr>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bookmarkEnd w:id="228"/>
      <w:r>
        <w:rPr>
          <w:color w:val="000000"/>
          <w:spacing w:val="0"/>
          <w:w w:val="100"/>
          <w:position w:val="0"/>
        </w:rPr>
        <w:t>募集资金承诺项目情况</w:t>
      </w:r>
      <w:bookmarkEnd w:id="226"/>
      <w:bookmarkEnd w:id="227"/>
      <w:bookmarkEnd w:id="22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 xml:space="preserve">是否已变 更项目 </w:t>
            </w:r>
            <w:r>
              <w:rPr>
                <w:color w:val="000000"/>
                <w:spacing w:val="0"/>
                <w:w w:val="100"/>
                <w:position w:val="0"/>
              </w:rPr>
              <w:t>(</w:t>
            </w:r>
            <w:r>
              <w:rPr>
                <w:rFonts w:ascii="SimSun" w:eastAsia="SimSun" w:hAnsi="SimSun" w:cs="SimSun"/>
                <w:color w:val="000000"/>
                <w:spacing w:val="0"/>
                <w:w w:val="100"/>
                <w:position w:val="0"/>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pPr>
            <w:r>
              <w:rPr>
                <w:rFonts w:ascii="SimSun" w:eastAsia="SimSun" w:hAnsi="SimSun" w:cs="SimSun"/>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240"/>
              <w:jc w:val="both"/>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both"/>
            </w:pPr>
            <w:r>
              <w:rPr>
                <w:rFonts w:ascii="SimSun" w:eastAsia="SimSun" w:hAnsi="SimSun" w:cs="SimSun"/>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color w:val="000000"/>
                <w:spacing w:val="0"/>
                <w:w w:val="100"/>
                <w:position w:val="0"/>
              </w:rPr>
              <w:t>(3)</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300"/>
              <w:jc w:val="left"/>
            </w:pPr>
            <w:r>
              <w:rPr>
                <w:rFonts w:ascii="SimSun" w:eastAsia="SimSun" w:hAnsi="SimSun" w:cs="SimSun"/>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本报告期 实现的效</w:t>
            </w:r>
          </w:p>
          <w:p>
            <w:pPr>
              <w:pStyle w:val="Style2"/>
              <w:keepNext w:val="0"/>
              <w:keepLines w:val="0"/>
              <w:widowControl w:val="0"/>
              <w:shd w:val="clear" w:color="auto" w:fill="auto"/>
              <w:bidi w:val="0"/>
              <w:spacing w:before="0" w:after="0" w:line="312" w:lineRule="exact"/>
              <w:ind w:left="0" w:right="0" w:firstLine="300"/>
              <w:jc w:val="left"/>
            </w:pPr>
            <w:r>
              <w:rPr>
                <w:rFonts w:ascii="SimSun" w:eastAsia="SimSun" w:hAnsi="SimSun" w:cs="SimSun"/>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项目可行 性是否发 生重大变</w:t>
            </w:r>
          </w:p>
          <w:p>
            <w:pPr>
              <w:pStyle w:val="Style2"/>
              <w:keepNext w:val="0"/>
              <w:keepLines w:val="0"/>
              <w:widowControl w:val="0"/>
              <w:shd w:val="clear" w:color="auto" w:fill="auto"/>
              <w:bidi w:val="0"/>
              <w:spacing w:before="0" w:after="0" w:line="312" w:lineRule="exact"/>
              <w:ind w:left="0" w:right="0" w:firstLine="300"/>
              <w:jc w:val="both"/>
            </w:pPr>
            <w:r>
              <w:rPr>
                <w:rFonts w:ascii="SimSun" w:eastAsia="SimSun" w:hAnsi="SimSun" w:cs="SimSun"/>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、新一代电子政务应 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、信息安全风险综合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7,799.08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、质检三电工程企业 端软件运维服务平台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、协同管理软件平台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、技术研发与创新中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29,998.41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4,195.07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支付贷款利息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25,681.62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81,654.08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81,654.08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55,680.03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4,195.07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受到全球经济的影响，一方面由于周边市场环境发生变化，研发环境建设投入放缓；另一方面为了 应对市场需求发生变化和技术发展需要，为了满足客户需求，公司继续加大研发投入促进产品升级 换代，适当延长研发期间；同时募集资金投资项目尚未整体达产，其规模效应还未充分发挥，虽然 销售出现了一定程度增长，却未完全达到预期。基于上述原因，</w:t>
            </w:r>
            <w:r>
              <w:rPr>
                <w:color w:val="000000"/>
                <w:spacing w:val="0"/>
                <w:w w:val="100"/>
                <w:position w:val="0"/>
              </w:rPr>
              <w:t>2016</w:t>
            </w:r>
            <w:r>
              <w:rPr>
                <w:rFonts w:ascii="SimSun" w:eastAsia="SimSun" w:hAnsi="SimSun" w:cs="SimSun"/>
                <w:color w:val="000000"/>
                <w:spacing w:val="0"/>
                <w:w w:val="100"/>
                <w:position w:val="0"/>
              </w:rPr>
              <w:t>年度募集资金投资项目形成的</w:t>
            </w:r>
          </w:p>
        </w:tc>
      </w:tr>
    </w:tbl>
    <w:p>
      <w:pPr>
        <w:widowControl w:val="0"/>
        <w:spacing w:line="1" w:lineRule="exact"/>
      </w:pPr>
      <w:r>
        <w:br w:type="page"/>
      </w:r>
    </w:p>
    <w:tbl>
      <w:tblPr>
        <w:tblOverlap w:val="never"/>
        <w:jc w:val="center"/>
        <w:tblLayout w:type="fixed"/>
      </w:tblPr>
      <w:tblGrid>
        <w:gridCol w:w="1771"/>
        <w:gridCol w:w="78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现有效益未能完全达到招股说明书承诺的项目整体完成后的预期收益。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年，全资子公司河南榕基信息技术有限公司以超募资金支付土地款</w:t>
            </w:r>
            <w:r>
              <w:rPr>
                <w:color w:val="000000"/>
                <w:spacing w:val="0"/>
                <w:w w:val="100"/>
                <w:position w:val="0"/>
              </w:rPr>
              <w:t>700</w:t>
            </w:r>
            <w:r>
              <w:rPr>
                <w:rFonts w:ascii="SimSun" w:eastAsia="SimSun" w:hAnsi="SimSun" w:cs="SimSun"/>
                <w:color w:val="000000"/>
                <w:spacing w:val="0"/>
                <w:w w:val="100"/>
                <w:position w:val="0"/>
              </w:rPr>
              <w:t>万元，全资子公司北京 中榕基信息技术有限公司以超募资金支付榕基</w:t>
            </w:r>
            <w:r>
              <w:rPr>
                <w:color w:val="000000"/>
                <w:spacing w:val="0"/>
                <w:w w:val="100"/>
                <w:position w:val="0"/>
              </w:rPr>
              <w:t>“</w:t>
            </w:r>
            <w:r>
              <w:rPr>
                <w:rFonts w:ascii="SimSun" w:eastAsia="SimSun" w:hAnsi="SimSun" w:cs="SimSun"/>
                <w:color w:val="000000"/>
                <w:spacing w:val="0"/>
                <w:w w:val="100"/>
                <w:position w:val="0"/>
              </w:rPr>
              <w:t>易贸</w:t>
            </w:r>
            <w:r>
              <w:rPr>
                <w:color w:val="000000"/>
                <w:spacing w:val="0"/>
                <w:w w:val="100"/>
                <w:position w:val="0"/>
              </w:rPr>
              <w:t>”</w:t>
            </w:r>
            <w:r>
              <w:rPr>
                <w:rFonts w:ascii="SimSun" w:eastAsia="SimSun" w:hAnsi="SimSun" w:cs="SimSun"/>
                <w:color w:val="000000"/>
                <w:spacing w:val="0"/>
                <w:w w:val="100"/>
                <w:position w:val="0"/>
              </w:rPr>
              <w:t>商务平台开发服务费</w:t>
            </w:r>
            <w:r>
              <w:rPr>
                <w:color w:val="000000"/>
                <w:spacing w:val="0"/>
                <w:w w:val="100"/>
                <w:position w:val="0"/>
              </w:rPr>
              <w:t>443.70</w:t>
            </w:r>
            <w:r>
              <w:rPr>
                <w:rFonts w:ascii="SimSun" w:eastAsia="SimSun" w:hAnsi="SimSun" w:cs="SimSun"/>
                <w:color w:val="000000"/>
                <w:spacing w:val="0"/>
                <w:w w:val="100"/>
                <w:position w:val="0"/>
              </w:rPr>
              <w:t>万元，福建榕基软 件股份有限公司使用超募资金支付贷款利息</w:t>
            </w:r>
            <w:r>
              <w:rPr>
                <w:color w:val="000000"/>
                <w:spacing w:val="0"/>
                <w:w w:val="100"/>
                <w:position w:val="0"/>
              </w:rPr>
              <w:t>33.65</w:t>
            </w:r>
            <w:r>
              <w:rPr>
                <w:rFonts w:ascii="SimSun" w:eastAsia="SimSun" w:hAnsi="SimSun" w:cs="SimSun"/>
                <w:color w:val="000000"/>
                <w:spacing w:val="0"/>
                <w:w w:val="100"/>
                <w:position w:val="0"/>
              </w:rPr>
              <w:t>万元(银行已于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日归还)。</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用途及去向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年，福建榕基软件股份有限公司使用闲置募集资金购买银行理财产品</w:t>
            </w:r>
            <w:r>
              <w:rPr>
                <w:color w:val="000000"/>
                <w:spacing w:val="0"/>
                <w:w w:val="100"/>
                <w:position w:val="0"/>
              </w:rPr>
              <w:t>96,500.00</w:t>
            </w:r>
            <w:r>
              <w:rPr>
                <w:rFonts w:ascii="SimSun" w:eastAsia="SimSun" w:hAnsi="SimSun" w:cs="SimSun"/>
                <w:color w:val="000000"/>
                <w:spacing w:val="0"/>
                <w:w w:val="100"/>
                <w:position w:val="0"/>
              </w:rPr>
              <w:t>万元，全资子 公司北京中榕基信息技术有限公司使用闲置募集资金购买银行理财产品</w:t>
            </w:r>
            <w:r>
              <w:rPr>
                <w:color w:val="000000"/>
                <w:spacing w:val="0"/>
                <w:w w:val="100"/>
                <w:position w:val="0"/>
              </w:rPr>
              <w:t>24,000.00</w:t>
            </w:r>
            <w:r>
              <w:rPr>
                <w:rFonts w:ascii="SimSun" w:eastAsia="SimSun" w:hAnsi="SimSun" w:cs="SimSun"/>
                <w:color w:val="000000"/>
                <w:spacing w:val="0"/>
                <w:w w:val="100"/>
                <w:position w:val="0"/>
              </w:rPr>
              <w:t>万元，全资子公司 河南榕基信息技术有限公司使用闲置募集资金购买银行理财产品</w:t>
            </w:r>
            <w:r>
              <w:rPr>
                <w:color w:val="000000"/>
                <w:spacing w:val="0"/>
                <w:w w:val="100"/>
                <w:position w:val="0"/>
              </w:rPr>
              <w:t>4,250.00</w:t>
            </w:r>
            <w:r>
              <w:rPr>
                <w:rFonts w:ascii="SimSun" w:eastAsia="SimSun" w:hAnsi="SimSun" w:cs="SimSun"/>
                <w:color w:val="000000"/>
                <w:spacing w:val="0"/>
                <w:w w:val="100"/>
                <w:position w:val="0"/>
              </w:rPr>
              <w:t>万元，全资子公司福建榕 易付网络科技有限公司使用闲置募集资金购买银行理财产品</w:t>
            </w:r>
            <w:r>
              <w:rPr>
                <w:color w:val="000000"/>
                <w:spacing w:val="0"/>
                <w:w w:val="100"/>
                <w:position w:val="0"/>
              </w:rPr>
              <w:t>31,500.00</w:t>
            </w:r>
            <w:r>
              <w:rPr>
                <w:rFonts w:ascii="SimSun" w:eastAsia="SimSun" w:hAnsi="SimSun" w:cs="SimSun"/>
                <w:color w:val="000000"/>
                <w:spacing w:val="0"/>
                <w:w w:val="100"/>
                <w:position w:val="0"/>
              </w:rPr>
              <w:t>万元。</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39" w:line="1" w:lineRule="exact"/>
      </w:pPr>
    </w:p>
    <w:p>
      <w:pPr>
        <w:pStyle w:val="Style44"/>
        <w:keepNext/>
        <w:keepLines/>
        <w:widowControl w:val="0"/>
        <w:numPr>
          <w:ilvl w:val="0"/>
          <w:numId w:val="3"/>
        </w:numPr>
        <w:shd w:val="clear" w:color="auto" w:fill="auto"/>
        <w:bidi w:val="0"/>
        <w:spacing w:before="0" w:after="340" w:line="240" w:lineRule="auto"/>
        <w:ind w:left="0" w:right="0" w:firstLine="140"/>
        <w:jc w:val="left"/>
      </w:pPr>
      <w:bookmarkStart w:id="230" w:name="bookmark230"/>
      <w:bookmarkStart w:id="231" w:name="bookmark231"/>
      <w:bookmarkStart w:id="232" w:name="bookmark232"/>
      <w:bookmarkStart w:id="233" w:name="bookmark233"/>
      <w:bookmarkEnd w:id="232"/>
      <w:r>
        <w:rPr>
          <w:color w:val="000000"/>
          <w:spacing w:val="0"/>
          <w:w w:val="100"/>
          <w:position w:val="0"/>
        </w:rPr>
        <w:t>募集资金变更项目情况</w:t>
      </w:r>
      <w:bookmarkEnd w:id="230"/>
      <w:bookmarkEnd w:id="231"/>
      <w:bookmarkEnd w:id="23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六</w:t>
      </w:r>
      <w:bookmarkEnd w:id="236"/>
      <w:r>
        <w:rPr>
          <w:color w:val="000000"/>
          <w:spacing w:val="0"/>
          <w:w w:val="100"/>
          <w:position w:val="0"/>
          <w:sz w:val="24"/>
          <w:szCs w:val="24"/>
        </w:rPr>
        <w:t>、重大资产和股权出售</w:t>
      </w:r>
      <w:bookmarkEnd w:id="234"/>
      <w:bookmarkEnd w:id="235"/>
      <w:bookmarkEnd w:id="237"/>
    </w:p>
    <w:p>
      <w:pPr>
        <w:pStyle w:val="Style33"/>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1</w:t>
      </w:r>
      <w:bookmarkEnd w:id="240"/>
      <w:r>
        <w:rPr>
          <w:color w:val="000000"/>
          <w:spacing w:val="0"/>
          <w:w w:val="100"/>
          <w:position w:val="0"/>
        </w:rPr>
        <w:t>、出售重大资产情况</w:t>
      </w:r>
      <w:bookmarkEnd w:id="238"/>
      <w:bookmarkEnd w:id="239"/>
      <w:bookmarkEnd w:id="24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r>
        <w:br w:type="page"/>
      </w:r>
    </w:p>
    <w:p>
      <w:pPr>
        <w:pStyle w:val="Style33"/>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2</w:t>
      </w:r>
      <w:bookmarkEnd w:id="244"/>
      <w:r>
        <w:rPr>
          <w:color w:val="000000"/>
          <w:spacing w:val="0"/>
          <w:w w:val="100"/>
          <w:position w:val="0"/>
        </w:rPr>
        <w:t>、出售重大股权情况</w:t>
      </w:r>
      <w:bookmarkEnd w:id="242"/>
      <w:bookmarkEnd w:id="243"/>
      <w:bookmarkEnd w:id="24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七</w:t>
      </w:r>
      <w:bookmarkEnd w:id="248"/>
      <w:r>
        <w:rPr>
          <w:color w:val="000000"/>
          <w:spacing w:val="0"/>
          <w:w w:val="100"/>
          <w:position w:val="0"/>
          <w:sz w:val="24"/>
          <w:szCs w:val="24"/>
        </w:rPr>
        <w:t>、主要控股参股公司分析</w:t>
      </w:r>
      <w:bookmarkEnd w:id="246"/>
      <w:bookmarkEnd w:id="247"/>
      <w:bookmarkEnd w:id="249"/>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2"/>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福州创华电 气自动化系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电气自动化 控制系统服 务、计算机 软件销售， 计算机网络 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91,421,600.2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90,111,840.2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15,307,624.0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15,427,906.8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浙江榕基信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技术开发、 技术服务、 技术咨询、 成果转让， 计算机数据 处理、计算 机数据库、 计算机维护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33,358,166.6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9,096,063.00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23,097,199.1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1,897,466.94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2,072,051.45</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上海榕基软 件开发有限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电子计算机 软硬件领域 内的技术开 发，技术转 让，技术咨 询，技术服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106,749,689.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82,141,696.7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2,729,957.32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-5,868,753.9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-5,404,703.0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榕基五一（北 京）信息技术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技术推广， 销售计算 机、软件及 辅助设备、 机械设备、 电子产品、 器件和元 件、仪器仪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115,018,298.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18,690,430.5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117,397,903.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2,307,466.27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2,132,958.38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河南榕基信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信息技术服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208,710,863.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69,590,576.1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5,330,053.38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-13,098,759.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-10,727,040.</w:t>
            </w:r>
          </w:p>
        </w:tc>
      </w:tr>
    </w:tbl>
    <w:p>
      <w:pPr>
        <w:widowControl w:val="0"/>
        <w:spacing w:line="1" w:lineRule="exact"/>
      </w:pPr>
      <w:r>
        <w:br w:type="page"/>
      </w:r>
    </w:p>
    <w:tbl>
      <w:tblPr>
        <w:tblOverlap w:val="never"/>
        <w:jc w:val="center"/>
        <w:tblLayout w:type="fixed"/>
      </w:tblPr>
      <w:tblGrid>
        <w:gridCol w:w="1061"/>
        <w:gridCol w:w="1200"/>
        <w:gridCol w:w="1042"/>
        <w:gridCol w:w="1042"/>
        <w:gridCol w:w="1046"/>
        <w:gridCol w:w="1046"/>
        <w:gridCol w:w="1046"/>
        <w:gridCol w:w="1042"/>
        <w:gridCol w:w="1056"/>
      </w:tblGrid>
      <w:tr>
        <w:trPr>
          <w:trHeight w:val="37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息技术有限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务，软件开 发、销售及 平面设计， 系统集成， 硬件及耗 材、办公设 备租赁、销 售，网络技 术咨询服 务，办公自 动化产品销 售及服务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北京中榕基 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技术开发、 技术服务、 技术推广， 计算机维 修，计算机 系统服务， 销售计算 机、软件及 辅助设备、 机械设备， 技术进出 口、货物进 出口、代理 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106,897,917.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36,446,004.7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298,403.49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-8,717,405.5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-9,051,924.2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56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福建榕基软 件工程有限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计算机网络 软件研发与 设计服务， 计算机硬件 技术服务， 信息系统集 成服务，电 子计算机及 配件的批发 零售，建筑 智能化的设 计与施工服 务，安防工 程的设计与 施工服务， 自营和代理 各类商品和 技术的进出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126,128,371.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78,074,605.6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111,397,782.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3,894,797.38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5,258,429.98</w:t>
            </w:r>
          </w:p>
        </w:tc>
      </w:tr>
    </w:tbl>
    <w:p>
      <w:pPr>
        <w:widowControl w:val="0"/>
        <w:spacing w:line="1" w:lineRule="exact"/>
      </w:pPr>
      <w:r>
        <w:br w:type="page"/>
      </w:r>
    </w:p>
    <w:tbl>
      <w:tblPr>
        <w:tblOverlap w:val="never"/>
        <w:jc w:val="center"/>
        <w:tblLayout w:type="fixed"/>
      </w:tblPr>
      <w:tblGrid>
        <w:gridCol w:w="1061"/>
        <w:gridCol w:w="1200"/>
        <w:gridCol w:w="1042"/>
        <w:gridCol w:w="1042"/>
        <w:gridCol w:w="1046"/>
        <w:gridCol w:w="1046"/>
        <w:gridCol w:w="1046"/>
        <w:gridCol w:w="1042"/>
        <w:gridCol w:w="105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口，国家限 定公司经营 或禁止进出 口的商品和 技术除外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福建榕基投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对信息传 输、计算机 服务和软件 业、制造业、 服务业、教 育业，农业， 工业、交通 运输业的投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52,178,028.3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52,139,028.3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88,804.55</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榕基国际投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对外投资， 国际市场合 作开发，进 出口贸易， 计算机软硬 件销售服务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港币</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91,202,873.6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91,195,628.0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133,142.03</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信阳榕基信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计算机软件 开发、计算 机硬件技术 服务、产品 销售、技术 服务、系统 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207,893,918.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4,517,425.61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-6,397,598.9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-6,417,464.3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福建榕易付 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互联网信息 服务；计算 机软硬件研 发和技术服 务；信息系 统集成服 务；信息技 术咨询服务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107,967,383.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104,607,383.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-378,190.06</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福建星榕基 信息科技有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电子产品的 研发、制造、 销售；计算 机、软件及 辅助设备的 批发、零售; 国内贸易代 理；信息技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84,526,576.3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54,832,712.8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54,859,068.9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4,830,872.37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4,832,311.84</w:t>
            </w:r>
          </w:p>
        </w:tc>
      </w:tr>
    </w:tbl>
    <w:p>
      <w:pPr>
        <w:widowControl w:val="0"/>
        <w:spacing w:line="1" w:lineRule="exact"/>
      </w:pPr>
      <w:r>
        <w:br w:type="page"/>
      </w:r>
    </w:p>
    <w:tbl>
      <w:tblPr>
        <w:tblOverlap w:val="never"/>
        <w:jc w:val="center"/>
        <w:tblLayout w:type="fixed"/>
      </w:tblPr>
      <w:tblGrid>
        <w:gridCol w:w="1061"/>
        <w:gridCol w:w="1200"/>
        <w:gridCol w:w="1042"/>
        <w:gridCol w:w="1042"/>
        <w:gridCol w:w="1046"/>
        <w:gridCol w:w="1046"/>
        <w:gridCol w:w="1046"/>
        <w:gridCol w:w="1042"/>
        <w:gridCol w:w="105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术咨询服 务；对外贸 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福建亿榕信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电力行业协 同办公系 统、电力仪 器仪表、电 能计量设备 和电力信息 化建设咨询 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589,088,688.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145,807,425.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261,099,551.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40,878,166.0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41,774,357.6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福建文鑫莲 业食品有限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莲子种植及 初级农产品 的初加工、 销售和产品 研发；预包 装食品和散 装食品的批 发零售；莲 子剥壳机、 脱模机的生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59,600,000.0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241,168,523.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109,147,003.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134,344,780.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-1,919,199.1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3,148,363.79</w:t>
            </w:r>
          </w:p>
        </w:tc>
      </w:tr>
    </w:tbl>
    <w:p>
      <w:pPr>
        <w:pStyle w:val="Style30"/>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40" w:line="310" w:lineRule="exact"/>
        <w:ind w:left="0" w:right="0" w:firstLine="0"/>
        <w:jc w:val="left"/>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、在子公司的所有者权益份额发生变化且仍控制子公司的交易</w:t>
      </w:r>
    </w:p>
    <w:p>
      <w:pPr>
        <w:pStyle w:val="Style30"/>
        <w:keepNext w:val="0"/>
        <w:keepLines w:val="0"/>
        <w:widowControl w:val="0"/>
        <w:numPr>
          <w:ilvl w:val="0"/>
          <w:numId w:val="5"/>
        </w:numPr>
        <w:shd w:val="clear" w:color="auto" w:fill="auto"/>
        <w:tabs>
          <w:tab w:pos="373" w:val="left"/>
        </w:tabs>
        <w:bidi w:val="0"/>
        <w:spacing w:before="0" w:after="40" w:line="310" w:lineRule="exact"/>
        <w:ind w:left="0" w:right="0" w:firstLine="0"/>
        <w:jc w:val="left"/>
      </w:pPr>
      <w:bookmarkStart w:id="251" w:name="bookmark251"/>
      <w:bookmarkEnd w:id="251"/>
      <w:r>
        <w:rPr>
          <w:color w:val="000000"/>
          <w:spacing w:val="0"/>
          <w:w w:val="100"/>
          <w:position w:val="0"/>
        </w:rPr>
        <w:t>在子公司所有者权益份额发生变化的情况说明：</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本公司原持有福建星榕基公司</w:t>
      </w:r>
      <w:r>
        <w:rPr>
          <w:rFonts w:ascii="Times New Roman" w:eastAsia="Times New Roman" w:hAnsi="Times New Roman" w:cs="Times New Roman"/>
          <w:color w:val="000000"/>
          <w:spacing w:val="0"/>
          <w:w w:val="100"/>
          <w:position w:val="0"/>
        </w:rPr>
        <w:t>71.00%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月子公司榕基投资公司与福建星榕基公司个人股东林卫国签订股权 转让协议，约定向林卫国收购福建星榕基公司</w:t>
      </w:r>
      <w:r>
        <w:rPr>
          <w:rFonts w:ascii="Times New Roman" w:eastAsia="Times New Roman" w:hAnsi="Times New Roman" w:cs="Times New Roman"/>
          <w:color w:val="000000"/>
          <w:spacing w:val="0"/>
          <w:w w:val="100"/>
          <w:position w:val="0"/>
        </w:rPr>
        <w:t>10.00%</w:t>
      </w:r>
      <w:r>
        <w:rPr>
          <w:color w:val="000000"/>
          <w:spacing w:val="0"/>
          <w:w w:val="100"/>
          <w:position w:val="0"/>
        </w:rPr>
        <w:t>股权。截至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日，股权转让协议已履行完毕，支付交易 对价为</w:t>
      </w:r>
      <w:r>
        <w:rPr>
          <w:rFonts w:ascii="Times New Roman" w:eastAsia="Times New Roman" w:hAnsi="Times New Roman" w:cs="Times New Roman"/>
          <w:color w:val="000000"/>
          <w:spacing w:val="0"/>
          <w:w w:val="100"/>
          <w:position w:val="0"/>
        </w:rPr>
        <w:t>5,000,000.00</w:t>
      </w:r>
      <w:r>
        <w:rPr>
          <w:color w:val="000000"/>
          <w:spacing w:val="0"/>
          <w:w w:val="100"/>
          <w:position w:val="0"/>
        </w:rPr>
        <w:t>元，该项交易导致少数股东权益减少</w:t>
      </w:r>
      <w:r>
        <w:rPr>
          <w:rFonts w:ascii="Times New Roman" w:eastAsia="Times New Roman" w:hAnsi="Times New Roman" w:cs="Times New Roman"/>
          <w:color w:val="000000"/>
          <w:spacing w:val="0"/>
          <w:w w:val="100"/>
          <w:position w:val="0"/>
        </w:rPr>
        <w:t>5,483,271.28</w:t>
      </w:r>
      <w:r>
        <w:rPr>
          <w:color w:val="000000"/>
          <w:spacing w:val="0"/>
          <w:w w:val="100"/>
          <w:position w:val="0"/>
        </w:rPr>
        <w:t>元，资本公积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股本溢价增加</w:t>
      </w:r>
      <w:r>
        <w:rPr>
          <w:rFonts w:ascii="Times New Roman" w:eastAsia="Times New Roman" w:hAnsi="Times New Roman" w:cs="Times New Roman"/>
          <w:color w:val="000000"/>
          <w:spacing w:val="0"/>
          <w:w w:val="100"/>
          <w:position w:val="0"/>
        </w:rPr>
        <w:t>483,271.28</w:t>
      </w:r>
      <w:r>
        <w:rPr>
          <w:color w:val="000000"/>
          <w:spacing w:val="0"/>
          <w:w w:val="100"/>
          <w:position w:val="0"/>
        </w:rPr>
        <w:t>元。</w:t>
      </w:r>
    </w:p>
    <w:p>
      <w:pPr>
        <w:pStyle w:val="Style30"/>
        <w:keepNext w:val="0"/>
        <w:keepLines w:val="0"/>
        <w:widowControl w:val="0"/>
        <w:numPr>
          <w:ilvl w:val="0"/>
          <w:numId w:val="5"/>
        </w:numPr>
        <w:shd w:val="clear" w:color="auto" w:fill="auto"/>
        <w:tabs>
          <w:tab w:pos="373" w:val="left"/>
        </w:tabs>
        <w:bidi w:val="0"/>
        <w:spacing w:before="0" w:after="120" w:line="310" w:lineRule="exact"/>
        <w:ind w:left="0" w:right="0" w:firstLine="0"/>
        <w:jc w:val="left"/>
      </w:pPr>
      <w:bookmarkStart w:id="252" w:name="bookmark252"/>
      <w:bookmarkEnd w:id="252"/>
      <w:r>
        <w:rPr>
          <w:color w:val="000000"/>
          <w:spacing w:val="0"/>
          <w:w w:val="100"/>
          <w:position w:val="0"/>
        </w:rPr>
        <w:t>交易对于少数股东权益及归属于母公司所有者权益的影响：</w:t>
      </w:r>
    </w:p>
    <w:p>
      <w:pPr>
        <w:pStyle w:val="Style28"/>
        <w:keepNext w:val="0"/>
        <w:keepLines w:val="0"/>
        <w:widowControl w:val="0"/>
        <w:shd w:val="clear" w:color="auto" w:fill="auto"/>
        <w:bidi w:val="0"/>
        <w:spacing w:before="0" w:after="0" w:line="240" w:lineRule="auto"/>
        <w:ind w:left="8261" w:right="0" w:firstLine="0"/>
        <w:jc w:val="left"/>
      </w:pPr>
      <w:r>
        <w:rPr>
          <w:color w:val="000000"/>
          <w:spacing w:val="0"/>
          <w:w w:val="100"/>
          <w:position w:val="0"/>
        </w:rPr>
        <w:t>单位：元</w:t>
      </w:r>
    </w:p>
    <w:tbl>
      <w:tblPr>
        <w:tblOverlap w:val="never"/>
        <w:jc w:val="center"/>
        <w:tblLayout w:type="fixed"/>
      </w:tblPr>
      <w:tblGrid>
        <w:gridCol w:w="5587"/>
        <w:gridCol w:w="3509"/>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福建星榕基信息科技有限责任公司</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5,000,000.00</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5,000,000.00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减：按取得的股权比例计算的子公司净资产份额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5,483,271.28</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color w:val="000000"/>
                <w:spacing w:val="0"/>
                <w:w w:val="100"/>
                <w:position w:val="0"/>
              </w:rPr>
              <w:t>483,271.28</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60" w:right="0" w:firstLine="0"/>
              <w:jc w:val="left"/>
            </w:pPr>
            <w:r>
              <w:rPr>
                <w:color w:val="000000"/>
                <w:spacing w:val="0"/>
                <w:w w:val="100"/>
                <w:position w:val="0"/>
              </w:rPr>
              <w:t>483,271.28</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00" w:line="240" w:lineRule="auto"/>
        <w:ind w:left="0" w:right="0" w:firstLine="0"/>
        <w:jc w:val="left"/>
      </w:pPr>
      <w:bookmarkStart w:id="253" w:name="bookmark253"/>
      <w:r>
        <w:rPr>
          <w:rFonts w:ascii="Times New Roman" w:eastAsia="Times New Roman" w:hAnsi="Times New Roman" w:cs="Times New Roman"/>
          <w:color w:val="000000"/>
          <w:spacing w:val="0"/>
          <w:w w:val="100"/>
          <w:position w:val="0"/>
        </w:rPr>
        <w:t>2</w:t>
      </w:r>
      <w:bookmarkEnd w:id="253"/>
      <w:r>
        <w:rPr>
          <w:color w:val="000000"/>
          <w:spacing w:val="0"/>
          <w:w w:val="100"/>
          <w:position w:val="0"/>
        </w:rPr>
        <w:t>、在联营企业中的权益</w:t>
      </w:r>
    </w:p>
    <w:p>
      <w:pPr>
        <w:pStyle w:val="Style30"/>
        <w:keepNext w:val="0"/>
        <w:keepLines w:val="0"/>
        <w:widowControl w:val="0"/>
        <w:numPr>
          <w:ilvl w:val="0"/>
          <w:numId w:val="7"/>
        </w:numPr>
        <w:shd w:val="clear" w:color="auto" w:fill="auto"/>
        <w:bidi w:val="0"/>
        <w:spacing w:before="0" w:after="100" w:line="240" w:lineRule="auto"/>
        <w:ind w:left="0" w:right="0" w:firstLine="0"/>
        <w:jc w:val="left"/>
      </w:pPr>
      <w:bookmarkStart w:id="254" w:name="bookmark254"/>
      <w:bookmarkEnd w:id="254"/>
      <w:r>
        <w:rPr>
          <w:color w:val="000000"/>
          <w:spacing w:val="0"/>
          <w:w w:val="100"/>
          <w:position w:val="0"/>
        </w:rPr>
        <w:t>重要的联营企业</w:t>
      </w:r>
    </w:p>
    <w:tbl>
      <w:tblPr>
        <w:tblOverlap w:val="never"/>
        <w:jc w:val="center"/>
        <w:tblLayout w:type="fixed"/>
      </w:tblPr>
      <w:tblGrid>
        <w:gridCol w:w="1958"/>
        <w:gridCol w:w="1277"/>
        <w:gridCol w:w="1560"/>
        <w:gridCol w:w="1277"/>
        <w:gridCol w:w="706"/>
        <w:gridCol w:w="710"/>
        <w:gridCol w:w="1810"/>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联营企业名称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对合营企业或联营企 业投资的会计处理方 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福建亿榕信息技术有限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福建文鑫莲业股份有限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建宁县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建宁县将屯工业区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权益法(说明)</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说明：福建文鑫莲业股份有限公司董事会成员中的</w:t>
      </w:r>
      <w:r>
        <w:rPr>
          <w:rFonts w:ascii="Times New Roman" w:eastAsia="Times New Roman" w:hAnsi="Times New Roman" w:cs="Times New Roman"/>
          <w:color w:val="000000"/>
          <w:spacing w:val="0"/>
          <w:w w:val="100"/>
          <w:position w:val="0"/>
        </w:rPr>
        <w:t>2</w:t>
      </w:r>
      <w:r>
        <w:rPr>
          <w:color w:val="000000"/>
          <w:spacing w:val="0"/>
          <w:w w:val="100"/>
          <w:position w:val="0"/>
        </w:rPr>
        <w:t>人由本公司委派，本公司对其具有重大影响。</w:t>
      </w:r>
    </w:p>
    <w:p>
      <w:pPr>
        <w:widowControl w:val="0"/>
        <w:spacing w:after="339" w:line="1" w:lineRule="exact"/>
      </w:pPr>
    </w:p>
    <w:p>
      <w:pPr>
        <w:pStyle w:val="Style26"/>
        <w:keepNext/>
        <w:keepLines/>
        <w:widowControl w:val="0"/>
        <w:shd w:val="clear" w:color="auto" w:fill="auto"/>
        <w:tabs>
          <w:tab w:pos="573" w:val="left"/>
        </w:tabs>
        <w:bidi w:val="0"/>
        <w:spacing w:before="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八</w:t>
      </w:r>
      <w:bookmarkEnd w:id="257"/>
      <w:r>
        <w:rPr>
          <w:color w:val="000000"/>
          <w:spacing w:val="0"/>
          <w:w w:val="100"/>
          <w:position w:val="0"/>
          <w:sz w:val="24"/>
          <w:szCs w:val="24"/>
        </w:rPr>
        <w:t>、</w:t>
        <w:tab/>
        <w:t>公司控制的结构化主体情况</w:t>
      </w:r>
      <w:bookmarkEnd w:id="255"/>
      <w:bookmarkEnd w:id="256"/>
      <w:bookmarkEnd w:id="258"/>
    </w:p>
    <w:p>
      <w:pPr>
        <w:pStyle w:val="Style3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73" w:val="left"/>
        </w:tabs>
        <w:bidi w:val="0"/>
        <w:spacing w:before="0" w:after="2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九</w:t>
      </w:r>
      <w:bookmarkEnd w:id="261"/>
      <w:r>
        <w:rPr>
          <w:color w:val="000000"/>
          <w:spacing w:val="0"/>
          <w:w w:val="100"/>
          <w:position w:val="0"/>
          <w:sz w:val="24"/>
          <w:szCs w:val="24"/>
        </w:rPr>
        <w:t>、</w:t>
        <w:tab/>
        <w:t>公司未来发展的展望</w:t>
      </w:r>
      <w:bookmarkEnd w:id="259"/>
      <w:bookmarkEnd w:id="260"/>
      <w:bookmarkEnd w:id="262"/>
    </w:p>
    <w:p>
      <w:pPr>
        <w:pStyle w:val="Style30"/>
        <w:keepNext w:val="0"/>
        <w:keepLines w:val="0"/>
        <w:widowControl w:val="0"/>
        <w:shd w:val="clear" w:color="auto" w:fill="auto"/>
        <w:bidi w:val="0"/>
        <w:spacing w:before="0" w:after="100" w:line="310" w:lineRule="exact"/>
        <w:ind w:left="0" w:right="0"/>
        <w:jc w:val="both"/>
      </w:pPr>
      <w:r>
        <w:rPr>
          <w:color w:val="000000"/>
          <w:spacing w:val="0"/>
          <w:w w:val="100"/>
          <w:position w:val="0"/>
        </w:rPr>
        <w:t>随着国家</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规划以及重大民生工程的开展、推进，国内软件和信息技术服务业作为</w:t>
      </w:r>
      <w:r>
        <w:rPr>
          <w:rFonts w:ascii="Times New Roman" w:eastAsia="Times New Roman" w:hAnsi="Times New Roman" w:cs="Times New Roman"/>
          <w:color w:val="000000"/>
          <w:spacing w:val="0"/>
          <w:w w:val="100"/>
          <w:position w:val="0"/>
        </w:rPr>
        <w:t>“</w:t>
      </w:r>
      <w:r>
        <w:rPr>
          <w:color w:val="000000"/>
          <w:spacing w:val="0"/>
          <w:w w:val="100"/>
          <w:position w:val="0"/>
        </w:rPr>
        <w:t>战略性新兴产业</w:t>
      </w:r>
      <w:r>
        <w:rPr>
          <w:rFonts w:ascii="Times New Roman" w:eastAsia="Times New Roman" w:hAnsi="Times New Roman" w:cs="Times New Roman"/>
          <w:color w:val="000000"/>
          <w:spacing w:val="0"/>
          <w:w w:val="100"/>
          <w:position w:val="0"/>
        </w:rPr>
        <w:t>”</w:t>
      </w:r>
      <w:r>
        <w:rPr>
          <w:color w:val="000000"/>
          <w:spacing w:val="0"/>
          <w:w w:val="100"/>
          <w:position w:val="0"/>
        </w:rPr>
        <w:t>，受益于国 家对新一代信息技术产业持续的政策和资金扶持，市场规模持续扩大。同时，国民经济的发展和社会信息化的建设，引导社 会各方面力量向软件产业领域持续投入，也将为软件产业的发展提供巨大的需求。未来，信息技术创新不断加快，信息领域 新产品、新服务、新业态大量涌现，在云计算、大数据、物联网、移动互联网等新一代信息技术驱动下，将进一步加快软件 业向服务化转型的步伐，使社会各领域信息化水平持续提升。围绕着智慧城市建设、信息惠民工程建设，民生服务应用、政 府信息化、信息基础设施建设等新的市场需求将不断被激发，为中国</w:t>
      </w:r>
      <w:r>
        <w:rPr>
          <w:rFonts w:ascii="Times New Roman" w:eastAsia="Times New Roman" w:hAnsi="Times New Roman" w:cs="Times New Roman"/>
          <w:color w:val="000000"/>
          <w:spacing w:val="0"/>
          <w:w w:val="100"/>
          <w:position w:val="0"/>
        </w:rPr>
        <w:t>IT</w:t>
      </w:r>
      <w:r>
        <w:rPr>
          <w:color w:val="000000"/>
          <w:spacing w:val="0"/>
          <w:w w:val="100"/>
          <w:position w:val="0"/>
        </w:rPr>
        <w:t>企业带来新的市场机遇和发展活力。</w:t>
      </w:r>
    </w:p>
    <w:p>
      <w:pPr>
        <w:pStyle w:val="Style30"/>
        <w:keepNext w:val="0"/>
        <w:keepLines w:val="0"/>
        <w:widowControl w:val="0"/>
        <w:shd w:val="clear" w:color="auto" w:fill="auto"/>
        <w:tabs>
          <w:tab w:pos="682" w:val="left"/>
        </w:tabs>
        <w:bidi w:val="0"/>
        <w:spacing w:before="0" w:after="0"/>
        <w:ind w:left="0" w:right="0"/>
        <w:jc w:val="both"/>
      </w:pPr>
      <w:bookmarkStart w:id="263" w:name="bookmark263"/>
      <w:r>
        <w:rPr>
          <w:rFonts w:ascii="Times New Roman" w:eastAsia="Times New Roman" w:hAnsi="Times New Roman" w:cs="Times New Roman"/>
          <w:color w:val="000000"/>
          <w:spacing w:val="0"/>
          <w:w w:val="100"/>
          <w:position w:val="0"/>
        </w:rPr>
        <w:t>1</w:t>
      </w:r>
      <w:bookmarkEnd w:id="263"/>
      <w:r>
        <w:rPr>
          <w:color w:val="000000"/>
          <w:spacing w:val="0"/>
          <w:w w:val="100"/>
          <w:position w:val="0"/>
        </w:rPr>
        <w:t>、</w:t>
        <w:tab/>
        <w:t>行业竞争格局和发展趋势</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公司所属行业为信息产业中的软件和信息技术服务业。</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国内软件和信息技术服务业作为</w:t>
      </w:r>
      <w:r>
        <w:rPr>
          <w:rFonts w:ascii="Times New Roman" w:eastAsia="Times New Roman" w:hAnsi="Times New Roman" w:cs="Times New Roman"/>
          <w:color w:val="000000"/>
          <w:spacing w:val="0"/>
          <w:w w:val="100"/>
          <w:position w:val="0"/>
        </w:rPr>
        <w:t>“</w:t>
      </w:r>
      <w:r>
        <w:rPr>
          <w:color w:val="000000"/>
          <w:spacing w:val="0"/>
          <w:w w:val="100"/>
          <w:position w:val="0"/>
        </w:rPr>
        <w:t>战略性新兴产业</w:t>
      </w:r>
      <w:r>
        <w:rPr>
          <w:rFonts w:ascii="Times New Roman" w:eastAsia="Times New Roman" w:hAnsi="Times New Roman" w:cs="Times New Roman"/>
          <w:color w:val="000000"/>
          <w:spacing w:val="0"/>
          <w:w w:val="100"/>
          <w:position w:val="0"/>
        </w:rPr>
        <w:t>”</w:t>
      </w:r>
      <w:r>
        <w:rPr>
          <w:color w:val="000000"/>
          <w:spacing w:val="0"/>
          <w:w w:val="100"/>
          <w:position w:val="0"/>
        </w:rPr>
        <w:t>，受益于国家对新一代信息技术产业持续的政策和资金扶持，市场规 模持续扩大。同时，国民经济的发展和社会信息化的建设，引导社会各方面力量向软件产业领域持续投入，也将为软件产业 的发展提供巨大的需求。未来，信息技术创新不断加快，信息领域新产品、新服务、新业态大量涌现，在云计算、大数据、 物联网、移动互联网等新一代信息技术驱动下，将进一步加快软件业向服务化转型的步伐，使社会各领域信息化水平持续提 升。围绕着智慧城市建设、信息惠民工程建设，民生服务应用、政府信息化、信息基础设施建设等新的市场需求将不断被激 发，为中国</w:t>
      </w:r>
      <w:r>
        <w:rPr>
          <w:rFonts w:ascii="Times New Roman" w:eastAsia="Times New Roman" w:hAnsi="Times New Roman" w:cs="Times New Roman"/>
          <w:color w:val="000000"/>
          <w:spacing w:val="0"/>
          <w:w w:val="100"/>
          <w:position w:val="0"/>
        </w:rPr>
        <w:t>IT</w:t>
      </w:r>
      <w:r>
        <w:rPr>
          <w:color w:val="000000"/>
          <w:spacing w:val="0"/>
          <w:w w:val="100"/>
          <w:position w:val="0"/>
        </w:rPr>
        <w:t>企业带来新的市场机遇和发展活力。</w:t>
      </w:r>
    </w:p>
    <w:p>
      <w:pPr>
        <w:pStyle w:val="Style30"/>
        <w:keepNext w:val="0"/>
        <w:keepLines w:val="0"/>
        <w:widowControl w:val="0"/>
        <w:shd w:val="clear" w:color="auto" w:fill="auto"/>
        <w:bidi w:val="0"/>
        <w:spacing w:before="0" w:after="100" w:line="310" w:lineRule="exact"/>
        <w:ind w:left="0" w:right="0"/>
        <w:jc w:val="both"/>
      </w:pPr>
      <w:r>
        <w:rPr>
          <w:color w:val="000000"/>
          <w:spacing w:val="0"/>
          <w:w w:val="100"/>
          <w:position w:val="0"/>
        </w:rPr>
        <w:t>公司是国家高新技术企业、国家规划布局内重点软件企业，随着国家和部委文件的执行，公司将继续获得国家对于软件 企业的扶持和优惠政策支持，包括继续享受软件增值税优惠政策，进一步享受营业税优惠政策，继续享受企业所得税的优惠 税率，在国家鼓励、支持软件企业通过资源整合做大做强的政策环境下，更加顺利地实施重组并购，以及其他人才引进和知 识产权保护等。这些政策的出台和执行，为公司创造了良好的经营环境，并将在较长时期内得到保持。</w:t>
      </w:r>
    </w:p>
    <w:p>
      <w:pPr>
        <w:pStyle w:val="Style30"/>
        <w:keepNext w:val="0"/>
        <w:keepLines w:val="0"/>
        <w:widowControl w:val="0"/>
        <w:shd w:val="clear" w:color="auto" w:fill="auto"/>
        <w:tabs>
          <w:tab w:pos="701" w:val="left"/>
        </w:tabs>
        <w:bidi w:val="0"/>
        <w:spacing w:before="0" w:after="0"/>
        <w:ind w:left="0" w:right="0"/>
        <w:jc w:val="both"/>
      </w:pPr>
      <w:bookmarkStart w:id="264" w:name="bookmark264"/>
      <w:r>
        <w:rPr>
          <w:rFonts w:ascii="Times New Roman" w:eastAsia="Times New Roman" w:hAnsi="Times New Roman" w:cs="Times New Roman"/>
          <w:color w:val="000000"/>
          <w:spacing w:val="0"/>
          <w:w w:val="100"/>
          <w:position w:val="0"/>
        </w:rPr>
        <w:t>2</w:t>
      </w:r>
      <w:bookmarkEnd w:id="264"/>
      <w:r>
        <w:rPr>
          <w:color w:val="000000"/>
          <w:spacing w:val="0"/>
          <w:w w:val="100"/>
          <w:position w:val="0"/>
        </w:rPr>
        <w:t>、</w:t>
        <w:tab/>
        <w:t>公司发展战略</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公司将紧抓软件服务行业云计算、物联网、移动互联网、大数据、智慧城市等新一代信息技术对传统行业信息化的升级 改造和迁移的发展趋势，继续推动</w:t>
      </w:r>
      <w:r>
        <w:rPr>
          <w:rFonts w:ascii="Times New Roman" w:eastAsia="Times New Roman" w:hAnsi="Times New Roman" w:cs="Times New Roman"/>
          <w:color w:val="000000"/>
          <w:spacing w:val="0"/>
          <w:w w:val="100"/>
          <w:position w:val="0"/>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rPr>
        <w:t>”</w:t>
      </w:r>
      <w:r>
        <w:rPr>
          <w:color w:val="000000"/>
          <w:spacing w:val="0"/>
          <w:w w:val="100"/>
          <w:position w:val="0"/>
        </w:rPr>
        <w:t>发展战略，提升电子政务、信息安全、质检三电工程和协同管 理四个领域软件产品和服务的产业化速度，坚持技术创新，带动软件平台化和服务化商业模式创新，培育新的利润增长点， 推动公司持续成长，实现规模化、跨越式发展。</w:t>
      </w:r>
    </w:p>
    <w:p>
      <w:pPr>
        <w:pStyle w:val="Style30"/>
        <w:keepNext w:val="0"/>
        <w:keepLines w:val="0"/>
        <w:widowControl w:val="0"/>
        <w:numPr>
          <w:ilvl w:val="0"/>
          <w:numId w:val="9"/>
        </w:numPr>
        <w:shd w:val="clear" w:color="auto" w:fill="auto"/>
        <w:bidi w:val="0"/>
        <w:spacing w:before="0" w:after="0" w:line="310" w:lineRule="exact"/>
        <w:ind w:left="0" w:right="0"/>
        <w:jc w:val="both"/>
      </w:pPr>
      <w:bookmarkStart w:id="265" w:name="bookmark265"/>
      <w:bookmarkEnd w:id="265"/>
      <w:r>
        <w:rPr>
          <w:color w:val="000000"/>
          <w:spacing w:val="0"/>
          <w:w w:val="100"/>
          <w:position w:val="0"/>
        </w:rPr>
        <w:t>由软件产品提供商向行业软件平台运营商转型</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公司将研发新一代电子政务应用平台、协同管理软件平台、信息安全等行业应用软件支撑平台，在直接为客户提供产品 的同时，可以依托已有的综合优势，向移动运营商、其他软件开发商提供统一的组件平台和实现方法，逐步推进公司向行业 </w:t>
      </w:r>
      <w:r>
        <w:rPr>
          <w:color w:val="000000"/>
          <w:spacing w:val="0"/>
          <w:w w:val="100"/>
          <w:position w:val="0"/>
        </w:rPr>
        <w:t>软件平台运营商转型。</w:t>
      </w:r>
    </w:p>
    <w:p>
      <w:pPr>
        <w:pStyle w:val="Style30"/>
        <w:keepNext w:val="0"/>
        <w:keepLines w:val="0"/>
        <w:widowControl w:val="0"/>
        <w:numPr>
          <w:ilvl w:val="0"/>
          <w:numId w:val="9"/>
        </w:numPr>
        <w:shd w:val="clear" w:color="auto" w:fill="auto"/>
        <w:bidi w:val="0"/>
        <w:spacing w:before="0" w:after="0" w:line="315" w:lineRule="exact"/>
        <w:ind w:left="0" w:right="0"/>
        <w:jc w:val="left"/>
      </w:pPr>
      <w:bookmarkStart w:id="266" w:name="bookmark266"/>
      <w:bookmarkEnd w:id="266"/>
      <w:r>
        <w:rPr>
          <w:color w:val="000000"/>
          <w:spacing w:val="0"/>
          <w:w w:val="100"/>
          <w:position w:val="0"/>
        </w:rPr>
        <w:t>由软件产品销售模式向软件服务模式的转变</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公司积极发展软件服务化业务，采用云计算技术，通过互联网建立软件服务云平台，实现软件租用服务模式。</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公司研发的无线信息服务平台，积极与移动通信运营商合作，采用</w:t>
      </w:r>
      <w:r>
        <w:rPr>
          <w:rFonts w:ascii="Times New Roman" w:eastAsia="Times New Roman" w:hAnsi="Times New Roman" w:cs="Times New Roman"/>
          <w:color w:val="000000"/>
          <w:spacing w:val="0"/>
          <w:w w:val="100"/>
          <w:position w:val="0"/>
        </w:rPr>
        <w:t>PaaS</w:t>
      </w:r>
      <w:r>
        <w:rPr>
          <w:color w:val="000000"/>
          <w:spacing w:val="0"/>
          <w:w w:val="100"/>
          <w:position w:val="0"/>
        </w:rPr>
        <w:t>方式和</w:t>
      </w:r>
      <w:r>
        <w:rPr>
          <w:rFonts w:ascii="Times New Roman" w:eastAsia="Times New Roman" w:hAnsi="Times New Roman" w:cs="Times New Roman"/>
          <w:color w:val="000000"/>
          <w:spacing w:val="0"/>
          <w:w w:val="100"/>
          <w:position w:val="0"/>
        </w:rPr>
        <w:t>SaaS</w:t>
      </w:r>
      <w:r>
        <w:rPr>
          <w:color w:val="000000"/>
          <w:spacing w:val="0"/>
          <w:w w:val="100"/>
          <w:position w:val="0"/>
        </w:rPr>
        <w:t>进行推广，通过软件租用和运营商电 信增值业务分成等方式进行模式创新。</w:t>
      </w:r>
    </w:p>
    <w:p>
      <w:pPr>
        <w:pStyle w:val="Style30"/>
        <w:keepNext w:val="0"/>
        <w:keepLines w:val="0"/>
        <w:widowControl w:val="0"/>
        <w:shd w:val="clear" w:color="auto" w:fill="auto"/>
        <w:tabs>
          <w:tab w:pos="759" w:val="left"/>
        </w:tabs>
        <w:bidi w:val="0"/>
        <w:spacing w:before="0" w:after="0" w:line="315" w:lineRule="exact"/>
        <w:ind w:left="0" w:right="0"/>
        <w:jc w:val="left"/>
      </w:pPr>
      <w:bookmarkStart w:id="267" w:name="bookmark267"/>
      <w:r>
        <w:rPr>
          <w:rFonts w:ascii="Times New Roman" w:eastAsia="Times New Roman" w:hAnsi="Times New Roman" w:cs="Times New Roman"/>
          <w:color w:val="000000"/>
          <w:spacing w:val="0"/>
          <w:w w:val="100"/>
          <w:position w:val="0"/>
        </w:rPr>
        <w:t>3</w:t>
      </w:r>
      <w:bookmarkEnd w:id="267"/>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年经营计划</w:t>
      </w:r>
    </w:p>
    <w:p>
      <w:pPr>
        <w:pStyle w:val="Style30"/>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rPr>
        <w:t>2017</w:t>
      </w:r>
      <w:r>
        <w:rPr>
          <w:color w:val="000000"/>
          <w:spacing w:val="0"/>
          <w:w w:val="100"/>
          <w:position w:val="0"/>
        </w:rPr>
        <w:t>年是公司经营重启新一轮增长周期的关键时期，公司将努力扩大收入规模，提升细分业务领域的盈利水平。同时公 司选择和公司当前业务、技术背景较为接近且市场潜力较大的中国电子检验检疫主干系统、物联网平台、中小企业服务平台 等作为新的突破方向，优化产业链布局，保持对关键业务和技术的投入力度，为未来发展奠定坚实基础。</w:t>
      </w:r>
    </w:p>
    <w:p>
      <w:pPr>
        <w:pStyle w:val="Style30"/>
        <w:keepNext w:val="0"/>
        <w:keepLines w:val="0"/>
        <w:widowControl w:val="0"/>
        <w:numPr>
          <w:ilvl w:val="0"/>
          <w:numId w:val="11"/>
        </w:numPr>
        <w:shd w:val="clear" w:color="auto" w:fill="auto"/>
        <w:tabs>
          <w:tab w:pos="859" w:val="left"/>
        </w:tabs>
        <w:bidi w:val="0"/>
        <w:spacing w:before="0" w:after="0" w:line="315" w:lineRule="exact"/>
        <w:ind w:left="0" w:right="0"/>
        <w:jc w:val="left"/>
      </w:pPr>
      <w:bookmarkStart w:id="268" w:name="bookmark268"/>
      <w:bookmarkEnd w:id="268"/>
      <w:r>
        <w:rPr>
          <w:color w:val="000000"/>
          <w:spacing w:val="0"/>
          <w:w w:val="100"/>
          <w:position w:val="0"/>
        </w:rPr>
        <w:t>继续在重点发展行业巩固现有优势，加强顶层设计，以产品化和行业化思路强化行业布局；在持续跟进行业，以 持续创新的思路规划解决方案、产品和服务，逐步扩大核心业务比例。</w:t>
      </w:r>
    </w:p>
    <w:p>
      <w:pPr>
        <w:pStyle w:val="Style30"/>
        <w:keepNext w:val="0"/>
        <w:keepLines w:val="0"/>
        <w:widowControl w:val="0"/>
        <w:numPr>
          <w:ilvl w:val="0"/>
          <w:numId w:val="11"/>
        </w:numPr>
        <w:shd w:val="clear" w:color="auto" w:fill="auto"/>
        <w:tabs>
          <w:tab w:pos="864" w:val="left"/>
        </w:tabs>
        <w:bidi w:val="0"/>
        <w:spacing w:before="0" w:after="0" w:line="315" w:lineRule="exact"/>
        <w:ind w:left="0" w:right="0"/>
        <w:jc w:val="left"/>
      </w:pPr>
      <w:bookmarkStart w:id="269" w:name="bookmark269"/>
      <w:bookmarkEnd w:id="269"/>
      <w:r>
        <w:rPr>
          <w:color w:val="000000"/>
          <w:spacing w:val="0"/>
          <w:w w:val="100"/>
          <w:position w:val="0"/>
        </w:rPr>
        <w:t>公司将进一步贯彻</w:t>
      </w:r>
      <w:r>
        <w:rPr>
          <w:rFonts w:ascii="Times New Roman" w:eastAsia="Times New Roman" w:hAnsi="Times New Roman" w:cs="Times New Roman"/>
          <w:color w:val="000000"/>
          <w:spacing w:val="0"/>
          <w:w w:val="100"/>
          <w:position w:val="0"/>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rPr>
        <w:t>”</w:t>
      </w:r>
      <w:r>
        <w:rPr>
          <w:color w:val="000000"/>
          <w:spacing w:val="0"/>
          <w:w w:val="100"/>
          <w:position w:val="0"/>
        </w:rPr>
        <w:t>的经营战略创新，继续坚持以市场为导向、以企业技术中心为核心 的自主创新体系，健全创新机制，加强人才队伍培养和引进，提升四大领域软件产品的研发和产业化速度，推动商业模式创 新，推动逐步发展新的利润增长点。</w:t>
      </w:r>
    </w:p>
    <w:p>
      <w:pPr>
        <w:pStyle w:val="Style30"/>
        <w:keepNext w:val="0"/>
        <w:keepLines w:val="0"/>
        <w:widowControl w:val="0"/>
        <w:numPr>
          <w:ilvl w:val="0"/>
          <w:numId w:val="11"/>
        </w:numPr>
        <w:shd w:val="clear" w:color="auto" w:fill="auto"/>
        <w:tabs>
          <w:tab w:pos="869" w:val="left"/>
        </w:tabs>
        <w:bidi w:val="0"/>
        <w:spacing w:before="0" w:after="0" w:line="315" w:lineRule="exact"/>
        <w:ind w:left="0" w:right="0"/>
        <w:jc w:val="left"/>
      </w:pPr>
      <w:bookmarkStart w:id="270" w:name="bookmark270"/>
      <w:bookmarkEnd w:id="270"/>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的基本管理思想，建立科学、快速的利益响应机制，稳定公司核心骨干，引进中高层次人才, 优化人才结构，建立适合公司的激励机制。</w:t>
      </w:r>
    </w:p>
    <w:p>
      <w:pPr>
        <w:pStyle w:val="Style30"/>
        <w:keepNext w:val="0"/>
        <w:keepLines w:val="0"/>
        <w:widowControl w:val="0"/>
        <w:numPr>
          <w:ilvl w:val="0"/>
          <w:numId w:val="11"/>
        </w:numPr>
        <w:shd w:val="clear" w:color="auto" w:fill="auto"/>
        <w:tabs>
          <w:tab w:pos="864" w:val="left"/>
        </w:tabs>
        <w:bidi w:val="0"/>
        <w:spacing w:before="0" w:after="0" w:line="315" w:lineRule="exact"/>
        <w:ind w:left="0" w:right="0"/>
        <w:jc w:val="left"/>
      </w:pPr>
      <w:bookmarkStart w:id="271" w:name="bookmark271"/>
      <w:bookmarkEnd w:id="271"/>
      <w:r>
        <w:rPr>
          <w:color w:val="000000"/>
          <w:spacing w:val="0"/>
          <w:w w:val="100"/>
          <w:position w:val="0"/>
        </w:rPr>
        <w:t>在技术创新方面，公司将加大在所处领域的核心产品和技术研发及产业化投入，不断增强技术实力，保持行业技 术领先水平，增强企业的核心竞争能力，为公司的成长提供产品和技术优势。</w:t>
      </w:r>
    </w:p>
    <w:p>
      <w:pPr>
        <w:pStyle w:val="Style30"/>
        <w:keepNext w:val="0"/>
        <w:keepLines w:val="0"/>
        <w:widowControl w:val="0"/>
        <w:numPr>
          <w:ilvl w:val="0"/>
          <w:numId w:val="11"/>
        </w:numPr>
        <w:shd w:val="clear" w:color="auto" w:fill="auto"/>
        <w:tabs>
          <w:tab w:pos="869" w:val="left"/>
        </w:tabs>
        <w:bidi w:val="0"/>
        <w:spacing w:before="0" w:after="0" w:line="315" w:lineRule="exact"/>
        <w:ind w:left="0" w:right="0"/>
        <w:jc w:val="left"/>
      </w:pPr>
      <w:bookmarkStart w:id="272" w:name="bookmark272"/>
      <w:bookmarkEnd w:id="272"/>
      <w:r>
        <w:rPr>
          <w:color w:val="000000"/>
          <w:spacing w:val="0"/>
          <w:w w:val="100"/>
          <w:position w:val="0"/>
        </w:rPr>
        <w:t>在市场营销与服务体系建设方面，公司已初步建立以北京为指挥中心、遍布全国的营销和服务网络体系，公司将 继续完善河南、上海、马鞍山等区域中心体系建设，增强运维服务网点营销服务能力，继续完善产品代理体系，加大品牌宣 传力度，促进公司规模化发展。</w:t>
      </w:r>
    </w:p>
    <w:p>
      <w:pPr>
        <w:pStyle w:val="Style30"/>
        <w:keepNext w:val="0"/>
        <w:keepLines w:val="0"/>
        <w:widowControl w:val="0"/>
        <w:numPr>
          <w:ilvl w:val="0"/>
          <w:numId w:val="11"/>
        </w:numPr>
        <w:shd w:val="clear" w:color="auto" w:fill="auto"/>
        <w:tabs>
          <w:tab w:pos="864" w:val="left"/>
        </w:tabs>
        <w:bidi w:val="0"/>
        <w:spacing w:before="0" w:after="0" w:line="315" w:lineRule="exact"/>
        <w:ind w:left="0" w:right="0"/>
        <w:jc w:val="left"/>
      </w:pPr>
      <w:bookmarkStart w:id="273" w:name="bookmark273"/>
      <w:bookmarkEnd w:id="273"/>
      <w:r>
        <w:rPr>
          <w:rFonts w:ascii="Times New Roman" w:eastAsia="Times New Roman" w:hAnsi="Times New Roman" w:cs="Times New Roman"/>
          <w:color w:val="000000"/>
          <w:spacing w:val="0"/>
          <w:w w:val="100"/>
          <w:position w:val="0"/>
        </w:rPr>
        <w:t>2017</w:t>
      </w:r>
      <w:r>
        <w:rPr>
          <w:color w:val="000000"/>
          <w:spacing w:val="0"/>
          <w:w w:val="100"/>
          <w:position w:val="0"/>
        </w:rPr>
        <w:t>年我们将严格按照上市公司的要求，规范运作，进一步完善公司的治理结构，建立和健全投资者沟通的平台， 规范公司与投资者关系的管理工作，加强公司与投资者和潜在投资者之间的沟通，加深投资者对公司的了解和认同，促进公 司与投资者之间长期、稳定的良好关系，提升公司的诚信度、核心竞争能力和持续发展能力，实现公司价值最大化和股东利 益最大化。</w:t>
      </w:r>
    </w:p>
    <w:p>
      <w:pPr>
        <w:pStyle w:val="Style30"/>
        <w:keepNext w:val="0"/>
        <w:keepLines w:val="0"/>
        <w:widowControl w:val="0"/>
        <w:shd w:val="clear" w:color="auto" w:fill="auto"/>
        <w:tabs>
          <w:tab w:pos="759" w:val="left"/>
        </w:tabs>
        <w:bidi w:val="0"/>
        <w:spacing w:before="0" w:after="0" w:line="315" w:lineRule="exact"/>
        <w:ind w:left="0" w:right="0"/>
        <w:jc w:val="both"/>
      </w:pPr>
      <w:bookmarkStart w:id="274" w:name="bookmark274"/>
      <w:r>
        <w:rPr>
          <w:rFonts w:ascii="Times New Roman" w:eastAsia="Times New Roman" w:hAnsi="Times New Roman" w:cs="Times New Roman"/>
          <w:color w:val="000000"/>
          <w:spacing w:val="0"/>
          <w:w w:val="100"/>
          <w:position w:val="0"/>
        </w:rPr>
        <w:t>4</w:t>
      </w:r>
      <w:bookmarkEnd w:id="274"/>
      <w:r>
        <w:rPr>
          <w:color w:val="000000"/>
          <w:spacing w:val="0"/>
          <w:w w:val="100"/>
          <w:position w:val="0"/>
        </w:rPr>
        <w:t>、</w:t>
        <w:tab/>
        <w:t>未来面对的风险及应对措施</w:t>
      </w:r>
    </w:p>
    <w:p>
      <w:pPr>
        <w:pStyle w:val="Style30"/>
        <w:keepNext w:val="0"/>
        <w:keepLines w:val="0"/>
        <w:widowControl w:val="0"/>
        <w:numPr>
          <w:ilvl w:val="0"/>
          <w:numId w:val="13"/>
        </w:numPr>
        <w:shd w:val="clear" w:color="auto" w:fill="auto"/>
        <w:tabs>
          <w:tab w:pos="788" w:val="left"/>
        </w:tabs>
        <w:bidi w:val="0"/>
        <w:spacing w:before="0" w:after="0" w:line="315" w:lineRule="exact"/>
        <w:ind w:left="0" w:right="0"/>
        <w:jc w:val="both"/>
      </w:pPr>
      <w:bookmarkStart w:id="275" w:name="bookmark275"/>
      <w:bookmarkEnd w:id="275"/>
      <w:r>
        <w:rPr>
          <w:color w:val="000000"/>
          <w:spacing w:val="0"/>
          <w:w w:val="100"/>
          <w:position w:val="0"/>
        </w:rPr>
        <w:t>人力资源管理和人力成本上升的风险</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公司规模的迅速扩张带来人才上的瓶颈，高端人才比较紧缺仍然是公司目前存在的主要困难，特别是研发人员扩张速度 跟不上公司业务规模的扩张，导致公司潜在的新用户的需求得不到很好的满足，这可能会使公司失去一些市场机会。同时， 中国经济快速发展，城市生活成本的上升，尤其是北上广深等一线大中城市，中高端人才工资薪酬呈上升趋势，公司面临人 力成本上升导致利润水平下降的风险。</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公司将建立多层次培训体系、薪酬体系和有效的激励措施，满足研发技术类的人才需求；开展营销服务体系的建设，构 筑全国性的销售服务体系，实现客户的本地化服务。公司还积极加强企业文化建设，把</w:t>
      </w:r>
      <w:r>
        <w:rPr>
          <w:rFonts w:ascii="Times New Roman" w:eastAsia="Times New Roman" w:hAnsi="Times New Roman" w:cs="Times New Roman"/>
          <w:color w:val="000000"/>
          <w:spacing w:val="0"/>
          <w:w w:val="100"/>
          <w:position w:val="0"/>
        </w:rPr>
        <w:t>“</w:t>
      </w:r>
      <w:r>
        <w:rPr>
          <w:color w:val="000000"/>
          <w:spacing w:val="0"/>
          <w:w w:val="100"/>
          <w:position w:val="0"/>
        </w:rPr>
        <w:t>服务于社会以促进企业发展，贡献 于企业以追求个人进步</w:t>
      </w:r>
      <w:r>
        <w:rPr>
          <w:rFonts w:ascii="Times New Roman" w:eastAsia="Times New Roman" w:hAnsi="Times New Roman" w:cs="Times New Roman"/>
          <w:color w:val="000000"/>
          <w:spacing w:val="0"/>
          <w:w w:val="100"/>
          <w:position w:val="0"/>
        </w:rPr>
        <w:t>”</w:t>
      </w:r>
      <w:r>
        <w:rPr>
          <w:color w:val="000000"/>
          <w:spacing w:val="0"/>
          <w:w w:val="100"/>
          <w:position w:val="0"/>
        </w:rPr>
        <w:t>作为核心价值观，努力培育团结、创新、开拓、务实的企业文化精神，争取广大员工的认可。公司 将投入更多资源改善工作环境和工作条件，增强公司对高素质人才的吸引力和归属感。公司将通过动态平衡人员结构，提高 项目管理能力，以及积极向二三线城市布局区域研发中心，降低人员成本上升的风险。公司将在河南、上海以及马鞍山设立 区域研发中心，未来还将根据发展需要在其他地区设立区域研发中心。</w:t>
      </w:r>
    </w:p>
    <w:p>
      <w:pPr>
        <w:pStyle w:val="Style30"/>
        <w:keepNext w:val="0"/>
        <w:keepLines w:val="0"/>
        <w:widowControl w:val="0"/>
        <w:numPr>
          <w:ilvl w:val="0"/>
          <w:numId w:val="13"/>
        </w:numPr>
        <w:shd w:val="clear" w:color="auto" w:fill="auto"/>
        <w:tabs>
          <w:tab w:pos="788" w:val="left"/>
        </w:tabs>
        <w:bidi w:val="0"/>
        <w:spacing w:before="0" w:after="0" w:line="315" w:lineRule="exact"/>
        <w:ind w:left="0" w:right="0"/>
        <w:jc w:val="both"/>
      </w:pPr>
      <w:bookmarkStart w:id="276" w:name="bookmark276"/>
      <w:bookmarkEnd w:id="276"/>
      <w:r>
        <w:rPr>
          <w:color w:val="000000"/>
          <w:spacing w:val="0"/>
          <w:w w:val="100"/>
          <w:position w:val="0"/>
        </w:rPr>
        <w:t>行业技术风险</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软件行业技术进步快、产品更新快、市场需求变化快的特点以及公司规模化扩张对公司保持持续的技术领先提出了更高 的要求，如何在研发技术、研发管理方面保持有效创新，如何保证产品快速满足市场，均给公司带来较大的挑战。</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公司将继续跟踪、学习和应用新的技术，准确把握国际信息技术发展趋势，继续积极开发具有自有知识产权的新产品， 开发出功能和性能更加完善的新产品，以满足客户更加多样化、个性化的需求。</w:t>
      </w:r>
    </w:p>
    <w:p>
      <w:pPr>
        <w:pStyle w:val="Style30"/>
        <w:keepNext w:val="0"/>
        <w:keepLines w:val="0"/>
        <w:widowControl w:val="0"/>
        <w:numPr>
          <w:ilvl w:val="0"/>
          <w:numId w:val="13"/>
        </w:numPr>
        <w:shd w:val="clear" w:color="auto" w:fill="auto"/>
        <w:tabs>
          <w:tab w:pos="788" w:val="left"/>
        </w:tabs>
        <w:bidi w:val="0"/>
        <w:spacing w:before="0" w:after="0" w:line="315" w:lineRule="exact"/>
        <w:ind w:left="0" w:right="0"/>
        <w:jc w:val="both"/>
      </w:pPr>
      <w:bookmarkStart w:id="277" w:name="bookmark277"/>
      <w:bookmarkEnd w:id="277"/>
      <w:r>
        <w:rPr>
          <w:color w:val="000000"/>
          <w:spacing w:val="0"/>
          <w:w w:val="100"/>
          <w:position w:val="0"/>
        </w:rPr>
        <w:t>公司管理能力风险</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随着公司业务规模的扩大，人员的增长，对运营管控能力提出更高的要求。如果公司管理能力不能跟上规模和人员发展 </w:t>
      </w:r>
      <w:r>
        <w:rPr>
          <w:color w:val="000000"/>
          <w:spacing w:val="0"/>
          <w:w w:val="100"/>
          <w:position w:val="0"/>
        </w:rPr>
        <w:t>的要求，将会对公司业绩产生影响。</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公司将通过进一步完善法人治理结构，建立健全的内部组织结构，细化内控的具体执行办法，完成对相关人员的业务和 风险防范培训、考核、监督与评价工作等方式从而避免在公司管理能力出现的风险，积极应对公司规模扩张带来的挑战。</w:t>
      </w:r>
    </w:p>
    <w:p>
      <w:pPr>
        <w:pStyle w:val="Style30"/>
        <w:keepNext w:val="0"/>
        <w:keepLines w:val="0"/>
        <w:widowControl w:val="0"/>
        <w:numPr>
          <w:ilvl w:val="0"/>
          <w:numId w:val="13"/>
        </w:numPr>
        <w:shd w:val="clear" w:color="auto" w:fill="auto"/>
        <w:tabs>
          <w:tab w:pos="820" w:val="left"/>
        </w:tabs>
        <w:bidi w:val="0"/>
        <w:spacing w:before="0" w:after="0" w:line="314" w:lineRule="exact"/>
        <w:ind w:left="0" w:right="0"/>
        <w:jc w:val="both"/>
      </w:pPr>
      <w:bookmarkStart w:id="278" w:name="bookmark278"/>
      <w:bookmarkEnd w:id="278"/>
      <w:r>
        <w:rPr>
          <w:color w:val="000000"/>
          <w:spacing w:val="0"/>
          <w:w w:val="100"/>
          <w:position w:val="0"/>
        </w:rPr>
        <w:t>新业务投入风险</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公司依照发展战略及面临的市场形势，</w:t>
      </w:r>
      <w:r>
        <w:rPr>
          <w:rFonts w:ascii="Times New Roman" w:eastAsia="Times New Roman" w:hAnsi="Times New Roman" w:cs="Times New Roman"/>
          <w:color w:val="000000"/>
          <w:spacing w:val="0"/>
          <w:w w:val="100"/>
          <w:position w:val="0"/>
        </w:rPr>
        <w:t>2017</w:t>
      </w:r>
      <w:r>
        <w:rPr>
          <w:color w:val="000000"/>
          <w:spacing w:val="0"/>
          <w:w w:val="100"/>
          <w:position w:val="0"/>
        </w:rPr>
        <w:t>年将继续保持新业务的投入力度。新业务的投入会相应增加公司经营成本， 如遭遇重大市场环境变化，有可能达不到预期的投资目标。</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公司将通过跟踪新业务市场发展趋势,定期进行新业务研讨、严格审核大额新业务投入等措施提高新业务开展的预见性, 降低由此带来的经营风险。</w:t>
      </w:r>
    </w:p>
    <w:p>
      <w:pPr>
        <w:pStyle w:val="Style30"/>
        <w:keepNext w:val="0"/>
        <w:keepLines w:val="0"/>
        <w:widowControl w:val="0"/>
        <w:numPr>
          <w:ilvl w:val="0"/>
          <w:numId w:val="13"/>
        </w:numPr>
        <w:shd w:val="clear" w:color="auto" w:fill="auto"/>
        <w:tabs>
          <w:tab w:pos="825" w:val="left"/>
        </w:tabs>
        <w:bidi w:val="0"/>
        <w:spacing w:before="0" w:after="60" w:line="314" w:lineRule="exact"/>
        <w:ind w:left="0" w:right="0"/>
        <w:jc w:val="both"/>
      </w:pPr>
      <w:bookmarkStart w:id="279" w:name="bookmark279"/>
      <w:bookmarkEnd w:id="279"/>
      <w:r>
        <w:rPr>
          <w:color w:val="000000"/>
          <w:spacing w:val="0"/>
          <w:w w:val="100"/>
          <w:position w:val="0"/>
        </w:rPr>
        <w:t>企业并购整合风险</w:t>
      </w:r>
    </w:p>
    <w:p>
      <w:pPr>
        <w:pStyle w:val="Style30"/>
        <w:keepNext w:val="0"/>
        <w:keepLines w:val="0"/>
        <w:widowControl w:val="0"/>
        <w:shd w:val="clear" w:color="auto" w:fill="auto"/>
        <w:bidi w:val="0"/>
        <w:spacing w:before="0" w:after="340" w:line="312" w:lineRule="exact"/>
        <w:ind w:left="0" w:right="0"/>
        <w:jc w:val="left"/>
      </w:pPr>
      <w:r>
        <w:rPr>
          <w:color w:val="000000"/>
          <w:spacing w:val="0"/>
          <w:w w:val="100"/>
          <w:position w:val="0"/>
        </w:rPr>
        <w:t>公司会在今后继续实施积极稳妥地产业链整合和扩张战略。在完成并购企业的过程后，随之而来会出现相应的整合风险, 如不能做到资源与业务的有效整合，将会为公司经营和管理带来风险。公司将通过明确并购的战略目标，细致分析相关标的 公司，建立科学的收购风险管理机制，及时对完成并购的企业进行有效整合，改善其经营管理，以期达到效益最大化，规避 整合风险。</w:t>
      </w:r>
    </w:p>
    <w:p>
      <w:pPr>
        <w:pStyle w:val="Style26"/>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r>
        <w:rPr>
          <w:color w:val="000000"/>
          <w:spacing w:val="0"/>
          <w:w w:val="100"/>
          <w:position w:val="0"/>
          <w:sz w:val="24"/>
          <w:szCs w:val="24"/>
        </w:rPr>
        <w:t>十、接待调研、沟通、采访等活动</w:t>
      </w:r>
      <w:bookmarkEnd w:id="280"/>
      <w:bookmarkEnd w:id="281"/>
      <w:bookmarkEnd w:id="282"/>
    </w:p>
    <w:p>
      <w:pPr>
        <w:pStyle w:val="Style33"/>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、报告期内接待调研、沟通、采访等活动登记表</w:t>
      </w:r>
      <w:bookmarkEnd w:id="283"/>
      <w:bookmarkEnd w:id="284"/>
      <w:bookmarkEnd w:id="286"/>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4"/>
        <w:gridCol w:w="2179"/>
        <w:gridCol w:w="2174"/>
        <w:gridCol w:w="30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"http://irm.cninfo.com.cn/ircs/ssgs/query" </w:instrText>
            </w:r>
            <w:r>
              <w:fldChar w:fldCharType="separate"/>
            </w:r>
            <w:r>
              <w:rPr>
                <w:color w:val="000000"/>
                <w:spacing w:val="0"/>
                <w:w w:val="100"/>
                <w:position w:val="0"/>
              </w:rPr>
              <w:t>http://irm.cninfo.com.cn/ircs/ssgs/query</w:t>
            </w:r>
            <w:r>
              <w:fldChar w:fldCharType="end"/>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CompanyMicroBlogForSzse.do?stockco de=002474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"http://irm.cninfo.com.cn/ircs/ssgs/query" </w:instrText>
            </w:r>
            <w:r>
              <w:fldChar w:fldCharType="separate"/>
            </w:r>
            <w:r>
              <w:rPr>
                <w:color w:val="000000"/>
                <w:spacing w:val="0"/>
                <w:w w:val="100"/>
                <w:position w:val="0"/>
              </w:rPr>
              <w:t>http://irm.cninfo.com.cn/ircs/ssgs/query</w:t>
            </w:r>
            <w:r>
              <w:fldChar w:fldCharType="end"/>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CompanyMicroBlogForSzse.do?stockco de=002474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"http://irm.cninfo.com.cn/ircs/ssgs/query" </w:instrText>
            </w:r>
            <w:r>
              <w:fldChar w:fldCharType="separate"/>
            </w:r>
            <w:r>
              <w:rPr>
                <w:color w:val="000000"/>
                <w:spacing w:val="0"/>
                <w:w w:val="100"/>
                <w:position w:val="0"/>
              </w:rPr>
              <w:t>http://irm.cninfo.com.cn/ircs/ssgs/query</w:t>
            </w:r>
            <w:r>
              <w:fldChar w:fldCharType="end"/>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CompanyMicroBlogForSzse.do?stockco de=002474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"http://irm.cninfo.com.cn/ircs/ssgs/query" </w:instrText>
            </w:r>
            <w:r>
              <w:fldChar w:fldCharType="separate"/>
            </w:r>
            <w:r>
              <w:rPr>
                <w:color w:val="000000"/>
                <w:spacing w:val="0"/>
                <w:w w:val="100"/>
                <w:position w:val="0"/>
              </w:rPr>
              <w:t>http://irm.cninfo.com.cn/ircs/ssgs/query</w:t>
            </w:r>
            <w:r>
              <w:fldChar w:fldCharType="end"/>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CompanyMicroBlogForSzse.do?stockco de=002474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"http://irm.cninfo.com.cn/ircs/ssgs/query" </w:instrText>
            </w:r>
            <w:r>
              <w:fldChar w:fldCharType="separate"/>
            </w:r>
            <w:r>
              <w:rPr>
                <w:color w:val="000000"/>
                <w:spacing w:val="0"/>
                <w:w w:val="100"/>
                <w:position w:val="0"/>
              </w:rPr>
              <w:t>http://irm.cninfo.com.cn/ircs/ssgs/query</w:t>
            </w:r>
            <w:r>
              <w:fldChar w:fldCharType="end"/>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CompanyMicroBlogForSzse.do?stockco de=002474</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"http://irm.cninfo.com.cn/ircs/ssgs/query" </w:instrText>
            </w:r>
            <w:r>
              <w:fldChar w:fldCharType="separate"/>
            </w:r>
            <w:r>
              <w:rPr>
                <w:color w:val="000000"/>
                <w:spacing w:val="0"/>
                <w:w w:val="100"/>
                <w:position w:val="0"/>
              </w:rPr>
              <w:t>http://irm.cninfo.com.cn/ircs/ssgs/query</w:t>
            </w:r>
            <w:r>
              <w:fldChar w:fldCharType="end"/>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CompanyMicroB logF orSzse. do?stockco de=002474</w:t>
            </w:r>
          </w:p>
        </w:tc>
      </w:tr>
    </w:tbl>
    <w:p>
      <w:pPr>
        <w:pStyle w:val="Style18"/>
        <w:keepNext/>
        <w:keepLines/>
        <w:widowControl w:val="0"/>
        <w:shd w:val="clear" w:color="auto" w:fill="auto"/>
        <w:bidi w:val="0"/>
        <w:spacing w:before="0" w:line="240" w:lineRule="auto"/>
        <w:ind w:left="0" w:right="0" w:firstLine="0"/>
        <w:jc w:val="center"/>
      </w:pPr>
      <w:bookmarkStart w:id="287" w:name="bookmark287"/>
      <w:bookmarkStart w:id="288" w:name="bookmark288"/>
      <w:bookmarkStart w:id="289" w:name="bookmark289"/>
      <w:r>
        <w:rPr>
          <w:color w:val="000000"/>
          <w:spacing w:val="0"/>
          <w:w w:val="100"/>
          <w:position w:val="0"/>
        </w:rPr>
        <w:t>第五节重要事项</w:t>
      </w:r>
      <w:bookmarkEnd w:id="287"/>
      <w:bookmarkEnd w:id="288"/>
      <w:bookmarkEnd w:id="289"/>
    </w:p>
    <w:p>
      <w:pPr>
        <w:pStyle w:val="Style26"/>
        <w:keepNext/>
        <w:keepLines/>
        <w:widowControl w:val="0"/>
        <w:shd w:val="clear" w:color="auto" w:fill="auto"/>
        <w:bidi w:val="0"/>
        <w:spacing w:before="0" w:after="260" w:line="240" w:lineRule="auto"/>
        <w:ind w:left="0" w:right="0" w:firstLine="0"/>
        <w:jc w:val="left"/>
      </w:pPr>
      <w:bookmarkStart w:id="290" w:name="bookmark290"/>
      <w:bookmarkStart w:id="291" w:name="bookmark291"/>
      <w:bookmarkStart w:id="292" w:name="bookmark292"/>
      <w:bookmarkStart w:id="293" w:name="bookmark293"/>
      <w:bookmarkStart w:id="294" w:name="bookmark294"/>
      <w:r>
        <w:rPr>
          <w:color w:val="000000"/>
          <w:spacing w:val="0"/>
          <w:w w:val="100"/>
          <w:position w:val="0"/>
          <w:sz w:val="24"/>
          <w:szCs w:val="24"/>
        </w:rPr>
        <w:t>一</w:t>
      </w:r>
      <w:bookmarkEnd w:id="293"/>
      <w:r>
        <w:rPr>
          <w:color w:val="000000"/>
          <w:spacing w:val="0"/>
          <w:w w:val="100"/>
          <w:position w:val="0"/>
          <w:sz w:val="24"/>
          <w:szCs w:val="24"/>
        </w:rPr>
        <w:t>、公司普通股利润分配及资本公积金转增股本情况</w:t>
      </w:r>
      <w:bookmarkEnd w:id="291"/>
      <w:bookmarkEnd w:id="292"/>
      <w:bookmarkEnd w:id="294"/>
      <w:bookmarkEnd w:id="290"/>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tabs>
          <w:tab w:pos="334" w:val="left"/>
        </w:tabs>
        <w:bidi w:val="0"/>
        <w:spacing w:before="0" w:after="0"/>
        <w:ind w:left="0" w:right="0" w:firstLine="0"/>
        <w:jc w:val="left"/>
      </w:pPr>
      <w:bookmarkStart w:id="295" w:name="bookmark295"/>
      <w:r>
        <w:rPr>
          <w:rFonts w:ascii="Times New Roman" w:eastAsia="Times New Roman" w:hAnsi="Times New Roman" w:cs="Times New Roman"/>
          <w:color w:val="000000"/>
          <w:spacing w:val="0"/>
          <w:w w:val="100"/>
          <w:position w:val="0"/>
        </w:rPr>
        <w:t>1</w:t>
      </w:r>
      <w:bookmarkEnd w:id="295"/>
      <w:r>
        <w:rPr>
          <w:color w:val="000000"/>
          <w:spacing w:val="0"/>
          <w:w w:val="100"/>
          <w:position w:val="0"/>
        </w:rPr>
        <w:t>、</w:t>
        <w:tab/>
        <w:t>公司</w:t>
      </w:r>
      <w:r>
        <w:rPr>
          <w:rFonts w:ascii="Times New Roman" w:eastAsia="Times New Roman" w:hAnsi="Times New Roman" w:cs="Times New Roman"/>
          <w:color w:val="000000"/>
          <w:spacing w:val="0"/>
          <w:w w:val="100"/>
          <w:position w:val="0"/>
        </w:rPr>
        <w:t>2014</w:t>
      </w:r>
      <w:r>
        <w:rPr>
          <w:color w:val="000000"/>
          <w:spacing w:val="0"/>
          <w:w w:val="100"/>
          <w:position w:val="0"/>
        </w:rPr>
        <w:t>年度权益分派预案：</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2014</w:t>
      </w:r>
      <w:r>
        <w:rPr>
          <w:color w:val="000000"/>
          <w:spacing w:val="0"/>
          <w:w w:val="100"/>
          <w:position w:val="0"/>
        </w:rPr>
        <w:t>年年末总股本</w:t>
      </w:r>
      <w:r>
        <w:rPr>
          <w:rFonts w:ascii="Times New Roman" w:eastAsia="Times New Roman" w:hAnsi="Times New Roman" w:cs="Times New Roman"/>
          <w:color w:val="000000"/>
          <w:spacing w:val="0"/>
          <w:w w:val="100"/>
          <w:position w:val="0"/>
        </w:rPr>
        <w:t>622,200,000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.15</w:t>
      </w:r>
      <w:r>
        <w:rPr>
          <w:color w:val="000000"/>
          <w:spacing w:val="0"/>
          <w:w w:val="100"/>
          <w:position w:val="0"/>
        </w:rPr>
        <w:t>元（含税），共派发股利</w:t>
      </w:r>
      <w:r>
        <w:rPr>
          <w:rFonts w:ascii="Times New Roman" w:eastAsia="Times New Roman" w:hAnsi="Times New Roman" w:cs="Times New Roman"/>
          <w:color w:val="000000"/>
          <w:spacing w:val="0"/>
          <w:w w:val="100"/>
          <w:position w:val="0"/>
        </w:rPr>
        <w:t>9,333,000</w:t>
      </w:r>
      <w:r>
        <w:rPr>
          <w:color w:val="000000"/>
          <w:spacing w:val="0"/>
          <w:w w:val="100"/>
          <w:position w:val="0"/>
        </w:rPr>
        <w:t>元，剩余未分配 利润</w:t>
      </w:r>
      <w:r>
        <w:rPr>
          <w:rFonts w:ascii="Times New Roman" w:eastAsia="Times New Roman" w:hAnsi="Times New Roman" w:cs="Times New Roman"/>
          <w:color w:val="000000"/>
          <w:spacing w:val="0"/>
          <w:w w:val="100"/>
          <w:position w:val="0"/>
        </w:rPr>
        <w:t>332,538,196.94</w:t>
      </w:r>
      <w:r>
        <w:rPr>
          <w:color w:val="000000"/>
          <w:spacing w:val="0"/>
          <w:w w:val="100"/>
          <w:position w:val="0"/>
        </w:rPr>
        <w:t>元结转下一年度，</w:t>
      </w:r>
      <w:r>
        <w:rPr>
          <w:rFonts w:ascii="Times New Roman" w:eastAsia="Times New Roman" w:hAnsi="Times New Roman" w:cs="Times New Roman"/>
          <w:color w:val="000000"/>
          <w:spacing w:val="0"/>
          <w:w w:val="100"/>
          <w:position w:val="0"/>
        </w:rPr>
        <w:t>2014</w:t>
      </w:r>
      <w:r>
        <w:rPr>
          <w:color w:val="000000"/>
          <w:spacing w:val="0"/>
          <w:w w:val="100"/>
          <w:position w:val="0"/>
        </w:rPr>
        <w:t>年度公司不进行资本公积金转增股本。</w:t>
      </w:r>
    </w:p>
    <w:p>
      <w:pPr>
        <w:pStyle w:val="Style30"/>
        <w:keepNext w:val="0"/>
        <w:keepLines w:val="0"/>
        <w:widowControl w:val="0"/>
        <w:shd w:val="clear" w:color="auto" w:fill="auto"/>
        <w:tabs>
          <w:tab w:pos="354" w:val="left"/>
        </w:tabs>
        <w:bidi w:val="0"/>
        <w:spacing w:before="0" w:after="0"/>
        <w:ind w:left="0" w:right="0" w:firstLine="0"/>
        <w:jc w:val="left"/>
      </w:pPr>
      <w:bookmarkStart w:id="296" w:name="bookmark296"/>
      <w:r>
        <w:rPr>
          <w:rFonts w:ascii="Times New Roman" w:eastAsia="Times New Roman" w:hAnsi="Times New Roman" w:cs="Times New Roman"/>
          <w:color w:val="000000"/>
          <w:spacing w:val="0"/>
          <w:w w:val="100"/>
          <w:position w:val="0"/>
        </w:rPr>
        <w:t>2</w:t>
      </w:r>
      <w:bookmarkEnd w:id="296"/>
      <w:r>
        <w:rPr>
          <w:color w:val="000000"/>
          <w:spacing w:val="0"/>
          <w:w w:val="100"/>
          <w:position w:val="0"/>
        </w:rPr>
        <w:t>、</w:t>
        <w:tab/>
        <w:t>公司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年度权益分派预案：</w:t>
      </w:r>
    </w:p>
    <w:p>
      <w:pPr>
        <w:pStyle w:val="Style30"/>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年度不进行利润分配，也不进行资本公积金转增股本，公司未分配利润结转下一年度。</w:t>
      </w:r>
    </w:p>
    <w:p>
      <w:pPr>
        <w:pStyle w:val="Style30"/>
        <w:keepNext w:val="0"/>
        <w:keepLines w:val="0"/>
        <w:widowControl w:val="0"/>
        <w:shd w:val="clear" w:color="auto" w:fill="auto"/>
        <w:tabs>
          <w:tab w:pos="354" w:val="left"/>
        </w:tabs>
        <w:bidi w:val="0"/>
        <w:spacing w:before="0" w:after="0"/>
        <w:ind w:left="0" w:right="0" w:firstLine="0"/>
        <w:jc w:val="left"/>
      </w:pPr>
      <w:bookmarkStart w:id="297" w:name="bookmark297"/>
      <w:r>
        <w:rPr>
          <w:rFonts w:ascii="Times New Roman" w:eastAsia="Times New Roman" w:hAnsi="Times New Roman" w:cs="Times New Roman"/>
          <w:color w:val="000000"/>
          <w:spacing w:val="0"/>
          <w:w w:val="100"/>
          <w:position w:val="0"/>
        </w:rPr>
        <w:t>3</w:t>
      </w:r>
      <w:bookmarkEnd w:id="297"/>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年度权益分派预案：</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2016</w:t>
      </w:r>
      <w:r>
        <w:rPr>
          <w:color w:val="000000"/>
          <w:spacing w:val="0"/>
          <w:w w:val="100"/>
          <w:position w:val="0"/>
        </w:rPr>
        <w:t>年年末总股本</w:t>
      </w:r>
      <w:r>
        <w:rPr>
          <w:rFonts w:ascii="Times New Roman" w:eastAsia="Times New Roman" w:hAnsi="Times New Roman" w:cs="Times New Roman"/>
          <w:color w:val="000000"/>
          <w:spacing w:val="0"/>
          <w:w w:val="100"/>
          <w:position w:val="0"/>
        </w:rPr>
        <w:t>622,200,000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.10</w:t>
      </w:r>
      <w:r>
        <w:rPr>
          <w:color w:val="000000"/>
          <w:spacing w:val="0"/>
          <w:w w:val="100"/>
          <w:position w:val="0"/>
        </w:rPr>
        <w:t>元（含税），共派发股利</w:t>
      </w:r>
      <w:r>
        <w:rPr>
          <w:rFonts w:ascii="Times New Roman" w:eastAsia="Times New Roman" w:hAnsi="Times New Roman" w:cs="Times New Roman"/>
          <w:color w:val="000000"/>
          <w:spacing w:val="0"/>
          <w:w w:val="100"/>
          <w:position w:val="0"/>
        </w:rPr>
        <w:t>6,222,000</w:t>
      </w:r>
      <w:r>
        <w:rPr>
          <w:color w:val="000000"/>
          <w:spacing w:val="0"/>
          <w:w w:val="100"/>
          <w:position w:val="0"/>
        </w:rPr>
        <w:t>元，剩余未分配 利润</w:t>
      </w:r>
      <w:r>
        <w:rPr>
          <w:rFonts w:ascii="Times New Roman" w:eastAsia="Times New Roman" w:hAnsi="Times New Roman" w:cs="Times New Roman"/>
          <w:color w:val="000000"/>
          <w:spacing w:val="0"/>
          <w:w w:val="100"/>
          <w:position w:val="0"/>
        </w:rPr>
        <w:t>367,591,797.59</w:t>
      </w:r>
      <w:r>
        <w:rPr>
          <w:color w:val="000000"/>
          <w:spacing w:val="0"/>
          <w:w w:val="100"/>
          <w:position w:val="0"/>
        </w:rPr>
        <w:t>元结转下一年度，</w:t>
      </w:r>
      <w:r>
        <w:rPr>
          <w:rFonts w:ascii="Times New Roman" w:eastAsia="Times New Roman" w:hAnsi="Times New Roman" w:cs="Times New Roman"/>
          <w:color w:val="000000"/>
          <w:spacing w:val="0"/>
          <w:w w:val="100"/>
          <w:position w:val="0"/>
        </w:rPr>
        <w:t>2016</w:t>
      </w:r>
      <w:r>
        <w:rPr>
          <w:color w:val="000000"/>
          <w:spacing w:val="0"/>
          <w:w w:val="100"/>
          <w:position w:val="0"/>
        </w:rPr>
        <w:t>年度公司不进行资本公积金转增股本。</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89"/>
        <w:gridCol w:w="1589"/>
        <w:gridCol w:w="1598"/>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6,222,000.00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24,845,319.23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15,830,627.57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9,333,000.00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22,250,622.89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二</w:t>
      </w:r>
      <w:bookmarkEnd w:id="300"/>
      <w:r>
        <w:rPr>
          <w:color w:val="000000"/>
          <w:spacing w:val="0"/>
          <w:w w:val="100"/>
          <w:position w:val="0"/>
          <w:sz w:val="24"/>
          <w:szCs w:val="24"/>
        </w:rPr>
        <w:t>、本报告期利润分配及资本公积金转增股本预案</w:t>
      </w:r>
      <w:bookmarkEnd w:id="298"/>
      <w:bookmarkEnd w:id="299"/>
      <w:bookmarkEnd w:id="30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373,813,797.59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bl>
    <w:p>
      <w:pPr>
        <w:spacing w:lineRule="exact" w:line="1"/>
        <w:rPr>
          <w:sz w:val="2"/>
          <w:szCs w:val="2"/>
        </w:rPr>
      </w:pPr>
      <w:r>
        <w:br w:type="page"/>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left"/>
      </w:pPr>
      <w:r>
        <w:rPr>
          <w:color w:val="000000"/>
          <w:spacing w:val="0"/>
          <w:w w:val="100"/>
          <w:position w:val="0"/>
        </w:rPr>
        <w:t>其他</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利润分配或资本公积金转增预案的详细情况说明</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7"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日召开的第四届董事会第三次会议审议通过</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年年末总股本 </w:t>
      </w:r>
      <w:r>
        <w:rPr>
          <w:rFonts w:ascii="Times New Roman" w:eastAsia="Times New Roman" w:hAnsi="Times New Roman" w:cs="Times New Roman"/>
          <w:color w:val="000000"/>
          <w:spacing w:val="0"/>
          <w:w w:val="100"/>
          <w:position w:val="0"/>
        </w:rPr>
        <w:t>622,200,000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0.10</w:t>
      </w:r>
      <w:r>
        <w:rPr>
          <w:color w:val="000000"/>
          <w:spacing w:val="0"/>
          <w:w w:val="100"/>
          <w:position w:val="0"/>
        </w:rPr>
        <w:t>元（含税），共派发现金股利</w:t>
      </w:r>
      <w:r>
        <w:rPr>
          <w:rFonts w:ascii="Times New Roman" w:eastAsia="Times New Roman" w:hAnsi="Times New Roman" w:cs="Times New Roman"/>
          <w:color w:val="000000"/>
          <w:spacing w:val="0"/>
          <w:w w:val="100"/>
          <w:position w:val="0"/>
        </w:rPr>
        <w:t>6,222,000.00</w:t>
      </w:r>
      <w:r>
        <w:rPr>
          <w:color w:val="000000"/>
          <w:spacing w:val="0"/>
          <w:w w:val="100"/>
          <w:position w:val="0"/>
        </w:rPr>
        <w:t>元。</w:t>
      </w:r>
    </w:p>
    <w:p>
      <w:pPr>
        <w:pStyle w:val="Style26"/>
        <w:keepNext/>
        <w:keepLines/>
        <w:widowControl w:val="0"/>
        <w:shd w:val="clear" w:color="auto" w:fill="auto"/>
        <w:bidi w:val="0"/>
        <w:spacing w:before="0" w:after="2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三</w:t>
      </w:r>
      <w:bookmarkEnd w:id="304"/>
      <w:r>
        <w:rPr>
          <w:color w:val="000000"/>
          <w:spacing w:val="0"/>
          <w:w w:val="100"/>
          <w:position w:val="0"/>
          <w:sz w:val="24"/>
          <w:szCs w:val="24"/>
        </w:rPr>
        <w:t>、承诺事项履行情况</w:t>
      </w:r>
      <w:bookmarkEnd w:id="302"/>
      <w:bookmarkEnd w:id="303"/>
      <w:bookmarkEnd w:id="305"/>
    </w:p>
    <w:p>
      <w:pPr>
        <w:pStyle w:val="Style33"/>
        <w:keepNext/>
        <w:keepLines/>
        <w:widowControl w:val="0"/>
        <w:shd w:val="clear" w:color="auto" w:fill="auto"/>
        <w:bidi w:val="0"/>
        <w:spacing w:before="0" w:line="317" w:lineRule="exact"/>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、公司实际控制人、股东、关联方、收购人以及公司等承诺相关方在报告期内履行完毕及截至报告期末 尚未履行完毕的承诺事项</w:t>
      </w:r>
      <w:bookmarkEnd w:id="306"/>
      <w:bookmarkEnd w:id="307"/>
      <w:bookmarkEnd w:id="30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8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在本公司任 董事、高级管 理人员的股 东鲁峰、侯伟 承诺：在其任 职期间每年 转让的股份 不得超过其 所持有本公 司股份总数 的</w:t>
            </w:r>
            <w:r>
              <w:rPr>
                <w:color w:val="000000"/>
                <w:spacing w:val="0"/>
                <w:w w:val="100"/>
                <w:position w:val="0"/>
              </w:rPr>
              <w:t>25%</w:t>
            </w:r>
            <w:r>
              <w:rPr>
                <w:rFonts w:ascii="SimSun" w:eastAsia="SimSun" w:hAnsi="SimSun" w:cs="SimSun"/>
                <w:color w:val="000000"/>
                <w:spacing w:val="0"/>
                <w:w w:val="100"/>
                <w:position w:val="0"/>
              </w:rPr>
              <w:t>；离职 后半年内，不 转让其所持 有的本公司 股份；申报离 职</w:t>
            </w:r>
            <w:r>
              <w:rPr>
                <w:color w:val="000000"/>
                <w:spacing w:val="0"/>
                <w:w w:val="100"/>
                <w:position w:val="0"/>
              </w:rPr>
              <w:t>6</w:t>
            </w:r>
            <w:r>
              <w:rPr>
                <w:rFonts w:ascii="SimSun" w:eastAsia="SimSun" w:hAnsi="SimSun" w:cs="SimSun"/>
                <w:color w:val="000000"/>
                <w:spacing w:val="0"/>
                <w:w w:val="100"/>
                <w:position w:val="0"/>
              </w:rPr>
              <w:t xml:space="preserve">个月后的 </w:t>
            </w:r>
            <w:r>
              <w:rPr>
                <w:color w:val="000000"/>
                <w:spacing w:val="0"/>
                <w:w w:val="100"/>
                <w:position w:val="0"/>
              </w:rPr>
              <w:t>12</w:t>
            </w:r>
            <w:r>
              <w:rPr>
                <w:rFonts w:ascii="SimSun" w:eastAsia="SimSun" w:hAnsi="SimSun" w:cs="SimSun"/>
                <w:color w:val="000000"/>
                <w:spacing w:val="0"/>
                <w:w w:val="100"/>
                <w:position w:val="0"/>
              </w:rPr>
              <w:t>个月内通 过证券交易 所挂牌交易 出售的发行 人股票数量 占其所持有 发行人股票 总数的比例 不超过</w:t>
            </w:r>
            <w:r>
              <w:rPr>
                <w:color w:val="000000"/>
                <w:spacing w:val="0"/>
                <w:w w:val="100"/>
                <w:position w:val="0"/>
              </w:rPr>
              <w:t>50%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在职期间以 及申报离职</w:t>
            </w:r>
            <w:r>
              <w:rPr>
                <w:color w:val="000000"/>
                <w:spacing w:val="0"/>
                <w:w w:val="100"/>
                <w:position w:val="0"/>
              </w:rPr>
              <w:t xml:space="preserve">6 </w:t>
            </w:r>
            <w:r>
              <w:rPr>
                <w:rFonts w:ascii="SimSun" w:eastAsia="SimSun" w:hAnsi="SimSun" w:cs="SimSun"/>
                <w:color w:val="000000"/>
                <w:spacing w:val="0"/>
                <w:w w:val="100"/>
                <w:position w:val="0"/>
              </w:rPr>
              <w:t>个月后的</w:t>
            </w:r>
            <w:r>
              <w:rPr>
                <w:color w:val="000000"/>
                <w:spacing w:val="0"/>
                <w:w w:val="100"/>
                <w:position w:val="0"/>
              </w:rPr>
              <w:t xml:space="preserve">12 </w:t>
            </w:r>
            <w:r>
              <w:rPr>
                <w:rFonts w:ascii="SimSun" w:eastAsia="SimSun" w:hAnsi="SimSun" w:cs="SimSun"/>
                <w:color w:val="000000"/>
                <w:spacing w:val="0"/>
                <w:w w:val="100"/>
                <w:position w:val="0"/>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在承诺期限 内，按承诺持 续履行中</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鲁峰、侯伟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关于同业竞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为了避免将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在承诺期限</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4"/>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来发生同业 竞争，公司控 股股东鲁峰 和股东侯伟 出具了《放弃 竞争与利益 冲突承诺 函》，承诺不 生产、开发任 何与股份公 司及其下属 子公司生产 的产品构成 竞争或可能 构成竞争的 产品，不直接 或间接经营 任何与股份 公司及其下 属子公司经 营的业务构 成竞争或可 能构成竞争 的业务，也不 参与投资任 何与股份公 司及其下属 子公司生产 的产品或经 营的业务构 成竞争或可 能构成竞争 的其他企业； 从第三方获 得的商业机 会如果属于 股份公司主 营业务范围 之内的，将尽 可能地协助 股份公司取 得该等商业 机会。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内，按承诺持 续履行中</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公司属于高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在承诺期限</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4"/>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新技术企业， 行业内技术 人员流动性 较大，为了保 护公司的知 识产权和保 持核心人员 的稳定，公司 已与高级管 理人员和核 心技术人员 签订劳动合 同，上述人员 同时对公司 出具了《保密 义务、技术成 果归属承诺 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内，按承诺持 续履行中</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募集资金使 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公司所有募 集资金将存 放于专户管 理，并用于公 司新一代电 子政务应用 平台、信息安 全风险综合 管理系统、质 检三电工程 企业端软件 运维服务平 台、协同管理 软件平台、技 术研发与创 新中心等主 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在承诺期限 内，按承诺持 续履行中</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公司章程第 一百六十五 条规定：（一） 公司董事会 负责制定公 司的股利分 配预案，股东 大会负责审 批。在公司当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在承诺期限 内，按承诺持 续履行中</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年度盈利且 提取法定公 积金及弥补 以前年度亏 损后仍有剩 余时，董事会 应当作出现 金分红预案。 公司董事会 未做出现金 利润分配预 案的，应当在 定期报告中 披露原因，公 司独立董事 应当对此发 表独立意见。</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（二）公司每 年以现金方 式分配的利 润应当不少 于当年可分 配利润的 </w:t>
            </w:r>
            <w:r>
              <w:rPr>
                <w:color w:val="000000"/>
                <w:spacing w:val="0"/>
                <w:w w:val="100"/>
                <w:position w:val="0"/>
              </w:rPr>
              <w:t xml:space="preserve">10% </w:t>
            </w:r>
            <w:r>
              <w:rPr>
                <w:rFonts w:ascii="SimSun" w:eastAsia="SimSun" w:hAnsi="SimSun" w:cs="SimSun"/>
                <w:color w:val="000000"/>
                <w:spacing w:val="0"/>
                <w:w w:val="100"/>
                <w:position w:val="0"/>
              </w:rPr>
              <w:t>；公司上 市后连续三 年以现金方 式累计分配 的利润应不 少于该连续 三年实现的 年均可分配 利润的</w:t>
            </w:r>
            <w:r>
              <w:rPr>
                <w:color w:val="000000"/>
                <w:spacing w:val="0"/>
                <w:w w:val="100"/>
                <w:position w:val="0"/>
              </w:rPr>
              <w:t>30%</w:t>
            </w:r>
            <w:r>
              <w:rPr>
                <w:rFonts w:ascii="SimSun" w:eastAsia="SimSun" w:hAnsi="SimSun" w:cs="SimSun"/>
                <w:color w:val="000000"/>
                <w:spacing w:val="0"/>
                <w:w w:val="100"/>
                <w:position w:val="0"/>
              </w:rPr>
              <w:t>； 在进行现金 分配的同时， 公司可以进 行股票股利 的分配。（三） 公司的利润 分配应重视 对投资者的 合理投资回 报；在有条件 的情况下，公 司可以进行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中期分配。</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（四）存在股 东违规占用 公司资金情 况的，公司应 当扣减该股 东所分配的 现金红利，以 偿还其占用 的资金。（五） 公司根据生 产经营情况、 投资规划和 长期发展的 需要，确需调 整利润分配 政策的，调整 后的利润分 配政策不得 违反中国证 监会和证券 交易所的有 关规定。在对 有关调整利 润分配政策 的议案进行 表决时，由全 体独立董事 同意及监事 会审议并经 公司董事会 审议后方可 提交公司股 东大会审议， 公司控股股 东应回避表 决，公司可以 采取提供网 络投票等方 式以方便股 东参与股东 大会表决。</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（六）公司应 以每三年为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8"/>
        <w:gridCol w:w="1128"/>
        <w:gridCol w:w="1128"/>
        <w:gridCol w:w="1123"/>
        <w:gridCol w:w="1123"/>
        <w:gridCol w:w="111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一个周期，制 订周期内股 东分红回报 规划。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股份减持承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公司实际控 制人鲁峰先 生承诺，连续 六个月内通 过证券交易 系统出售的 股份低于公 司股份总数 的</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已履行完毕。</w:t>
            </w:r>
          </w:p>
        </w:tc>
      </w:tr>
      <w:tr>
        <w:trPr>
          <w:trHeight w:val="320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公司部分董 事、高级管理 人员和核心 骨干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在法定期限 内不减持其 所持有的本 公司股份；严 格遵守有关 规定，不进行 内幕交易及 敏感期买卖 股份、短线交 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在承诺期限 内，按承诺持 续履行中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39" w:line="1" w:lineRule="exact"/>
      </w:pPr>
    </w:p>
    <w:p>
      <w:pPr>
        <w:pStyle w:val="Style33"/>
        <w:keepNext/>
        <w:keepLines/>
        <w:widowControl w:val="0"/>
        <w:shd w:val="clear" w:color="auto" w:fill="auto"/>
        <w:bidi w:val="0"/>
        <w:spacing w:before="0" w:after="360" w:line="322"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、公司资产或项目存在盈利预测，且报告期仍处在盈利预测期间，公司就资产或项目达到原盈利预测及 其原因做出说明</w:t>
      </w:r>
      <w:bookmarkEnd w:id="310"/>
      <w:bookmarkEnd w:id="311"/>
      <w:bookmarkEnd w:id="31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02" w:val="left"/>
        </w:tabs>
        <w:bidi w:val="0"/>
        <w:spacing w:before="0" w:after="36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四</w:t>
      </w:r>
      <w:bookmarkEnd w:id="316"/>
      <w:r>
        <w:rPr>
          <w:color w:val="000000"/>
          <w:spacing w:val="0"/>
          <w:w w:val="100"/>
          <w:position w:val="0"/>
          <w:sz w:val="24"/>
          <w:szCs w:val="24"/>
        </w:rPr>
        <w:t>、</w:t>
        <w:tab/>
        <w:t>控股股东及其关联方对上市公司的非经营性占用资金情况</w:t>
      </w:r>
      <w:bookmarkEnd w:id="314"/>
      <w:bookmarkEnd w:id="315"/>
      <w:bookmarkEnd w:id="317"/>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after="36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五</w:t>
      </w:r>
      <w:bookmarkEnd w:id="32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8"/>
      <w:bookmarkEnd w:id="319"/>
      <w:bookmarkEnd w:id="32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六</w:t>
      </w:r>
      <w:bookmarkEnd w:id="324"/>
      <w:r>
        <w:rPr>
          <w:color w:val="000000"/>
          <w:spacing w:val="0"/>
          <w:w w:val="100"/>
          <w:position w:val="0"/>
          <w:sz w:val="24"/>
          <w:szCs w:val="24"/>
        </w:rPr>
        <w:t>、与上年度财务报告相比，会计政策、会计估计和核算方法发生变化的情况说明</w:t>
      </w:r>
      <w:bookmarkEnd w:id="322"/>
      <w:bookmarkEnd w:id="323"/>
      <w:bookmarkEnd w:id="325"/>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400" w:right="0" w:firstLine="0"/>
        <w:jc w:val="left"/>
      </w:pPr>
      <w:r>
        <w:rPr>
          <w:color w:val="000000"/>
          <w:spacing w:val="0"/>
          <w:w w:val="100"/>
          <w:position w:val="0"/>
        </w:rPr>
        <w:t>单位：元</w:t>
      </w:r>
    </w:p>
    <w:tbl>
      <w:tblPr>
        <w:tblOverlap w:val="never"/>
        <w:jc w:val="center"/>
        <w:tblLayout w:type="fixed"/>
      </w:tblPr>
      <w:tblGrid>
        <w:gridCol w:w="5861"/>
        <w:gridCol w:w="2083"/>
        <w:gridCol w:w="1565"/>
      </w:tblGrid>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会计政策变更的内容和原因</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受影响的报表项目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影响金额</w:t>
            </w:r>
          </w:p>
        </w:tc>
      </w:tr>
      <w:tr>
        <w:trPr>
          <w:trHeight w:val="50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根据《增值税会计处理规定》（财会〔</w:t>
            </w:r>
            <w:r>
              <w:rPr>
                <w:color w:val="000000"/>
                <w:spacing w:val="0"/>
                <w:w w:val="100"/>
                <w:position w:val="0"/>
              </w:rPr>
              <w:t>2016</w:t>
            </w:r>
            <w:r>
              <w:rPr>
                <w:rFonts w:ascii="SimSun" w:eastAsia="SimSun" w:hAnsi="SimSun" w:cs="SimSun"/>
                <w:color w:val="000000"/>
                <w:spacing w:val="0"/>
                <w:w w:val="100"/>
                <w:position w:val="0"/>
              </w:rPr>
              <w:t xml:space="preserve">〕 </w:t>
            </w:r>
            <w:r>
              <w:rPr>
                <w:color w:val="000000"/>
                <w:spacing w:val="0"/>
                <w:w w:val="100"/>
                <w:position w:val="0"/>
              </w:rPr>
              <w:t>22</w:t>
            </w:r>
            <w:r>
              <w:rPr>
                <w:rFonts w:ascii="SimSun" w:eastAsia="SimSun" w:hAnsi="SimSun" w:cs="SimSun"/>
                <w:color w:val="000000"/>
                <w:spacing w:val="0"/>
                <w:w w:val="100"/>
                <w:position w:val="0"/>
              </w:rPr>
              <w:t>号）的规定，利润表中的</w:t>
            </w:r>
            <w:r>
              <w:rPr>
                <w:color w:val="000000"/>
                <w:spacing w:val="0"/>
                <w:w w:val="100"/>
                <w:position w:val="0"/>
              </w:rPr>
              <w:t>“</w:t>
            </w:r>
            <w:r>
              <w:rPr>
                <w:rFonts w:ascii="SimSun" w:eastAsia="SimSun" w:hAnsi="SimSun" w:cs="SimSun"/>
                <w:color w:val="000000"/>
                <w:spacing w:val="0"/>
                <w:w w:val="100"/>
                <w:position w:val="0"/>
              </w:rPr>
              <w:t>营 业税金及附加</w:t>
            </w:r>
            <w:r>
              <w:rPr>
                <w:color w:val="000000"/>
                <w:spacing w:val="0"/>
                <w:w w:val="100"/>
                <w:position w:val="0"/>
              </w:rPr>
              <w:t>”</w:t>
            </w:r>
            <w:r>
              <w:rPr>
                <w:rFonts w:ascii="SimSun" w:eastAsia="SimSun" w:hAnsi="SimSun" w:cs="SimSun"/>
                <w:color w:val="000000"/>
                <w:spacing w:val="0"/>
                <w:w w:val="100"/>
                <w:position w:val="0"/>
              </w:rPr>
              <w:t>项目调整为</w:t>
            </w:r>
            <w:r>
              <w:rPr>
                <w:color w:val="000000"/>
                <w:spacing w:val="0"/>
                <w:w w:val="100"/>
                <w:position w:val="0"/>
              </w:rPr>
              <w:t>“</w:t>
            </w:r>
            <w:r>
              <w:rPr>
                <w:rFonts w:ascii="SimSun" w:eastAsia="SimSun" w:hAnsi="SimSun" w:cs="SimSun"/>
                <w:color w:val="000000"/>
                <w:spacing w:val="0"/>
                <w:w w:val="100"/>
                <w:position w:val="0"/>
              </w:rPr>
              <w:t>税金及附加</w:t>
            </w:r>
            <w:r>
              <w:rPr>
                <w:color w:val="000000"/>
                <w:spacing w:val="0"/>
                <w:w w:val="100"/>
                <w:position w:val="0"/>
              </w:rPr>
              <w:t>”</w:t>
            </w:r>
            <w:r>
              <w:rPr>
                <w:rFonts w:ascii="SimSun" w:eastAsia="SimSun" w:hAnsi="SimSun" w:cs="SimSun"/>
                <w:color w:val="000000"/>
                <w:spacing w:val="0"/>
                <w:w w:val="100"/>
                <w:position w:val="0"/>
              </w:rPr>
              <w:t>项目，房产税、土地使用税、车船 使用税、印花税等原计入管理费用的相关税费，自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日起调整计 入</w:t>
            </w:r>
            <w:r>
              <w:rPr>
                <w:color w:val="000000"/>
                <w:spacing w:val="0"/>
                <w:w w:val="100"/>
                <w:position w:val="0"/>
              </w:rPr>
              <w:t>“</w:t>
            </w:r>
            <w:r>
              <w:rPr>
                <w:rFonts w:ascii="SimSun" w:eastAsia="SimSun" w:hAnsi="SimSun" w:cs="SimSun"/>
                <w:color w:val="000000"/>
                <w:spacing w:val="0"/>
                <w:w w:val="100"/>
                <w:position w:val="0"/>
              </w:rPr>
              <w:t>税金及附加</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3,404,503.85</w:t>
            </w:r>
          </w:p>
        </w:tc>
      </w:tr>
      <w:tr>
        <w:trPr>
          <w:trHeight w:val="78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、管理费用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-3,404,503.85</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七</w:t>
      </w:r>
      <w:bookmarkEnd w:id="328"/>
      <w:r>
        <w:rPr>
          <w:color w:val="000000"/>
          <w:spacing w:val="0"/>
          <w:w w:val="100"/>
          <w:position w:val="0"/>
          <w:sz w:val="24"/>
          <w:szCs w:val="24"/>
        </w:rPr>
        <w:t>、报告期内发生重大会计差错更正需追溯重述的情况说明</w:t>
      </w:r>
      <w:bookmarkEnd w:id="326"/>
      <w:bookmarkEnd w:id="327"/>
      <w:bookmarkEnd w:id="329"/>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22" w:val="left"/>
        </w:tabs>
        <w:bidi w:val="0"/>
        <w:spacing w:before="0" w:after="3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八</w:t>
      </w:r>
      <w:bookmarkEnd w:id="332"/>
      <w:r>
        <w:rPr>
          <w:color w:val="000000"/>
          <w:spacing w:val="0"/>
          <w:w w:val="100"/>
          <w:position w:val="0"/>
          <w:sz w:val="24"/>
          <w:szCs w:val="24"/>
        </w:rPr>
        <w:t>、</w:t>
        <w:tab/>
        <w:t>与上年度财务报告相比，合并报表范围发生变化的情况说明</w:t>
      </w:r>
      <w:bookmarkEnd w:id="330"/>
      <w:bookmarkEnd w:id="331"/>
      <w:bookmarkEnd w:id="333"/>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6"/>
        <w:keepNext/>
        <w:keepLines/>
        <w:widowControl w:val="0"/>
        <w:shd w:val="clear" w:color="auto" w:fill="auto"/>
        <w:tabs>
          <w:tab w:pos="522" w:val="left"/>
        </w:tabs>
        <w:bidi w:val="0"/>
        <w:spacing w:before="0" w:after="36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九</w:t>
      </w:r>
      <w:bookmarkEnd w:id="336"/>
      <w:r>
        <w:rPr>
          <w:color w:val="000000"/>
          <w:spacing w:val="0"/>
          <w:w w:val="100"/>
          <w:position w:val="0"/>
          <w:sz w:val="24"/>
          <w:szCs w:val="24"/>
        </w:rPr>
        <w:t>、</w:t>
        <w:tab/>
        <w:t>聘任、解聘会计师事务所情况</w:t>
      </w:r>
      <w:bookmarkEnd w:id="334"/>
      <w:bookmarkEnd w:id="335"/>
      <w:bookmarkEnd w:id="33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林庆瑜、杨莹</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十、年度报告披露后面临暂停上市和终止上市情况</w:t>
      </w:r>
      <w:bookmarkEnd w:id="338"/>
      <w:bookmarkEnd w:id="339"/>
      <w:bookmarkEnd w:id="34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十^一、破产重整相关事项</w:t>
      </w:r>
      <w:bookmarkEnd w:id="341"/>
      <w:bookmarkEnd w:id="342"/>
      <w:bookmarkEnd w:id="343"/>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十二、重大诉讼、仲裁事项</w:t>
      </w:r>
      <w:bookmarkEnd w:id="344"/>
      <w:bookmarkEnd w:id="345"/>
      <w:bookmarkEnd w:id="346"/>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36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十三、处罚及整改情况</w:t>
      </w:r>
      <w:bookmarkEnd w:id="347"/>
      <w:bookmarkEnd w:id="348"/>
      <w:bookmarkEnd w:id="349"/>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十四、公司及其控股股东、实际控制人的诚信状况</w:t>
      </w:r>
      <w:bookmarkEnd w:id="350"/>
      <w:bookmarkEnd w:id="351"/>
      <w:bookmarkEnd w:id="35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十五、公司股权激励计划、员工持股计划或其他员工激励措施的实施情况</w:t>
      </w:r>
      <w:bookmarkEnd w:id="353"/>
      <w:bookmarkEnd w:id="354"/>
      <w:bookmarkEnd w:id="355"/>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4"/>
        <w:keepNext w:val="0"/>
        <w:keepLines w:val="0"/>
        <w:widowControl w:val="0"/>
        <w:shd w:val="clear" w:color="auto" w:fill="auto"/>
        <w:bidi w:val="0"/>
        <w:spacing w:before="0"/>
        <w:ind w:left="0" w:right="0" w:firstLine="0"/>
        <w:jc w:val="left"/>
      </w:pPr>
      <w:r>
        <w:rPr>
          <w:color w:val="000000"/>
          <w:spacing w:val="0"/>
          <w:w w:val="100"/>
          <w:position w:val="0"/>
        </w:rPr>
        <w:t>公司于</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10</w:t>
      </w:r>
      <w:r>
        <w:rPr>
          <w:color w:val="000000"/>
          <w:spacing w:val="0"/>
          <w:w w:val="100"/>
          <w:position w:val="0"/>
        </w:rPr>
        <w:t>日公告《公司关于筹划员工持股计划的提示性公告》，并于</w:t>
      </w:r>
      <w:r>
        <w:rPr>
          <w:b/>
          <w:bCs/>
          <w:color w:val="000000"/>
          <w:spacing w:val="0"/>
          <w:w w:val="100"/>
          <w:position w:val="0"/>
        </w:rPr>
        <w:t>2017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24</w:t>
      </w:r>
      <w:r>
        <w:rPr>
          <w:color w:val="000000"/>
          <w:spacing w:val="0"/>
          <w:w w:val="100"/>
          <w:position w:val="0"/>
        </w:rPr>
        <w:t>日公告《公司第一 员工持股计划（草案）》、《公司第一员工持股计划（草案）摘要》，并由公司第四届董事会第二次会议及公 司</w:t>
      </w:r>
      <w:r>
        <w:rPr>
          <w:b/>
          <w:bCs/>
          <w:color w:val="000000"/>
          <w:spacing w:val="0"/>
          <w:w w:val="100"/>
          <w:position w:val="0"/>
        </w:rPr>
        <w:t>2017</w:t>
      </w:r>
      <w:r>
        <w:rPr>
          <w:color w:val="000000"/>
          <w:spacing w:val="0"/>
          <w:w w:val="100"/>
          <w:position w:val="0"/>
        </w:rPr>
        <w:t>年第一次临时股份大会审议通过。具体情况详见公司指定信息披露网站巨潮资讯网（</w:t>
      </w:r>
      <w:r>
        <w:rPr>
          <w:b/>
          <w:bCs/>
          <w:color w:val="000000"/>
          <w:spacing w:val="0"/>
          <w:w w:val="100"/>
          <w:position w:val="0"/>
        </w:rPr>
        <w:t>www.cninfo.com.cn</w:t>
      </w:r>
      <w:r>
        <w:rPr>
          <w:color w:val="000000"/>
          <w:spacing w:val="0"/>
          <w:w w:val="100"/>
          <w:position w:val="0"/>
        </w:rPr>
        <w:t>）</w:t>
      </w:r>
      <w:r>
        <w:rPr>
          <w:color w:val="000000"/>
          <w:spacing w:val="0"/>
          <w:w w:val="100"/>
          <w:position w:val="0"/>
        </w:rPr>
        <w:t>。</w:t>
      </w:r>
    </w:p>
    <w:p>
      <w:pPr>
        <w:pStyle w:val="Style26"/>
        <w:keepNext/>
        <w:keepLines/>
        <w:widowControl w:val="0"/>
        <w:shd w:val="clear" w:color="auto" w:fill="auto"/>
        <w:bidi w:val="0"/>
        <w:spacing w:before="0" w:after="30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十六、重大关联交易</w:t>
      </w:r>
      <w:bookmarkEnd w:id="356"/>
      <w:bookmarkEnd w:id="357"/>
      <w:bookmarkEnd w:id="358"/>
    </w:p>
    <w:p>
      <w:pPr>
        <w:pStyle w:val="Style33"/>
        <w:keepNext/>
        <w:keepLines/>
        <w:widowControl w:val="0"/>
        <w:shd w:val="clear" w:color="auto" w:fill="auto"/>
        <w:tabs>
          <w:tab w:pos="368" w:val="left"/>
        </w:tabs>
        <w:bidi w:val="0"/>
        <w:spacing w:before="0" w:after="360" w:line="307" w:lineRule="exact"/>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w:t>
        <w:tab/>
        <w:t>与日常经营相关的关联交易</w:t>
      </w:r>
      <w:bookmarkEnd w:id="359"/>
      <w:bookmarkEnd w:id="360"/>
      <w:bookmarkEnd w:id="362"/>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360" w:line="307" w:lineRule="exact"/>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w:t>
        <w:tab/>
        <w:t>资产或股权收购、出售发生的关联交易</w:t>
      </w:r>
      <w:bookmarkEnd w:id="363"/>
      <w:bookmarkEnd w:id="364"/>
      <w:bookmarkEnd w:id="366"/>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360" w:line="307" w:lineRule="exact"/>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w:t>
        <w:tab/>
        <w:t>共同对外投资的关联交易</w:t>
      </w:r>
      <w:bookmarkEnd w:id="367"/>
      <w:bookmarkEnd w:id="368"/>
      <w:bookmarkEnd w:id="370"/>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00" w:line="322"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4</w:t>
      </w:r>
      <w:bookmarkEnd w:id="373"/>
      <w:r>
        <w:rPr>
          <w:color w:val="000000"/>
          <w:spacing w:val="0"/>
          <w:w w:val="100"/>
          <w:position w:val="0"/>
        </w:rPr>
        <w:t>、</w:t>
        <w:tab/>
        <w:t>关联债权债务往来</w:t>
      </w:r>
      <w:bookmarkEnd w:id="371"/>
      <w:bookmarkEnd w:id="372"/>
      <w:bookmarkEnd w:id="374"/>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公司报告期不存在非经营性关联债权债务往来。</w:t>
      </w:r>
    </w:p>
    <w:p>
      <w:pPr>
        <w:pStyle w:val="Style33"/>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5</w:t>
      </w:r>
      <w:bookmarkEnd w:id="377"/>
      <w:r>
        <w:rPr>
          <w:color w:val="000000"/>
          <w:spacing w:val="0"/>
          <w:w w:val="100"/>
          <w:position w:val="0"/>
        </w:rPr>
        <w:t>、其他重大关联交易</w:t>
      </w:r>
      <w:bookmarkEnd w:id="375"/>
      <w:bookmarkEnd w:id="376"/>
      <w:bookmarkEnd w:id="37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十七、重大合同及其履行情况</w:t>
      </w:r>
      <w:bookmarkEnd w:id="379"/>
      <w:bookmarkEnd w:id="380"/>
      <w:bookmarkEnd w:id="381"/>
    </w:p>
    <w:p>
      <w:pPr>
        <w:pStyle w:val="Style33"/>
        <w:keepNext/>
        <w:keepLines/>
        <w:widowControl w:val="0"/>
        <w:shd w:val="clear" w:color="auto" w:fill="auto"/>
        <w:tabs>
          <w:tab w:pos="368" w:val="left"/>
        </w:tabs>
        <w:bidi w:val="0"/>
        <w:spacing w:before="0" w:after="3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w:t>
        <w:tab/>
        <w:t>托管、承包、租赁事项情况</w:t>
      </w:r>
      <w:bookmarkEnd w:id="382"/>
      <w:bookmarkEnd w:id="383"/>
      <w:bookmarkEnd w:id="385"/>
    </w:p>
    <w:p>
      <w:pPr>
        <w:pStyle w:val="Style44"/>
        <w:keepNext/>
        <w:keepLines/>
        <w:widowControl w:val="0"/>
        <w:shd w:val="clear" w:color="auto" w:fill="auto"/>
        <w:tabs>
          <w:tab w:pos="488" w:val="left"/>
        </w:tabs>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6"/>
      <w:bookmarkEnd w:id="387"/>
      <w:bookmarkEnd w:id="389"/>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4"/>
        <w:keepNext/>
        <w:keepLines/>
        <w:widowControl w:val="0"/>
        <w:shd w:val="clear" w:color="auto" w:fill="auto"/>
        <w:tabs>
          <w:tab w:pos="488"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0"/>
      <w:bookmarkEnd w:id="391"/>
      <w:bookmarkEnd w:id="393"/>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4"/>
        <w:keepNext/>
        <w:keepLines/>
        <w:widowControl w:val="0"/>
        <w:shd w:val="clear" w:color="auto" w:fill="auto"/>
        <w:tabs>
          <w:tab w:pos="488" w:val="left"/>
        </w:tabs>
        <w:bidi w:val="0"/>
        <w:spacing w:before="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4"/>
      <w:bookmarkEnd w:id="395"/>
      <w:bookmarkEnd w:id="397"/>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after="3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重大担保</w:t>
      </w:r>
      <w:bookmarkEnd w:id="398"/>
      <w:bookmarkEnd w:id="399"/>
      <w:bookmarkEnd w:id="401"/>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3"/>
        <w:keepNext/>
        <w:keepLines/>
        <w:widowControl w:val="0"/>
        <w:shd w:val="clear" w:color="auto" w:fill="auto"/>
        <w:tabs>
          <w:tab w:pos="378" w:val="left"/>
        </w:tabs>
        <w:bidi w:val="0"/>
        <w:spacing w:before="0" w:after="36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委托他人进行现金资产管理情况</w:t>
      </w:r>
      <w:bookmarkEnd w:id="402"/>
      <w:bookmarkEnd w:id="403"/>
      <w:bookmarkEnd w:id="405"/>
    </w:p>
    <w:p>
      <w:pPr>
        <w:pStyle w:val="Style44"/>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6"/>
      <w:bookmarkEnd w:id="407"/>
      <w:bookmarkEnd w:id="409"/>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计提减值 准备金额</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 损益实 际收回 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厦门国际 银行福州 鼓楼支行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63.64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厦门国际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5.33</w:t>
            </w:r>
          </w:p>
        </w:tc>
      </w:tr>
    </w:tbl>
    <w:p>
      <w:pPr>
        <w:widowControl w:val="0"/>
        <w:spacing w:line="1" w:lineRule="exact"/>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鼓楼支行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银行福州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61.09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61.09</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鼓楼支行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银行福州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6.15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6.15</w:t>
            </w: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鼓楼支行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银行福州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8.94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8.94</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鼓楼支行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银行福州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6.83</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鼓楼支行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福州冶山</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浮动收益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11.69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11.69</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福州冶山</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浮动收益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30.28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30.28</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农业银行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福州冶山</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浮动收益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福州三山</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浮动收益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129.81</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福州三山</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浮动收益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浦发银行 福州分行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25</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浦发银行 福州分行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浦发银行 福州分行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浦发银行 福州分行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4.60</w:t>
            </w:r>
          </w:p>
        </w:tc>
      </w:tr>
    </w:tbl>
    <w:p>
      <w:pPr>
        <w:widowControl w:val="0"/>
        <w:spacing w:line="1" w:lineRule="exact"/>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固定收益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4.44</w:t>
            </w: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4.59</w:t>
            </w:r>
          </w:p>
        </w:tc>
      </w:tr>
      <w:tr>
        <w:trPr>
          <w:trHeight w:val="43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民生银行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81.89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81.89</w:t>
            </w:r>
          </w:p>
        </w:tc>
      </w:tr>
      <w:tr>
        <w:trPr>
          <w:trHeight w:val="42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民生银行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固定收益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43.80</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民生银行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固定收益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72.58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72.58</w:t>
            </w: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民生银行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2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银行福州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浮动收益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44.84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44.84</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银行福州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浮动收益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43.05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43.05</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银行福州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浮动收益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41.85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41.85</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银行福州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浮动收益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35.87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35.87</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中国建设 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w:t>
            </w:r>
          </w:p>
        </w:tc>
      </w:tr>
      <w:tr>
        <w:trPr>
          <w:trHeight w:val="67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福州城南 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厦门国际 银行北京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24.6</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中关村支 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厦门国际 银行北京 中关村支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w:t>
            </w: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厦门国际 银行北京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31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23.92</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中关村支</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厦门国际 银行北京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w:t>
            </w:r>
          </w:p>
        </w:tc>
      </w:tr>
      <w:tr>
        <w:trPr>
          <w:trHeight w:val="58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中关村支 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郑州陇海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w:t>
            </w: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浦东发展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银行陇海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0.41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0.41</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郑州陇海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郑州陇海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6.08</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郑州陇海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01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5.87</w:t>
            </w: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浦发银行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郑州陇海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路支行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832.67</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公司或控股子公司闲置自有资金及募集资金。</w:t>
            </w:r>
          </w:p>
        </w:tc>
      </w:tr>
      <w:tr>
        <w:trPr>
          <w:trHeight w:val="355"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逾期未收回的本金和收益累计</w:t>
            </w:r>
          </w:p>
        </w:tc>
        <w:tc>
          <w:tcPr>
            <w:gridSpan w:val="9"/>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金额</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9"/>
            <w:vMerge/>
            <w:tcBorders>
              <w:left w:val="single" w:sz="4"/>
              <w:right w:val="single" w:sz="4"/>
            </w:tcBorders>
            <w:shd w:val="clear" w:color="auto" w:fill="FFFFFF"/>
            <w:vAlign w:val="center"/>
          </w:tcPr>
          <w:p>
            <w:pP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8"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委托理财审批董事会公告披露</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8" w:hRule="exact"/>
        </w:trPr>
        <w:tc>
          <w:tcPr>
            <w:gridSpan w:val="2"/>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日期（如有</w:t>
            </w:r>
            <w:r>
              <w:rPr>
                <w:rFonts w:ascii="SimSun" w:eastAsia="SimSun" w:hAnsi="SimSun" w:cs="SimSun"/>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8"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委托理财审批股东会公告披露</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3" w:hRule="exact"/>
        </w:trPr>
        <w:tc>
          <w:tcPr>
            <w:gridSpan w:val="2"/>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日期（如有</w:t>
            </w:r>
            <w:r>
              <w:rPr>
                <w:rFonts w:ascii="SimSun" w:eastAsia="SimSun" w:hAnsi="SimSun" w:cs="SimSun"/>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0"/>
      <w:bookmarkEnd w:id="411"/>
      <w:bookmarkEnd w:id="41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4</w:t>
      </w:r>
      <w:bookmarkEnd w:id="416"/>
      <w:r>
        <w:rPr>
          <w:color w:val="000000"/>
          <w:spacing w:val="0"/>
          <w:w w:val="100"/>
          <w:position w:val="0"/>
        </w:rPr>
        <w:t>、其他重大合同</w:t>
      </w:r>
      <w:bookmarkEnd w:id="414"/>
      <w:bookmarkEnd w:id="415"/>
      <w:bookmarkEnd w:id="417"/>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43"/>
        <w:gridCol w:w="638"/>
        <w:gridCol w:w="638"/>
        <w:gridCol w:w="638"/>
        <w:gridCol w:w="643"/>
        <w:gridCol w:w="638"/>
        <w:gridCol w:w="638"/>
        <w:gridCol w:w="638"/>
        <w:gridCol w:w="638"/>
        <w:gridCol w:w="634"/>
        <w:gridCol w:w="638"/>
        <w:gridCol w:w="638"/>
        <w:gridCol w:w="638"/>
        <w:gridCol w:w="638"/>
        <w:gridCol w:w="648"/>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合同订</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立公司</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合同订 立对方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合同标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合同签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合同涉 及资产 的账面 价值</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（万 元）（如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合同涉 及资产 的评估 价值</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（万 元）（如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评估机 构名称</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评估基 准日</w:t>
            </w:r>
          </w:p>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定价原 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交易价 格（万</w:t>
            </w:r>
          </w:p>
          <w:p>
            <w:pPr>
              <w:pStyle w:val="Style2"/>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是否关 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披露索 引</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福建榕 基软件 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国家质 量监督 检验检 疫总局 通关司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中国电 子检验 检疫主 干系统 开发项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公开市 场招标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终验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m.cn/cn</w:t>
            </w:r>
            <w:r>
              <w:rPr>
                <w:color w:val="000000"/>
                <w:spacing w:val="0"/>
                <w:w w:val="100"/>
                <w:position w:val="0"/>
              </w:rPr>
              <w:t xml:space="preserve"> infO-ne w/discl osure/s zse_sm e/bullet in_detai l/true/6 123512 5?anno unceTi me=20 12-07-0 7%200 6:30</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福建榕 基软件 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国家质 量监督 检验检 疫总局 通关业 务司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中国电 子检验 检疫主 干系统 服务总 线开发 集成技 术开发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05</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公开市 场招标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终验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m.cn/cn</w:t>
            </w:r>
            <w:r>
              <w:rPr>
                <w:color w:val="000000"/>
                <w:spacing w:val="0"/>
                <w:w w:val="100"/>
                <w:position w:val="0"/>
              </w:rPr>
              <w:t xml:space="preserve"> infO-ne w/discl osure/s zse_sm e/bullet in_detai</w:t>
            </w:r>
          </w:p>
        </w:tc>
      </w:tr>
    </w:tbl>
    <w:p>
      <w:pPr>
        <w:widowControl w:val="0"/>
        <w:spacing w:line="1" w:lineRule="exact"/>
      </w:pPr>
      <w:r>
        <w:br w:type="page"/>
      </w:r>
    </w:p>
    <w:tbl>
      <w:tblPr>
        <w:tblOverlap w:val="never"/>
        <w:jc w:val="center"/>
        <w:tblLayout w:type="fixed"/>
      </w:tblPr>
      <w:tblGrid>
        <w:gridCol w:w="643"/>
        <w:gridCol w:w="638"/>
        <w:gridCol w:w="638"/>
        <w:gridCol w:w="638"/>
        <w:gridCol w:w="638"/>
        <w:gridCol w:w="643"/>
        <w:gridCol w:w="638"/>
        <w:gridCol w:w="638"/>
        <w:gridCol w:w="638"/>
        <w:gridCol w:w="634"/>
        <w:gridCol w:w="638"/>
        <w:gridCol w:w="638"/>
        <w:gridCol w:w="638"/>
        <w:gridCol w:w="638"/>
        <w:gridCol w:w="64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l/true/6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391165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2?anno</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unceTi</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me=20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14-04-2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福建榕 基软件 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河南省 中小企 业发展 服务中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河南省 中小企 业公共 服务平 台网络 软件开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公开市 场招标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合同履 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m.cn/cn</w:t>
            </w:r>
            <w:r>
              <w:rPr>
                <w:color w:val="000000"/>
                <w:spacing w:val="0"/>
                <w:w w:val="100"/>
                <w:position w:val="0"/>
              </w:rPr>
              <w:t xml:space="preserve"> info-ne w/discl osure/s zse_sm e/bullet in_detai l/true/1 200331 564?an nounce Time=2 014-10</w:t>
              <w:softHyphen/>
              <w:t>25</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福建榕 基软件 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国家质 量监督 检验检 疫总局 通关业 务司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国家质 检总局 电子检 验检疫 主干系 统信息 交换平 台开发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公开市 场招标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合同履 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05</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 </w:t>
            </w:r>
            <w:r>
              <w:rPr>
                <w:color w:val="000000"/>
                <w:spacing w:val="0"/>
                <w:w w:val="100"/>
                <w:position w:val="0"/>
              </w:rPr>
              <w:t>m.cn/cn</w:t>
            </w:r>
            <w:r>
              <w:rPr>
                <w:color w:val="000000"/>
                <w:spacing w:val="0"/>
                <w:w w:val="100"/>
                <w:position w:val="0"/>
              </w:rPr>
              <w:t xml:space="preserve"> info-ne w/discl osure/s zse_sm e/bullet in_detai l/true/1 201009 866?an nounce Time=2 015-05</w:t>
              <w:softHyphen/>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14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福建榕</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国家质 量监督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国家质 检总局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公开市 场招标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合同履 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ww.cni</w:t>
            </w:r>
          </w:p>
        </w:tc>
      </w:tr>
    </w:tbl>
    <w:p>
      <w:pPr>
        <w:widowControl w:val="0"/>
        <w:spacing w:line="1" w:lineRule="exact"/>
      </w:pPr>
      <w:r>
        <w:br w:type="page"/>
      </w:r>
    </w:p>
    <w:tbl>
      <w:tblPr>
        <w:tblOverlap w:val="never"/>
        <w:jc w:val="center"/>
        <w:tblLayout w:type="fixed"/>
      </w:tblPr>
      <w:tblGrid>
        <w:gridCol w:w="643"/>
        <w:gridCol w:w="638"/>
        <w:gridCol w:w="638"/>
        <w:gridCol w:w="638"/>
        <w:gridCol w:w="638"/>
        <w:gridCol w:w="643"/>
        <w:gridCol w:w="638"/>
        <w:gridCol w:w="638"/>
        <w:gridCol w:w="638"/>
        <w:gridCol w:w="634"/>
        <w:gridCol w:w="638"/>
        <w:gridCol w:w="638"/>
        <w:gridCol w:w="638"/>
        <w:gridCol w:w="638"/>
        <w:gridCol w:w="648"/>
      </w:tblGrid>
      <w:tr>
        <w:trPr>
          <w:trHeight w:val="474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检验检 疫总局 通关业 务司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电子检 验检疫 大通关 系统应 用运维 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nfo.co </w:t>
            </w:r>
            <w:r>
              <w:rPr>
                <w:color w:val="000000"/>
                <w:spacing w:val="0"/>
                <w:w w:val="100"/>
                <w:position w:val="0"/>
              </w:rPr>
              <w:t>m.cn/cn</w:t>
            </w:r>
            <w:r>
              <w:rPr>
                <w:color w:val="000000"/>
                <w:spacing w:val="0"/>
                <w:w w:val="100"/>
                <w:position w:val="0"/>
              </w:rPr>
              <w:t xml:space="preserve"> info-ne w/discl osure/s zse_sm e/bullet in_detai l/true/1 201009 866?an nounce Time=2 015-05</w:t>
              <w:softHyphen/>
              <w:t>14</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十八、社会责任情况</w:t>
      </w:r>
      <w:bookmarkEnd w:id="418"/>
      <w:bookmarkEnd w:id="419"/>
      <w:bookmarkEnd w:id="420"/>
    </w:p>
    <w:p>
      <w:pPr>
        <w:pStyle w:val="Style33"/>
        <w:keepNext/>
        <w:keepLines/>
        <w:widowControl w:val="0"/>
        <w:shd w:val="clear" w:color="auto" w:fill="auto"/>
        <w:tabs>
          <w:tab w:pos="368" w:val="left"/>
        </w:tabs>
        <w:bidi w:val="0"/>
        <w:spacing w:before="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w:t>
        <w:tab/>
        <w:t>履行精准扶贫社会责任情况</w:t>
      </w:r>
      <w:bookmarkEnd w:id="421"/>
      <w:bookmarkEnd w:id="422"/>
      <w:bookmarkEnd w:id="424"/>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履行其他社会责任的情况</w:t>
      </w:r>
      <w:bookmarkEnd w:id="425"/>
      <w:bookmarkEnd w:id="426"/>
      <w:bookmarkEnd w:id="428"/>
    </w:p>
    <w:p>
      <w:pPr>
        <w:pStyle w:val="Style57"/>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年年度社会责任报告》已经披露于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日巨潮资讯网</w:t>
      </w: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i/>
          <w:iCs/>
          <w:color w:val="000000"/>
          <w:spacing w:val="0"/>
          <w:w w:val="100"/>
          <w:position w:val="0"/>
        </w:rPr>
        <w:t>。</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是否发布社会责任报告</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498"/>
        <w:gridCol w:w="1469"/>
        <w:gridCol w:w="1474"/>
        <w:gridCol w:w="1488"/>
        <w:gridCol w:w="1853"/>
        <w:gridCol w:w="1805"/>
      </w:tblGrid>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企业社会责任报告</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企业性质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是否含环境方面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是否含社会方面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是否含公司治理 方面信息</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国内标准</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国外标准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私企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按照深交所相关要求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公司是否通过环境管理体系认证（</w:t>
            </w:r>
            <w:r>
              <w:rPr>
                <w:color w:val="000000"/>
                <w:spacing w:val="0"/>
                <w:w w:val="100"/>
                <w:position w:val="0"/>
              </w:rPr>
              <w:t>ISO14001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公司年度环保投支出金额（万元）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废气、废水、废渣</w:t>
            </w:r>
            <w:r>
              <w:rPr>
                <w:color w:val="000000"/>
                <w:spacing w:val="0"/>
                <w:w w:val="100"/>
                <w:position w:val="0"/>
              </w:rPr>
              <w:t>”</w:t>
            </w:r>
            <w:r>
              <w:rPr>
                <w:rFonts w:ascii="SimSun" w:eastAsia="SimSun" w:hAnsi="SimSun" w:cs="SimSun"/>
                <w:color w:val="000000"/>
                <w:spacing w:val="0"/>
                <w:w w:val="100"/>
                <w:position w:val="0"/>
              </w:rPr>
              <w:t>三废减排绩效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bl>
    <w:p>
      <w:pPr>
        <w:pStyle w:val="Style26"/>
        <w:keepNext/>
        <w:keepLines/>
        <w:widowControl w:val="0"/>
        <w:shd w:val="clear" w:color="auto" w:fill="auto"/>
        <w:bidi w:val="0"/>
        <w:spacing w:before="0" w:after="360" w:line="240" w:lineRule="auto"/>
        <w:ind w:left="0" w:right="0" w:firstLine="0"/>
        <w:jc w:val="left"/>
      </w:pPr>
      <w:bookmarkStart w:id="429" w:name="bookmark429"/>
      <w:bookmarkStart w:id="430" w:name="bookmark430"/>
      <w:bookmarkStart w:id="431" w:name="bookmark431"/>
      <w:r>
        <w:rPr>
          <w:color w:val="000000"/>
          <w:spacing w:val="0"/>
          <w:w w:val="100"/>
          <w:position w:val="0"/>
          <w:sz w:val="24"/>
          <w:szCs w:val="24"/>
        </w:rPr>
        <w:t>十九、其他重大事项的说明</w:t>
      </w:r>
      <w:bookmarkEnd w:id="429"/>
      <w:bookmarkEnd w:id="430"/>
      <w:bookmarkEnd w:id="431"/>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募投项目建设进度情况说明：</w:t>
      </w:r>
    </w:p>
    <w:p>
      <w:pPr>
        <w:pStyle w:val="Style30"/>
        <w:keepNext w:val="0"/>
        <w:keepLines w:val="0"/>
        <w:widowControl w:val="0"/>
        <w:shd w:val="clear" w:color="auto" w:fill="auto"/>
        <w:bidi w:val="0"/>
        <w:spacing w:before="0" w:after="36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5</w:t>
      </w:r>
      <w:r>
        <w:rPr>
          <w:color w:val="000000"/>
          <w:spacing w:val="0"/>
          <w:w w:val="100"/>
          <w:position w:val="0"/>
        </w:rPr>
        <w:t>个募投项目计划，募集资金中软硬件投入</w:t>
      </w:r>
      <w:r>
        <w:rPr>
          <w:rFonts w:ascii="Times New Roman" w:eastAsia="Times New Roman" w:hAnsi="Times New Roman" w:cs="Times New Roman"/>
          <w:color w:val="000000"/>
          <w:spacing w:val="0"/>
          <w:w w:val="100"/>
          <w:position w:val="0"/>
        </w:rPr>
        <w:t>11,596.59</w:t>
      </w:r>
      <w:r>
        <w:rPr>
          <w:color w:val="000000"/>
          <w:spacing w:val="0"/>
          <w:w w:val="100"/>
          <w:position w:val="0"/>
        </w:rPr>
        <w:t>万元，实施费用投入</w:t>
      </w:r>
      <w:r>
        <w:rPr>
          <w:rFonts w:ascii="Times New Roman" w:eastAsia="Times New Roman" w:hAnsi="Times New Roman" w:cs="Times New Roman"/>
          <w:color w:val="000000"/>
          <w:spacing w:val="0"/>
          <w:w w:val="100"/>
          <w:position w:val="0"/>
        </w:rPr>
        <w:t>10,471.49</w:t>
      </w:r>
      <w:r>
        <w:rPr>
          <w:color w:val="000000"/>
          <w:spacing w:val="0"/>
          <w:w w:val="100"/>
          <w:position w:val="0"/>
        </w:rPr>
        <w:t>万元，两项合计共</w:t>
      </w:r>
      <w:r>
        <w:rPr>
          <w:rFonts w:ascii="Times New Roman" w:eastAsia="Times New Roman" w:hAnsi="Times New Roman" w:cs="Times New Roman"/>
          <w:color w:val="000000"/>
          <w:spacing w:val="0"/>
          <w:w w:val="100"/>
          <w:position w:val="0"/>
        </w:rPr>
        <w:t xml:space="preserve">22,068.08 </w:t>
      </w:r>
      <w:r>
        <w:rPr>
          <w:color w:val="000000"/>
          <w:spacing w:val="0"/>
          <w:w w:val="100"/>
          <w:position w:val="0"/>
        </w:rPr>
        <w:t>万元。场地投入</w:t>
      </w:r>
      <w:r>
        <w:rPr>
          <w:rFonts w:ascii="Times New Roman" w:eastAsia="Times New Roman" w:hAnsi="Times New Roman" w:cs="Times New Roman"/>
          <w:color w:val="000000"/>
          <w:spacing w:val="0"/>
          <w:w w:val="100"/>
          <w:position w:val="0"/>
        </w:rPr>
        <w:t>5,828.75</w:t>
      </w:r>
      <w:r>
        <w:rPr>
          <w:color w:val="000000"/>
          <w:spacing w:val="0"/>
          <w:w w:val="100"/>
          <w:position w:val="0"/>
        </w:rPr>
        <w:t>万元，计划需要购置</w:t>
      </w:r>
      <w:r>
        <w:rPr>
          <w:rFonts w:ascii="Times New Roman" w:eastAsia="Times New Roman" w:hAnsi="Times New Roman" w:cs="Times New Roman"/>
          <w:color w:val="000000"/>
          <w:spacing w:val="0"/>
          <w:w w:val="100"/>
          <w:position w:val="0"/>
        </w:rPr>
        <w:t>7,600</w:t>
      </w:r>
      <w:r>
        <w:rPr>
          <w:color w:val="000000"/>
          <w:spacing w:val="0"/>
          <w:w w:val="100"/>
          <w:position w:val="0"/>
        </w:rPr>
        <w:t>平方米用房，用于项目研发、测试、运营、办公和机房环境建设。</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月，榕基工程和福州高新技术产业开发区管理委员会就榕基工程在福州高新技术产业开发区海西高新技术产业园内投资建 设软件及服务外包产业基地项目事宜进行协商，签署了《福州高新技术产业开发区海西高新技术产业园投资建设协议书》， 并竞得闽侯县国土资源局宗地编号为宗地</w:t>
      </w:r>
      <w:r>
        <w:rPr>
          <w:rFonts w:ascii="Times New Roman" w:eastAsia="Times New Roman" w:hAnsi="Times New Roman" w:cs="Times New Roman"/>
          <w:color w:val="000000"/>
          <w:spacing w:val="0"/>
          <w:w w:val="100"/>
          <w:position w:val="0"/>
        </w:rPr>
        <w:t>2014</w:t>
      </w:r>
      <w:r>
        <w:rPr>
          <w:color w:val="000000"/>
          <w:spacing w:val="0"/>
          <w:w w:val="100"/>
          <w:position w:val="0"/>
        </w:rPr>
        <w:t>挂（工业）</w:t>
      </w:r>
      <w:r>
        <w:rPr>
          <w:rFonts w:ascii="Times New Roman" w:eastAsia="Times New Roman" w:hAnsi="Times New Roman" w:cs="Times New Roman"/>
          <w:color w:val="000000"/>
          <w:spacing w:val="0"/>
          <w:w w:val="100"/>
          <w:position w:val="0"/>
        </w:rPr>
        <w:t>16</w:t>
      </w:r>
      <w:r>
        <w:rPr>
          <w:color w:val="000000"/>
          <w:spacing w:val="0"/>
          <w:w w:val="100"/>
          <w:position w:val="0"/>
        </w:rPr>
        <w:t>号国有建设用地使用权，待交付土地之后公司将尽快开展办公场 所建设。截至目前，福州高新技术产业开发区管理委员会正在抓紧该地块的收储工作以交付给公司。根据公司的发展规划， 为了更好地利用全资子公司自有土地，实现资源的有效整合，公司于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日召开第三届董事会第十三次会议，审议 通过将变更募投项目实施地点至上述地块，变更募投项目实施方式，并追加投资，拟使用募集资金不超过</w:t>
      </w:r>
      <w:r>
        <w:rPr>
          <w:rFonts w:ascii="Times New Roman" w:eastAsia="Times New Roman" w:hAnsi="Times New Roman" w:cs="Times New Roman"/>
          <w:color w:val="000000"/>
          <w:spacing w:val="0"/>
          <w:w w:val="100"/>
          <w:position w:val="0"/>
        </w:rPr>
        <w:t>13,300</w:t>
      </w:r>
      <w:r>
        <w:rPr>
          <w:color w:val="000000"/>
          <w:spacing w:val="0"/>
          <w:w w:val="100"/>
          <w:position w:val="0"/>
        </w:rPr>
        <w:t>万元与榕基 工程合作在该地块上建设公司研发大楼，项目建设期</w:t>
      </w:r>
      <w:r>
        <w:rPr>
          <w:rFonts w:ascii="Times New Roman" w:eastAsia="Times New Roman" w:hAnsi="Times New Roman" w:cs="Times New Roman"/>
          <w:color w:val="000000"/>
          <w:spacing w:val="0"/>
          <w:w w:val="100"/>
          <w:position w:val="0"/>
        </w:rPr>
        <w:t>2</w:t>
      </w:r>
      <w:r>
        <w:rPr>
          <w:color w:val="000000"/>
          <w:spacing w:val="0"/>
          <w:w w:val="100"/>
          <w:position w:val="0"/>
        </w:rPr>
        <w:t>年分批投入，并根据公司募集资金的投入总额取得相应投入比例的研 发大楼产权使用权，用于募投项目目前实际所需研发用房。公司将严格按照募集资金管理和使用的监管要求，使得募集资金 规划中的场地投入费用发挥效益。截至报告期末，本公司募集资金累计直接投入募投项目</w:t>
      </w:r>
      <w:r>
        <w:rPr>
          <w:rFonts w:ascii="Times New Roman" w:eastAsia="Times New Roman" w:hAnsi="Times New Roman" w:cs="Times New Roman"/>
          <w:color w:val="000000"/>
          <w:spacing w:val="0"/>
          <w:w w:val="100"/>
          <w:position w:val="0"/>
        </w:rPr>
        <w:t>29,998.4</w:t>
      </w:r>
      <w:r>
        <w:rPr>
          <w:rFonts w:ascii="Times New Roman" w:eastAsia="Times New Roman" w:hAnsi="Times New Roman" w:cs="Times New Roman"/>
          <w:color w:val="000000"/>
          <w:spacing w:val="0"/>
          <w:w w:val="100"/>
          <w:position w:val="0"/>
        </w:rPr>
        <w:t>1</w:t>
      </w:r>
      <w:r>
        <w:rPr>
          <w:color w:val="000000"/>
          <w:spacing w:val="0"/>
          <w:w w:val="100"/>
          <w:position w:val="0"/>
        </w:rPr>
        <w:t>万元，募投项目建设基本 完成。</w:t>
      </w:r>
    </w:p>
    <w:p>
      <w:pPr>
        <w:pStyle w:val="Style26"/>
        <w:keepNext/>
        <w:keepLines/>
        <w:widowControl w:val="0"/>
        <w:shd w:val="clear" w:color="auto" w:fill="auto"/>
        <w:bidi w:val="0"/>
        <w:spacing w:before="0" w:after="360" w:line="240" w:lineRule="auto"/>
        <w:ind w:left="0" w:right="0" w:firstLine="0"/>
        <w:jc w:val="both"/>
      </w:pPr>
      <w:bookmarkStart w:id="432" w:name="bookmark432"/>
      <w:bookmarkStart w:id="433" w:name="bookmark433"/>
      <w:bookmarkStart w:id="434" w:name="bookmark434"/>
      <w:r>
        <w:rPr>
          <w:color w:val="000000"/>
          <w:spacing w:val="0"/>
          <w:w w:val="100"/>
          <w:position w:val="0"/>
          <w:sz w:val="24"/>
          <w:szCs w:val="24"/>
        </w:rPr>
        <w:t>二十、公司子公司重大事项</w:t>
      </w:r>
      <w:bookmarkEnd w:id="432"/>
      <w:bookmarkEnd w:id="433"/>
      <w:bookmarkEnd w:id="434"/>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firstLine="52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日，公司与马鞍山市秀山新区建设管委会就积极推进马鞍山市软件及服务外包产业的合作意向签订了 《</w:t>
      </w:r>
      <w:r>
        <w:rPr>
          <w:rFonts w:ascii="Times New Roman" w:eastAsia="Times New Roman" w:hAnsi="Times New Roman" w:cs="Times New Roman"/>
          <w:color w:val="000000"/>
          <w:spacing w:val="0"/>
          <w:w w:val="100"/>
          <w:position w:val="0"/>
        </w:rPr>
        <w:t>“</w:t>
      </w:r>
      <w:r>
        <w:rPr>
          <w:color w:val="000000"/>
          <w:spacing w:val="0"/>
          <w:w w:val="100"/>
          <w:position w:val="0"/>
        </w:rPr>
        <w:t>榕基</w:t>
      </w:r>
      <w:r>
        <w:rPr>
          <w:rFonts w:ascii="Times New Roman" w:eastAsia="Times New Roman" w:hAnsi="Times New Roman" w:cs="Times New Roman"/>
          <w:color w:val="000000"/>
          <w:spacing w:val="0"/>
          <w:w w:val="100"/>
          <w:position w:val="0"/>
        </w:rPr>
        <w:t>-</w:t>
      </w:r>
      <w:r>
        <w:rPr>
          <w:color w:val="000000"/>
          <w:spacing w:val="0"/>
          <w:w w:val="100"/>
          <w:position w:val="0"/>
        </w:rPr>
        <w:t>马鞍山软件园</w:t>
      </w:r>
      <w:r>
        <w:rPr>
          <w:rFonts w:ascii="Times New Roman" w:eastAsia="Times New Roman" w:hAnsi="Times New Roman" w:cs="Times New Roman"/>
          <w:color w:val="000000"/>
          <w:spacing w:val="0"/>
          <w:w w:val="100"/>
          <w:position w:val="0"/>
        </w:rPr>
        <w:t>”</w:t>
      </w:r>
      <w:r>
        <w:rPr>
          <w:color w:val="000000"/>
          <w:spacing w:val="0"/>
          <w:w w:val="100"/>
          <w:position w:val="0"/>
        </w:rPr>
        <w:t>合作项目投资合同》，地方政府为公司选址建设</w:t>
      </w:r>
      <w:r>
        <w:rPr>
          <w:rFonts w:ascii="Times New Roman" w:eastAsia="Times New Roman" w:hAnsi="Times New Roman" w:cs="Times New Roman"/>
          <w:color w:val="000000"/>
          <w:spacing w:val="0"/>
          <w:w w:val="100"/>
          <w:position w:val="0"/>
        </w:rPr>
        <w:t>“</w:t>
      </w:r>
      <w:r>
        <w:rPr>
          <w:color w:val="000000"/>
          <w:spacing w:val="0"/>
          <w:w w:val="100"/>
          <w:position w:val="0"/>
        </w:rPr>
        <w:t>榕基</w:t>
      </w:r>
      <w:r>
        <w:rPr>
          <w:rFonts w:ascii="Times New Roman" w:eastAsia="Times New Roman" w:hAnsi="Times New Roman" w:cs="Times New Roman"/>
          <w:color w:val="000000"/>
          <w:spacing w:val="0"/>
          <w:w w:val="100"/>
          <w:position w:val="0"/>
        </w:rPr>
        <w:t>-</w:t>
      </w:r>
      <w:r>
        <w:rPr>
          <w:color w:val="000000"/>
          <w:spacing w:val="0"/>
          <w:w w:val="100"/>
          <w:position w:val="0"/>
        </w:rPr>
        <w:t>马鞍山软件园七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日，公司用自有 资金投资设立马鞍山榕基软件信息科技有限公司（注册资本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万，以下简称</w:t>
      </w:r>
      <w:r>
        <w:rPr>
          <w:rFonts w:ascii="Times New Roman" w:eastAsia="Times New Roman" w:hAnsi="Times New Roman" w:cs="Times New Roman"/>
          <w:color w:val="000000"/>
          <w:spacing w:val="0"/>
          <w:w w:val="100"/>
          <w:position w:val="0"/>
        </w:rPr>
        <w:t>“</w:t>
      </w:r>
      <w:r>
        <w:rPr>
          <w:color w:val="000000"/>
          <w:spacing w:val="0"/>
          <w:w w:val="100"/>
          <w:position w:val="0"/>
        </w:rPr>
        <w:t>马鞍山榕基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日马鞍山市国 土资源局公布《国有建设用地使用权挂牌出让公告》（马国土出让告字</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26</w:t>
      </w:r>
      <w:r>
        <w:rPr>
          <w:color w:val="000000"/>
          <w:spacing w:val="0"/>
          <w:w w:val="100"/>
          <w:position w:val="0"/>
        </w:rPr>
        <w:t>号），公司于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日召开董事会 审议通过《关于马鞍山子公司拟购买土地使用权的议案》，马鞍山榕基拟以自筹资金不超过</w:t>
      </w:r>
      <w:r>
        <w:rPr>
          <w:rFonts w:ascii="Times New Roman" w:eastAsia="Times New Roman" w:hAnsi="Times New Roman" w:cs="Times New Roman"/>
          <w:color w:val="000000"/>
          <w:spacing w:val="0"/>
          <w:w w:val="100"/>
          <w:position w:val="0"/>
        </w:rPr>
        <w:t>2,500</w:t>
      </w:r>
      <w:r>
        <w:rPr>
          <w:color w:val="000000"/>
          <w:spacing w:val="0"/>
          <w:w w:val="100"/>
          <w:position w:val="0"/>
        </w:rPr>
        <w:t>万人民币支付项目建设保 证金，授权马鞍山榕基经理层办理土地竞拍及转让手续，马鞍山榕基于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日收到马鞍山市国土资源局下发的《成 交确认书》，公司以总价为人民币</w:t>
      </w:r>
      <w:r>
        <w:rPr>
          <w:rFonts w:ascii="Times New Roman" w:eastAsia="Times New Roman" w:hAnsi="Times New Roman" w:cs="Times New Roman"/>
          <w:color w:val="000000"/>
          <w:spacing w:val="0"/>
          <w:w w:val="100"/>
          <w:position w:val="0"/>
        </w:rPr>
        <w:t>2,500</w:t>
      </w:r>
      <w:r>
        <w:rPr>
          <w:color w:val="000000"/>
          <w:spacing w:val="0"/>
          <w:w w:val="100"/>
          <w:position w:val="0"/>
        </w:rPr>
        <w:t>万元竞得编号为马土让</w:t>
      </w:r>
      <w:r>
        <w:rPr>
          <w:rFonts w:ascii="Times New Roman" w:eastAsia="Times New Roman" w:hAnsi="Times New Roman" w:cs="Times New Roman"/>
          <w:color w:val="000000"/>
          <w:spacing w:val="0"/>
          <w:w w:val="100"/>
          <w:position w:val="0"/>
        </w:rPr>
        <w:t>2011-26</w:t>
      </w:r>
      <w:r>
        <w:rPr>
          <w:color w:val="000000"/>
          <w:spacing w:val="0"/>
          <w:w w:val="100"/>
          <w:position w:val="0"/>
        </w:rPr>
        <w:t>号地块的国有土地使用权</w:t>
      </w:r>
      <w:r>
        <w:rPr>
          <w:color w:val="000000"/>
          <w:spacing w:val="0"/>
          <w:w w:val="100"/>
          <w:position w:val="0"/>
        </w:rPr>
        <w:t>，</w:t>
      </w:r>
      <w:r>
        <w:rPr>
          <w:color w:val="000000"/>
          <w:spacing w:val="0"/>
          <w:w w:val="100"/>
          <w:position w:val="0"/>
        </w:rPr>
        <w:t>使用权面积</w:t>
      </w:r>
      <w:r>
        <w:rPr>
          <w:rFonts w:ascii="Times New Roman" w:eastAsia="Times New Roman" w:hAnsi="Times New Roman" w:cs="Times New Roman"/>
          <w:color w:val="000000"/>
          <w:spacing w:val="0"/>
          <w:w w:val="100"/>
          <w:position w:val="0"/>
        </w:rPr>
        <w:t>62585.09</w:t>
      </w:r>
      <w:r>
        <w:rPr>
          <w:color w:val="000000"/>
          <w:spacing w:val="0"/>
          <w:w w:val="100"/>
          <w:position w:val="0"/>
        </w:rPr>
        <w:t xml:space="preserve">平方米。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日，马鞍山榕基与马鞍山市国土资源局签订《国有建设用地使用权出让合同》。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日马鞍山榕基取 得马鞍山市人民政府下发的《中华人民共和国国有土地使用证》（马国有</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84065</w:t>
      </w:r>
      <w:r>
        <w:rPr>
          <w:color w:val="000000"/>
          <w:spacing w:val="0"/>
          <w:w w:val="100"/>
          <w:position w:val="0"/>
        </w:rPr>
        <w:t>号）。</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月，应当地政府及项 目建设要求，马鞍山榕基全资设立了马鞍山榕基置业投资有限公司（注册资本</w:t>
      </w:r>
      <w:r>
        <w:rPr>
          <w:rFonts w:ascii="Times New Roman" w:eastAsia="Times New Roman" w:hAnsi="Times New Roman" w:cs="Times New Roman"/>
          <w:color w:val="000000"/>
          <w:spacing w:val="0"/>
          <w:w w:val="100"/>
          <w:position w:val="0"/>
        </w:rPr>
        <w:t>800</w:t>
      </w:r>
      <w:r>
        <w:rPr>
          <w:color w:val="000000"/>
          <w:spacing w:val="0"/>
          <w:w w:val="100"/>
          <w:position w:val="0"/>
        </w:rPr>
        <w:t>万元）负责建设</w:t>
      </w:r>
      <w:r>
        <w:rPr>
          <w:rFonts w:ascii="Times New Roman" w:eastAsia="Times New Roman" w:hAnsi="Times New Roman" w:cs="Times New Roman"/>
          <w:color w:val="000000"/>
          <w:spacing w:val="0"/>
          <w:w w:val="100"/>
          <w:position w:val="0"/>
        </w:rPr>
        <w:t>“</w:t>
      </w:r>
      <w:r>
        <w:rPr>
          <w:color w:val="000000"/>
          <w:spacing w:val="0"/>
          <w:w w:val="100"/>
          <w:position w:val="0"/>
        </w:rPr>
        <w:t>马鞍山智慧园项目一期工 程匚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日马鞍山榕基将原取得的上述土地转让给马鞍山榕基置业投资有限公司（《中华人民共和国国有土地使 用证》（马国有</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84996</w:t>
      </w:r>
      <w:r>
        <w:rPr>
          <w:color w:val="000000"/>
          <w:spacing w:val="0"/>
          <w:w w:val="100"/>
          <w:position w:val="0"/>
        </w:rPr>
        <w:t>号））。马鞍山智慧园项目一期工程于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月动工，预计总投资额为</w:t>
      </w:r>
      <w:r>
        <w:rPr>
          <w:rFonts w:ascii="Times New Roman" w:eastAsia="Times New Roman" w:hAnsi="Times New Roman" w:cs="Times New Roman"/>
          <w:color w:val="000000"/>
          <w:spacing w:val="0"/>
          <w:w w:val="100"/>
          <w:position w:val="0"/>
        </w:rPr>
        <w:t>1.5</w:t>
      </w:r>
      <w:r>
        <w:rPr>
          <w:color w:val="000000"/>
          <w:spacing w:val="0"/>
          <w:w w:val="100"/>
          <w:position w:val="0"/>
        </w:rPr>
        <w:t>亿元，截至报告期 末，项目已完成投资。</w:t>
      </w:r>
    </w:p>
    <w:p>
      <w:pPr>
        <w:pStyle w:val="Style18"/>
        <w:keepNext/>
        <w:keepLines/>
        <w:widowControl w:val="0"/>
        <w:shd w:val="clear" w:color="auto" w:fill="auto"/>
        <w:bidi w:val="0"/>
        <w:spacing w:before="0" w:line="240" w:lineRule="auto"/>
        <w:ind w:left="0" w:right="0" w:firstLine="0"/>
        <w:jc w:val="center"/>
      </w:pPr>
      <w:bookmarkStart w:id="435" w:name="bookmark435"/>
      <w:bookmarkStart w:id="436" w:name="bookmark436"/>
      <w:bookmarkStart w:id="437" w:name="bookmark437"/>
      <w:r>
        <w:rPr>
          <w:color w:val="000000"/>
          <w:spacing w:val="0"/>
          <w:w w:val="100"/>
          <w:position w:val="0"/>
        </w:rPr>
        <w:t>第六节股份变动及股东情况</w:t>
      </w:r>
      <w:bookmarkEnd w:id="435"/>
      <w:bookmarkEnd w:id="436"/>
      <w:bookmarkEnd w:id="437"/>
    </w:p>
    <w:p>
      <w:pPr>
        <w:pStyle w:val="Style26"/>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bookmarkStart w:id="442" w:name="bookmark442"/>
      <w:r>
        <w:rPr>
          <w:color w:val="000000"/>
          <w:spacing w:val="0"/>
          <w:w w:val="100"/>
          <w:position w:val="0"/>
          <w:sz w:val="24"/>
          <w:szCs w:val="24"/>
        </w:rPr>
        <w:t>一</w:t>
      </w:r>
      <w:bookmarkEnd w:id="441"/>
      <w:r>
        <w:rPr>
          <w:color w:val="000000"/>
          <w:spacing w:val="0"/>
          <w:w w:val="100"/>
          <w:position w:val="0"/>
          <w:sz w:val="24"/>
          <w:szCs w:val="24"/>
        </w:rPr>
        <w:t>、股份变动情况</w:t>
      </w:r>
      <w:bookmarkEnd w:id="439"/>
      <w:bookmarkEnd w:id="440"/>
      <w:bookmarkEnd w:id="442"/>
      <w:bookmarkEnd w:id="438"/>
    </w:p>
    <w:p>
      <w:pPr>
        <w:pStyle w:val="Style33"/>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、股份变动情况</w:t>
      </w:r>
      <w:bookmarkEnd w:id="443"/>
      <w:bookmarkEnd w:id="444"/>
      <w:bookmarkEnd w:id="4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182,623,0</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-7,149,21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-7,149,21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175,473,8</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182,623,0</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-7,149,21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-7,149,21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175,473,8</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182,623,0</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-7,149,21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-7,149,21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175,473,8</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439,576,9</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7,149,217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446,726,1</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439,576,9</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7,149,217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446,726,1</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622,200,0</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622,200,0</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、限售股份变动情况</w:t>
      </w:r>
      <w:bookmarkEnd w:id="447"/>
      <w:bookmarkEnd w:id="448"/>
      <w:bookmarkEnd w:id="450"/>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、证券发行与上市情况</w:t>
      </w:r>
      <w:bookmarkEnd w:id="451"/>
      <w:bookmarkEnd w:id="452"/>
      <w:bookmarkEnd w:id="454"/>
    </w:p>
    <w:p>
      <w:pPr>
        <w:pStyle w:val="Style33"/>
        <w:keepNext/>
        <w:keepLines/>
        <w:widowControl w:val="0"/>
        <w:shd w:val="clear" w:color="auto" w:fill="auto"/>
        <w:tabs>
          <w:tab w:pos="368" w:val="left"/>
        </w:tabs>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w:t>
        <w:tab/>
        <w:t>报告期内证券发行（不含优先股）情况</w:t>
      </w:r>
      <w:bookmarkEnd w:id="455"/>
      <w:bookmarkEnd w:id="456"/>
      <w:bookmarkEnd w:id="458"/>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公司股份总数及股东结构的变动、公司资产和负债结构的变动情况说明</w:t>
      </w:r>
      <w:bookmarkEnd w:id="459"/>
      <w:bookmarkEnd w:id="460"/>
      <w:bookmarkEnd w:id="462"/>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t>现存的内部职工股情况</w:t>
      </w:r>
      <w:bookmarkEnd w:id="463"/>
      <w:bookmarkEnd w:id="464"/>
      <w:bookmarkEnd w:id="466"/>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三</w:t>
      </w:r>
      <w:bookmarkEnd w:id="469"/>
      <w:r>
        <w:rPr>
          <w:color w:val="000000"/>
          <w:spacing w:val="0"/>
          <w:w w:val="100"/>
          <w:position w:val="0"/>
          <w:sz w:val="24"/>
          <w:szCs w:val="24"/>
        </w:rPr>
        <w:t>、股东和实际控制人情况</w:t>
      </w:r>
      <w:bookmarkEnd w:id="467"/>
      <w:bookmarkEnd w:id="468"/>
      <w:bookmarkEnd w:id="470"/>
    </w:p>
    <w:p>
      <w:pPr>
        <w:pStyle w:val="Style33"/>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、公司股东数量及持股情况</w:t>
      </w:r>
      <w:bookmarkEnd w:id="471"/>
      <w:bookmarkEnd w:id="472"/>
      <w:bookmarkEnd w:id="4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73"/>
        <w:gridCol w:w="802"/>
        <w:gridCol w:w="331"/>
        <w:gridCol w:w="461"/>
        <w:gridCol w:w="773"/>
        <w:gridCol w:w="854"/>
        <w:gridCol w:w="302"/>
        <w:gridCol w:w="1046"/>
        <w:gridCol w:w="149"/>
        <w:gridCol w:w="1210"/>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90,927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91,170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（如有）（参见 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年度报告披露 日前上一月末 表决权恢复的 优先股股东总 数（如有）（参 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128,355,7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20,613,93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107,741,8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54,487,76</w:t>
            </w:r>
          </w:p>
          <w:p>
            <w:pPr>
              <w:pStyle w:val="Style2"/>
              <w:keepNext w:val="0"/>
              <w:keepLines w:val="0"/>
              <w:widowControl w:val="0"/>
              <w:shd w:val="clear" w:color="auto" w:fill="auto"/>
              <w:bidi w:val="0"/>
              <w:spacing w:before="0" w:after="0" w:line="180" w:lineRule="auto"/>
              <w:ind w:left="0" w:right="0" w:firstLine="0"/>
              <w:jc w:val="right"/>
              <w:rPr>
                <w:sz w:val="20"/>
                <w:szCs w:val="20"/>
              </w:rPr>
            </w:pPr>
            <w:r>
              <w:rPr>
                <w:color w:val="000000"/>
                <w:spacing w:val="0"/>
                <w:w w:val="100"/>
                <w:position w:val="0"/>
                <w:sz w:val="20"/>
                <w:szCs w:val="20"/>
                <w:vertAlign w:val="subscript"/>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-9,000,00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47,615,82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6,871,942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14,200,000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赵坚</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1,712,500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陈明平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5,396,146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4,047,109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1,349,037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杨学圆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3,468,732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1,734,366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2,468,600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3,031,498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-1,231,49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2,131,498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2,994,160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2,994,160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张之戈</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2,212,628</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2,212,628</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402"/>
        <w:gridCol w:w="802"/>
        <w:gridCol w:w="782"/>
        <w:gridCol w:w="792"/>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刘秋艳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战略投资者或一般法人因配售新股 成为前</w:t>
            </w:r>
            <w:r>
              <w:rPr>
                <w:color w:val="000000"/>
                <w:spacing w:val="0"/>
                <w:w w:val="100"/>
                <w:position w:val="0"/>
              </w:rPr>
              <w:t>10</w:t>
            </w:r>
            <w:r>
              <w:rPr>
                <w:rFonts w:ascii="SimSun" w:eastAsia="SimSun" w:hAnsi="SimSun" w:cs="SimSun"/>
                <w:color w:val="000000"/>
                <w:spacing w:val="0"/>
                <w:w w:val="100"/>
                <w:position w:val="0"/>
              </w:rPr>
              <w:t>名股东的情况（如有）（参 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公司前十名股东中，鲁波为鲁峰之胞兄，杨学圆为鲁峰胞妹之配偶。除上述情况外， 其他前十名股东之间未知是否存在关联关系，也未知是否属于一致行动人。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鲁峰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20,613,935</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侯伟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6,871,942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6,871,942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鲁波</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2,994,160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2,994,160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张之戈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2,212,628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2,212,628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刘秋艳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2,200,000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杨学圆</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1,734,366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1,734,366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赵坚</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1,712,500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1,712,500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周继勇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1,450,000</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山东海中湾投资管理有限公司一海</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中湾赢泰私募证券投资基金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1,405,268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1,405,268</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陈明平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1,349,037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1,349,037</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 及前</w:t>
            </w:r>
            <w:r>
              <w:rPr>
                <w:color w:val="000000"/>
                <w:spacing w:val="0"/>
                <w:w w:val="100"/>
                <w:position w:val="0"/>
              </w:rPr>
              <w:t>10</w:t>
            </w:r>
            <w:r>
              <w:rPr>
                <w:rFonts w:ascii="SimSun" w:eastAsia="SimSun" w:hAnsi="SimSun" w:cs="SimSun"/>
                <w:color w:val="000000"/>
                <w:spacing w:val="0"/>
                <w:w w:val="100"/>
                <w:position w:val="0"/>
              </w:rPr>
              <w:t>名无限售流通股股东和前</w:t>
            </w:r>
            <w:r>
              <w:rPr>
                <w:color w:val="000000"/>
                <w:spacing w:val="0"/>
                <w:w w:val="100"/>
                <w:position w:val="0"/>
              </w:rPr>
              <w:t xml:space="preserve">10 </w:t>
            </w:r>
            <w:r>
              <w:rPr>
                <w:rFonts w:ascii="SimSun" w:eastAsia="SimSun" w:hAnsi="SimSun" w:cs="SimSun"/>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公司前十名股东中，鲁波为鲁峰之胞兄，杨学圆为鲁峰胞妹之配偶。除上述情况外， 其他前十名股东之间未知是否存在关联关系，也未知是否属于一致行动人。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名普通股股东参与融资融券业 务情况说明（如有）（参见注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刘秋艳参与融资融券，信用证券账户持有</w:t>
            </w:r>
            <w:r>
              <w:rPr>
                <w:color w:val="000000"/>
                <w:spacing w:val="0"/>
                <w:w w:val="100"/>
                <w:position w:val="0"/>
              </w:rPr>
              <w:t>2,200,000</w:t>
            </w:r>
            <w:r>
              <w:rPr>
                <w:rFonts w:ascii="SimSun" w:eastAsia="SimSun" w:hAnsi="SimSun" w:cs="SimSun"/>
                <w:color w:val="000000"/>
                <w:spacing w:val="0"/>
                <w:w w:val="100"/>
                <w:position w:val="0"/>
              </w:rPr>
              <w:t>股。</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、公司控股股东情况</w:t>
      </w:r>
      <w:bookmarkEnd w:id="475"/>
      <w:bookmarkEnd w:id="476"/>
      <w:bookmarkEnd w:id="47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14"/>
        <w:gridCol w:w="38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p>
    <w:tbl>
      <w:tblPr>
        <w:tblOverlap w:val="never"/>
        <w:jc w:val="center"/>
        <w:tblLayout w:type="fixed"/>
      </w:tblPr>
      <w:tblGrid>
        <w:gridCol w:w="3422"/>
        <w:gridCol w:w="616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福建榕基软件股份有限公司董事长、总裁。</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6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、公司实际控制人情况</w:t>
      </w:r>
      <w:bookmarkEnd w:id="479"/>
      <w:bookmarkEnd w:id="480"/>
      <w:bookmarkEnd w:id="48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14"/>
        <w:gridCol w:w="38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公司董事长、总裁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2956560" cy="155448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2956560" cy="1554480"/>
                    </a:xfrm>
                    <a:prstGeom prst="rect"/>
                  </pic:spPr>
                </pic:pic>
              </a:graphicData>
            </a:graphic>
          </wp:inline>
        </w:drawing>
      </w:r>
    </w:p>
    <w:p>
      <w:pPr>
        <w:widowControl w:val="0"/>
        <w:spacing w:after="25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4</w:t>
      </w:r>
      <w:bookmarkEnd w:id="4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3"/>
      <w:bookmarkEnd w:id="484"/>
      <w:bookmarkEnd w:id="486"/>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5</w:t>
      </w:r>
      <w:bookmarkEnd w:id="489"/>
      <w:r>
        <w:rPr>
          <w:color w:val="000000"/>
          <w:spacing w:val="0"/>
          <w:w w:val="100"/>
          <w:position w:val="0"/>
        </w:rPr>
        <w:t>、</w:t>
        <w:tab/>
        <w:t>控股股东、实际控制人、重组方及其他承诺主体股份限制减持情况</w:t>
      </w:r>
      <w:bookmarkEnd w:id="487"/>
      <w:bookmarkEnd w:id="488"/>
      <w:bookmarkEnd w:id="490"/>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2713355</wp:posOffset>
                </wp:positionH>
                <wp:positionV relativeFrom="paragraph">
                  <wp:posOffset>0</wp:posOffset>
                </wp:positionV>
                <wp:extent cx="2170430" cy="247015"/>
                <wp:wrapTopAndBottom/>
                <wp:docPr id="12" name="Shape 1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91" w:name="bookmark91"/>
                            <w:bookmarkStart w:id="92" w:name="bookmark92"/>
                            <w:bookmarkStart w:id="93" w:name="bookmark93"/>
                            <w:r>
                              <w:rPr>
                                <w:color w:val="000000"/>
                                <w:spacing w:val="0"/>
                                <w:w w:val="100"/>
                                <w:position w:val="0"/>
                              </w:rPr>
                              <w:t>第七节优先股相关情况</w:t>
                            </w:r>
                            <w:bookmarkEnd w:id="91"/>
                            <w:bookmarkEnd w:id="92"/>
                            <w:bookmarkEnd w:id="93"/>
                          </w:p>
                        </w:txbxContent>
                      </wps:txbx>
                      <wps:bodyPr wrap="none" lIns="0" tIns="0" rIns="0" bIns="0">
                        <a:noAutoFit/>
                      </wps:bodyPr>
                    </wps:wsp>
                  </a:graphicData>
                </a:graphic>
              </wp:anchor>
            </w:drawing>
          </mc:Choice>
          <mc:Fallback>
            <w:pict>
              <v:shape id="_x0000_s1038" type="#_x0000_t202" style="position:absolute;margin-left:213.65000000000001pt;margin-top:0;width:170.90000000000001pt;height:19.449999999999999pt;z-index:-125829375;mso-wrap-distance-left:0;mso-wrap-distance-right:0;mso-wrap-distance-bottom:21.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91" w:name="bookmark91"/>
                      <w:bookmarkStart w:id="92" w:name="bookmark92"/>
                      <w:bookmarkStart w:id="93" w:name="bookmark93"/>
                      <w:r>
                        <w:rPr>
                          <w:color w:val="000000"/>
                          <w:spacing w:val="0"/>
                          <w:w w:val="100"/>
                          <w:position w:val="0"/>
                        </w:rPr>
                        <w:t>第七节优先股相关情况</w:t>
                      </w:r>
                      <w:bookmarkEnd w:id="91"/>
                      <w:bookmarkEnd w:id="92"/>
                      <w:bookmarkEnd w:id="93"/>
                    </w:p>
                  </w:txbxContent>
                </v:textbox>
                <w10:wrap type="topAndBottom" anchorx="page"/>
              </v:shape>
            </w:pict>
          </mc:Fallback>
        </mc:AlternateContent>
      </w:r>
    </w:p>
    <w:p>
      <w:pPr>
        <w:pStyle w:val="Style30"/>
        <w:keepNext w:val="0"/>
        <w:keepLines w:val="0"/>
        <w:widowControl w:val="0"/>
        <w:shd w:val="clear" w:color="auto" w:fill="auto"/>
        <w:bidi w:val="0"/>
        <w:spacing w:before="0" w:after="120" w:line="240" w:lineRule="auto"/>
        <w:ind w:left="0" w:right="0" w:firstLine="0"/>
        <w:jc w:val="left"/>
      </w:pPr>
      <w:bookmarkStart w:id="491" w:name="bookmark49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9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8"/>
        <w:keepNext/>
        <w:keepLines/>
        <w:widowControl w:val="0"/>
        <w:shd w:val="clear" w:color="auto" w:fill="auto"/>
        <w:bidi w:val="0"/>
        <w:spacing w:before="0" w:after="560" w:line="240" w:lineRule="auto"/>
        <w:ind w:left="0" w:right="0" w:firstLine="0"/>
        <w:jc w:val="center"/>
      </w:pPr>
      <w:bookmarkStart w:id="492" w:name="bookmark492"/>
      <w:bookmarkStart w:id="493" w:name="bookmark493"/>
      <w:bookmarkStart w:id="494" w:name="bookmark494"/>
      <w:r>
        <w:rPr>
          <w:color w:val="000000"/>
          <w:spacing w:val="0"/>
          <w:w w:val="100"/>
          <w:position w:val="0"/>
        </w:rPr>
        <w:t>第八节董事、监事、高级管理人员和员工情况</w:t>
      </w:r>
      <w:bookmarkEnd w:id="492"/>
      <w:bookmarkEnd w:id="493"/>
      <w:bookmarkEnd w:id="494"/>
    </w:p>
    <w:p>
      <w:pPr>
        <w:pStyle w:val="Style26"/>
        <w:keepNext/>
        <w:keepLines/>
        <w:widowControl w:val="0"/>
        <w:shd w:val="clear" w:color="auto" w:fill="auto"/>
        <w:bidi w:val="0"/>
        <w:spacing w:before="0" w:after="300" w:line="240" w:lineRule="auto"/>
        <w:ind w:left="0" w:right="0" w:firstLine="240"/>
        <w:jc w:val="left"/>
      </w:pPr>
      <w:bookmarkStart w:id="495" w:name="bookmark495"/>
      <w:bookmarkStart w:id="496" w:name="bookmark496"/>
      <w:bookmarkStart w:id="497" w:name="bookmark497"/>
      <w:bookmarkStart w:id="498" w:name="bookmark498"/>
      <w:r>
        <w:rPr>
          <w:color w:val="000000"/>
          <w:spacing w:val="0"/>
          <w:w w:val="100"/>
          <w:position w:val="0"/>
          <w:sz w:val="24"/>
          <w:szCs w:val="24"/>
        </w:rPr>
        <w:t>、董事、监事和高级管理人员持股变动</w:t>
      </w:r>
      <w:bookmarkEnd w:id="496"/>
      <w:bookmarkEnd w:id="497"/>
      <w:bookmarkEnd w:id="498"/>
      <w:bookmarkEnd w:id="495"/>
    </w:p>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rPr>
              <w:t>本期增持 股份数量</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both"/>
            </w:pPr>
            <w:r>
              <w:rPr>
                <w:rFonts w:ascii="SimSun" w:eastAsia="SimSun" w:hAnsi="SimSun" w:cs="SimSun"/>
                <w:color w:val="000000"/>
                <w:spacing w:val="0"/>
                <w:w w:val="100"/>
                <w:position w:val="0"/>
              </w:rPr>
              <w:t>本期减持 股份数量</w:t>
            </w:r>
          </w:p>
          <w:p>
            <w:pPr>
              <w:pStyle w:val="Style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董事长、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143,655,7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15,300,00</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128,355,7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副董事 长、常务</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63,487,76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54,487,76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5,396,146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5,396,146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杨学圆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05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3,468,732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3,468,732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6,850,000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刘景燕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1,740,000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靳谊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1,305,000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苏小榕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魏建光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邬海峰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周仁锟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副总裁、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倪时龙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李惠钦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1,160,990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232,279,3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24,735,00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207,544,3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二</w:t>
      </w:r>
      <w:bookmarkEnd w:id="501"/>
      <w:r>
        <w:rPr>
          <w:color w:val="000000"/>
          <w:spacing w:val="0"/>
          <w:w w:val="100"/>
          <w:position w:val="0"/>
          <w:sz w:val="24"/>
          <w:szCs w:val="24"/>
        </w:rPr>
        <w:t>、公司董事、监事、高级管理人员变动情况</w:t>
      </w:r>
      <w:bookmarkEnd w:id="499"/>
      <w:bookmarkEnd w:id="500"/>
      <w:bookmarkEnd w:id="502"/>
    </w:p>
    <w:tbl>
      <w:tblPr>
        <w:tblOverlap w:val="never"/>
        <w:jc w:val="center"/>
        <w:tblLayout w:type="fixed"/>
      </w:tblPr>
      <w:tblGrid>
        <w:gridCol w:w="1334"/>
        <w:gridCol w:w="1330"/>
        <w:gridCol w:w="1334"/>
        <w:gridCol w:w="1330"/>
        <w:gridCol w:w="42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杨学圆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被选举为公司董事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靳谊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被选举为公司董事</w:t>
            </w:r>
          </w:p>
        </w:tc>
      </w:tr>
    </w:tbl>
    <w:p>
      <w:pPr>
        <w:pStyle w:val="Style26"/>
        <w:keepNext/>
        <w:keepLines/>
        <w:widowControl w:val="0"/>
        <w:shd w:val="clear" w:color="auto" w:fill="auto"/>
        <w:bidi w:val="0"/>
        <w:spacing w:before="0" w:after="240" w:line="240" w:lineRule="auto"/>
        <w:ind w:left="0" w:right="0" w:firstLine="0"/>
        <w:jc w:val="both"/>
      </w:pPr>
      <w:bookmarkStart w:id="503" w:name="bookmark503"/>
      <w:bookmarkStart w:id="504" w:name="bookmark504"/>
      <w:bookmarkStart w:id="505" w:name="bookmark505"/>
      <w:bookmarkStart w:id="506" w:name="bookmark506"/>
      <w:r>
        <w:rPr>
          <w:color w:val="000000"/>
          <w:spacing w:val="0"/>
          <w:w w:val="100"/>
          <w:position w:val="0"/>
          <w:sz w:val="24"/>
          <w:szCs w:val="24"/>
        </w:rPr>
        <w:t>三</w:t>
      </w:r>
      <w:bookmarkEnd w:id="505"/>
      <w:r>
        <w:rPr>
          <w:color w:val="000000"/>
          <w:spacing w:val="0"/>
          <w:w w:val="100"/>
          <w:position w:val="0"/>
          <w:sz w:val="24"/>
          <w:szCs w:val="24"/>
        </w:rPr>
        <w:t>、任职情况</w:t>
      </w:r>
      <w:bookmarkEnd w:id="503"/>
      <w:bookmarkEnd w:id="504"/>
      <w:bookmarkEnd w:id="506"/>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鲁峰：中国国籍，无境外永久居留权，男，</w:t>
      </w:r>
      <w:r>
        <w:rPr>
          <w:rFonts w:ascii="Times New Roman" w:eastAsia="Times New Roman" w:hAnsi="Times New Roman" w:cs="Times New Roman"/>
          <w:color w:val="000000"/>
          <w:spacing w:val="0"/>
          <w:w w:val="100"/>
          <w:position w:val="0"/>
        </w:rPr>
        <w:t>1967</w:t>
      </w:r>
      <w:r>
        <w:rPr>
          <w:color w:val="000000"/>
          <w:spacing w:val="0"/>
          <w:w w:val="100"/>
          <w:position w:val="0"/>
        </w:rPr>
        <w:t>年生，毕业于中科院沈阳计算技术研究所，研究生学历，工学硕士学 位。长期从事行业应用软件开发及计算机信息系统集成工作，</w:t>
      </w:r>
      <w:r>
        <w:rPr>
          <w:rFonts w:ascii="Times New Roman" w:eastAsia="Times New Roman" w:hAnsi="Times New Roman" w:cs="Times New Roman"/>
          <w:color w:val="000000"/>
          <w:spacing w:val="0"/>
          <w:w w:val="100"/>
          <w:position w:val="0"/>
        </w:rPr>
        <w:t>1993</w:t>
      </w:r>
      <w:r>
        <w:rPr>
          <w:color w:val="000000"/>
          <w:spacing w:val="0"/>
          <w:w w:val="100"/>
          <w:position w:val="0"/>
        </w:rPr>
        <w:t>年参与创建福建榕基软件开发有限公司，主持业务、研发 和技术管理工作。</w:t>
      </w:r>
      <w:r>
        <w:rPr>
          <w:rFonts w:ascii="Times New Roman" w:eastAsia="Times New Roman" w:hAnsi="Times New Roman" w:cs="Times New Roman"/>
          <w:color w:val="000000"/>
          <w:spacing w:val="0"/>
          <w:w w:val="100"/>
          <w:position w:val="0"/>
        </w:rPr>
        <w:t>2004</w:t>
      </w:r>
      <w:r>
        <w:rPr>
          <w:color w:val="000000"/>
          <w:spacing w:val="0"/>
          <w:w w:val="100"/>
          <w:position w:val="0"/>
        </w:rPr>
        <w:t>年，荣获福建省人事厅、信息产业厅颁发的</w:t>
      </w:r>
      <w:r>
        <w:rPr>
          <w:rFonts w:ascii="Times New Roman" w:eastAsia="Times New Roman" w:hAnsi="Times New Roman" w:cs="Times New Roman"/>
          <w:color w:val="000000"/>
          <w:spacing w:val="0"/>
          <w:w w:val="100"/>
          <w:position w:val="0"/>
        </w:rPr>
        <w:t>“</w:t>
      </w:r>
      <w:r>
        <w:rPr>
          <w:color w:val="000000"/>
          <w:spacing w:val="0"/>
          <w:w w:val="100"/>
          <w:position w:val="0"/>
        </w:rPr>
        <w:t>首届福建省软件杰出人才</w:t>
      </w:r>
      <w:r>
        <w:rPr>
          <w:rFonts w:ascii="Times New Roman" w:eastAsia="Times New Roman" w:hAnsi="Times New Roman" w:cs="Times New Roman"/>
          <w:color w:val="000000"/>
          <w:spacing w:val="0"/>
          <w:w w:val="100"/>
          <w:position w:val="0"/>
        </w:rPr>
        <w:t>”</w:t>
      </w:r>
      <w:r>
        <w:rPr>
          <w:color w:val="000000"/>
          <w:spacing w:val="0"/>
          <w:w w:val="100"/>
          <w:position w:val="0"/>
        </w:rPr>
        <w:t>荣誉称号。</w:t>
      </w:r>
      <w:r>
        <w:rPr>
          <w:rFonts w:ascii="Times New Roman" w:eastAsia="Times New Roman" w:hAnsi="Times New Roman" w:cs="Times New Roman"/>
          <w:color w:val="000000"/>
          <w:spacing w:val="0"/>
          <w:w w:val="100"/>
          <w:position w:val="0"/>
        </w:rPr>
        <w:t>2006</w:t>
      </w:r>
      <w:r>
        <w:rPr>
          <w:color w:val="000000"/>
          <w:spacing w:val="0"/>
          <w:w w:val="100"/>
          <w:position w:val="0"/>
        </w:rPr>
        <w:t>年，荣获福建 省</w:t>
      </w:r>
      <w:r>
        <w:rPr>
          <w:rFonts w:ascii="Times New Roman" w:eastAsia="Times New Roman" w:hAnsi="Times New Roman" w:cs="Times New Roman"/>
          <w:color w:val="000000"/>
          <w:spacing w:val="0"/>
          <w:w w:val="100"/>
          <w:position w:val="0"/>
        </w:rPr>
        <w:t>“</w:t>
      </w: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劳动奖章，获得福建省</w:t>
      </w:r>
      <w:r>
        <w:rPr>
          <w:rFonts w:ascii="Times New Roman" w:eastAsia="Times New Roman" w:hAnsi="Times New Roman" w:cs="Times New Roman"/>
          <w:color w:val="000000"/>
          <w:spacing w:val="0"/>
          <w:w w:val="100"/>
          <w:position w:val="0"/>
        </w:rPr>
        <w:t>“</w:t>
      </w:r>
      <w:r>
        <w:rPr>
          <w:color w:val="000000"/>
          <w:spacing w:val="0"/>
          <w:w w:val="100"/>
          <w:position w:val="0"/>
        </w:rPr>
        <w:t>新长征突击手</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“2006</w:t>
      </w:r>
      <w:r>
        <w:rPr>
          <w:color w:val="000000"/>
          <w:spacing w:val="0"/>
          <w:w w:val="100"/>
          <w:position w:val="0"/>
        </w:rPr>
        <w:t>中国信息产业年度</w:t>
      </w:r>
      <w:r>
        <w:rPr>
          <w:rFonts w:ascii="Times New Roman" w:eastAsia="Times New Roman" w:hAnsi="Times New Roman" w:cs="Times New Roman"/>
          <w:color w:val="000000"/>
          <w:spacing w:val="0"/>
          <w:w w:val="100"/>
          <w:position w:val="0"/>
        </w:rPr>
        <w:t>10</w:t>
      </w:r>
      <w:r>
        <w:rPr>
          <w:color w:val="000000"/>
          <w:spacing w:val="0"/>
          <w:w w:val="100"/>
          <w:position w:val="0"/>
        </w:rPr>
        <w:t>大新锐人物</w:t>
      </w:r>
      <w:r>
        <w:rPr>
          <w:rFonts w:ascii="Times New Roman" w:eastAsia="Times New Roman" w:hAnsi="Times New Roman" w:cs="Times New Roman"/>
          <w:color w:val="000000"/>
          <w:spacing w:val="0"/>
          <w:w w:val="100"/>
          <w:position w:val="0"/>
        </w:rPr>
        <w:t>”</w:t>
      </w:r>
      <w:r>
        <w:rPr>
          <w:color w:val="000000"/>
          <w:spacing w:val="0"/>
          <w:w w:val="100"/>
          <w:position w:val="0"/>
        </w:rPr>
        <w:t>、第三届</w:t>
      </w:r>
      <w:r>
        <w:rPr>
          <w:rFonts w:ascii="Times New Roman" w:eastAsia="Times New Roman" w:hAnsi="Times New Roman" w:cs="Times New Roman"/>
          <w:color w:val="000000"/>
          <w:spacing w:val="0"/>
          <w:w w:val="100"/>
          <w:position w:val="0"/>
        </w:rPr>
        <w:t>“</w:t>
      </w:r>
      <w:r>
        <w:rPr>
          <w:color w:val="000000"/>
          <w:spacing w:val="0"/>
          <w:w w:val="100"/>
          <w:position w:val="0"/>
        </w:rPr>
        <w:t>中国软件行业杰出青年</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海西创业英才</w:t>
      </w:r>
      <w:r>
        <w:rPr>
          <w:rFonts w:ascii="Times New Roman" w:eastAsia="Times New Roman" w:hAnsi="Times New Roman" w:cs="Times New Roman"/>
          <w:color w:val="000000"/>
          <w:spacing w:val="0"/>
          <w:w w:val="100"/>
          <w:position w:val="0"/>
        </w:rPr>
        <w:t>”</w:t>
      </w:r>
      <w:r>
        <w:rPr>
          <w:color w:val="000000"/>
          <w:spacing w:val="0"/>
          <w:w w:val="100"/>
          <w:position w:val="0"/>
        </w:rPr>
        <w:t>等荣誉称号。现任公司董事长、总裁、上海榕基软件开发有限公司执行董事、福建亿榕信息技术有限公司董 事、福建榕基软件工程有限公司执行董事。</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侯伟：中国国籍，无境外永久居留权，男，</w:t>
      </w:r>
      <w:r>
        <w:rPr>
          <w:rFonts w:ascii="Times New Roman" w:eastAsia="Times New Roman" w:hAnsi="Times New Roman" w:cs="Times New Roman"/>
          <w:color w:val="000000"/>
          <w:spacing w:val="0"/>
          <w:w w:val="100"/>
          <w:position w:val="0"/>
        </w:rPr>
        <w:t>1966</w:t>
      </w:r>
      <w:r>
        <w:rPr>
          <w:color w:val="000000"/>
          <w:spacing w:val="0"/>
          <w:w w:val="100"/>
          <w:position w:val="0"/>
        </w:rPr>
        <w:t>年生，毕业于郑州大学，本科学历，学士学位。</w:t>
      </w:r>
      <w:r>
        <w:rPr>
          <w:rFonts w:ascii="Times New Roman" w:eastAsia="Times New Roman" w:hAnsi="Times New Roman" w:cs="Times New Roman"/>
          <w:color w:val="000000"/>
          <w:spacing w:val="0"/>
          <w:w w:val="100"/>
          <w:position w:val="0"/>
        </w:rPr>
        <w:t>1993</w:t>
      </w:r>
      <w:r>
        <w:rPr>
          <w:color w:val="000000"/>
          <w:spacing w:val="0"/>
          <w:w w:val="100"/>
          <w:position w:val="0"/>
        </w:rPr>
        <w:t>年至今在公司工 作，长期从事公司内务管理和市场管理工作。现任公司副董事长、常务副总裁、浙江榕基信息技术有限公司董事长、福建亿 榕信息技术有限公司董事、星榕基董事长。</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陈明平：中国国籍，无境外永久居留权，男，</w:t>
      </w:r>
      <w:r>
        <w:rPr>
          <w:rFonts w:ascii="Times New Roman" w:eastAsia="Times New Roman" w:hAnsi="Times New Roman" w:cs="Times New Roman"/>
          <w:color w:val="000000"/>
          <w:spacing w:val="0"/>
          <w:w w:val="100"/>
          <w:position w:val="0"/>
        </w:rPr>
        <w:t>1974</w:t>
      </w:r>
      <w:r>
        <w:rPr>
          <w:color w:val="000000"/>
          <w:spacing w:val="0"/>
          <w:w w:val="100"/>
          <w:position w:val="0"/>
        </w:rPr>
        <w:t>年生，毕业于北京理工大学，本科学历，工程师。长期从事行业应 用软件开发及计算机信息系统集成工作，</w:t>
      </w:r>
      <w:r>
        <w:rPr>
          <w:rFonts w:ascii="Times New Roman" w:eastAsia="Times New Roman" w:hAnsi="Times New Roman" w:cs="Times New Roman"/>
          <w:color w:val="000000"/>
          <w:spacing w:val="0"/>
          <w:w w:val="100"/>
          <w:position w:val="0"/>
        </w:rPr>
        <w:t>2001</w:t>
      </w:r>
      <w:r>
        <w:rPr>
          <w:color w:val="000000"/>
          <w:spacing w:val="0"/>
          <w:w w:val="100"/>
          <w:position w:val="0"/>
        </w:rPr>
        <w:t>年加入公司，负责企业技术开发及管理工作。具有较强的技术管理能力，负责 公司技术管理体系的建设和维护，对软件行业具有深入的理解和丰富的实践经验，曾获</w:t>
      </w:r>
      <w:r>
        <w:rPr>
          <w:rFonts w:ascii="Times New Roman" w:eastAsia="Times New Roman" w:hAnsi="Times New Roman" w:cs="Times New Roman"/>
          <w:color w:val="000000"/>
          <w:spacing w:val="0"/>
          <w:w w:val="100"/>
          <w:position w:val="0"/>
        </w:rPr>
        <w:t>“</w:t>
      </w:r>
      <w:r>
        <w:rPr>
          <w:color w:val="000000"/>
          <w:spacing w:val="0"/>
          <w:w w:val="100"/>
          <w:position w:val="0"/>
        </w:rPr>
        <w:t>首届福建</w:t>
      </w:r>
      <w:r>
        <w:rPr>
          <w:rFonts w:ascii="Times New Roman" w:eastAsia="Times New Roman" w:hAnsi="Times New Roman" w:cs="Times New Roman"/>
          <w:color w:val="000000"/>
          <w:spacing w:val="0"/>
          <w:w w:val="100"/>
          <w:position w:val="0"/>
        </w:rPr>
        <w:t>IT</w:t>
      </w:r>
      <w:r>
        <w:rPr>
          <w:color w:val="000000"/>
          <w:spacing w:val="0"/>
          <w:w w:val="100"/>
          <w:position w:val="0"/>
        </w:rPr>
        <w:t>行业十大杰出青年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 二届福建省软件杰出人才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第二届福州市杰出科技人员</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第十二届福建青年科技奖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中国电子学会电子信息科学技术 奖二等奖</w:t>
      </w:r>
      <w:r>
        <w:rPr>
          <w:rFonts w:ascii="Times New Roman" w:eastAsia="Times New Roman" w:hAnsi="Times New Roman" w:cs="Times New Roman"/>
          <w:color w:val="000000"/>
          <w:spacing w:val="0"/>
          <w:w w:val="100"/>
          <w:position w:val="0"/>
        </w:rPr>
        <w:t>“</w:t>
      </w:r>
      <w:r>
        <w:rPr>
          <w:color w:val="000000"/>
          <w:spacing w:val="0"/>
          <w:w w:val="100"/>
          <w:position w:val="0"/>
        </w:rPr>
        <w:t>福建省职工优秀技术创新成果二等奖</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福建省优秀新产品二等奖七现任公司董事、副总裁兼技术总监、福 建榕基软件工程有限公司总经理。</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刘景燕：中国国籍，无境外永久居留权，女，</w:t>
      </w:r>
      <w:r>
        <w:rPr>
          <w:rFonts w:ascii="Times New Roman" w:eastAsia="Times New Roman" w:hAnsi="Times New Roman" w:cs="Times New Roman"/>
          <w:color w:val="000000"/>
          <w:spacing w:val="0"/>
          <w:w w:val="100"/>
          <w:position w:val="0"/>
        </w:rPr>
        <w:t>1973</w:t>
      </w:r>
      <w:r>
        <w:rPr>
          <w:color w:val="000000"/>
          <w:spacing w:val="0"/>
          <w:w w:val="100"/>
          <w:position w:val="0"/>
        </w:rPr>
        <w:t>年生，工程硕士。</w:t>
      </w:r>
      <w:r>
        <w:rPr>
          <w:rFonts w:ascii="Times New Roman" w:eastAsia="Times New Roman" w:hAnsi="Times New Roman" w:cs="Times New Roman"/>
          <w:color w:val="000000"/>
          <w:spacing w:val="0"/>
          <w:w w:val="100"/>
          <w:position w:val="0"/>
        </w:rPr>
        <w:t>1999</w:t>
      </w:r>
      <w:r>
        <w:rPr>
          <w:color w:val="000000"/>
          <w:spacing w:val="0"/>
          <w:w w:val="100"/>
          <w:position w:val="0"/>
        </w:rPr>
        <w:t>年加入公司，先后担任项目管理部经理，运 营总监。具有较强的经营管理能力，负责公司企业运营管理工作。现任公司董事。</w:t>
      </w:r>
    </w:p>
    <w:p>
      <w:pPr>
        <w:pStyle w:val="Style30"/>
        <w:keepNext w:val="0"/>
        <w:keepLines w:val="0"/>
        <w:widowControl w:val="0"/>
        <w:shd w:val="clear" w:color="auto" w:fill="auto"/>
        <w:bidi w:val="0"/>
        <w:spacing w:before="0" w:after="0" w:line="317" w:lineRule="exact"/>
        <w:ind w:left="0" w:right="0" w:firstLine="500"/>
        <w:jc w:val="both"/>
      </w:pPr>
      <w:r>
        <w:rPr>
          <w:color w:val="000000"/>
          <w:spacing w:val="0"/>
          <w:w w:val="100"/>
          <w:position w:val="0"/>
        </w:rPr>
        <w:t>赵坚：中国国籍，无境外永久居留权，男，</w:t>
      </w:r>
      <w:r>
        <w:rPr>
          <w:rFonts w:ascii="Times New Roman" w:eastAsia="Times New Roman" w:hAnsi="Times New Roman" w:cs="Times New Roman"/>
          <w:color w:val="000000"/>
          <w:spacing w:val="0"/>
          <w:w w:val="100"/>
          <w:position w:val="0"/>
        </w:rPr>
        <w:t>1972</w:t>
      </w:r>
      <w:r>
        <w:rPr>
          <w:color w:val="000000"/>
          <w:spacing w:val="0"/>
          <w:w w:val="100"/>
          <w:position w:val="0"/>
        </w:rPr>
        <w:t>年生，毕业于福州大学工业电气自动化专业，本科学历。</w:t>
      </w:r>
      <w:r>
        <w:rPr>
          <w:rFonts w:ascii="Times New Roman" w:eastAsia="Times New Roman" w:hAnsi="Times New Roman" w:cs="Times New Roman"/>
          <w:color w:val="000000"/>
          <w:spacing w:val="0"/>
          <w:w w:val="100"/>
          <w:position w:val="0"/>
        </w:rPr>
        <w:t>1997</w:t>
      </w:r>
      <w:r>
        <w:rPr>
          <w:color w:val="000000"/>
          <w:spacing w:val="0"/>
          <w:w w:val="100"/>
          <w:position w:val="0"/>
        </w:rPr>
        <w:t>年加入 公司，先后担任系统集成工程师、项目经理、系统集成部经理、业务副总监。现负责企业计算机系统集成、音视频系统集成、 办公自动化软件、定制</w:t>
      </w:r>
      <w:r>
        <w:rPr>
          <w:rFonts w:ascii="Times New Roman" w:eastAsia="Times New Roman" w:hAnsi="Times New Roman" w:cs="Times New Roman"/>
          <w:color w:val="000000"/>
          <w:spacing w:val="0"/>
          <w:w w:val="100"/>
          <w:position w:val="0"/>
        </w:rPr>
        <w:t>MIS</w:t>
      </w:r>
      <w:r>
        <w:rPr>
          <w:color w:val="000000"/>
          <w:spacing w:val="0"/>
          <w:w w:val="100"/>
          <w:position w:val="0"/>
        </w:rPr>
        <w:t>软件等工程项目的实施及服务管理工作。具有较强的技术管理能力，承担公司工程项目管理体系 的建设和维护，对</w:t>
      </w:r>
      <w:r>
        <w:rPr>
          <w:rFonts w:ascii="Times New Roman" w:eastAsia="Times New Roman" w:hAnsi="Times New Roman" w:cs="Times New Roman"/>
          <w:color w:val="000000"/>
          <w:spacing w:val="0"/>
          <w:w w:val="100"/>
          <w:position w:val="0"/>
        </w:rPr>
        <w:t>IT</w:t>
      </w:r>
      <w:r>
        <w:rPr>
          <w:color w:val="000000"/>
          <w:spacing w:val="0"/>
          <w:w w:val="100"/>
          <w:position w:val="0"/>
        </w:rPr>
        <w:t>行业的工程管理具有深入的理解和丰富的实践经验，具有较强的大型系统集成项目分析和整合规划能力， 主持了公司多个重点项目的规划、实施工作。现任公司董事、工程中心总经理。</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靳谊：中国国籍，无境外永久居留权，男，</w:t>
      </w:r>
      <w:r>
        <w:rPr>
          <w:rFonts w:ascii="Times New Roman" w:eastAsia="Times New Roman" w:hAnsi="Times New Roman" w:cs="Times New Roman"/>
          <w:color w:val="000000"/>
          <w:spacing w:val="0"/>
          <w:w w:val="100"/>
          <w:position w:val="0"/>
        </w:rPr>
        <w:t>1975</w:t>
      </w:r>
      <w:r>
        <w:rPr>
          <w:color w:val="000000"/>
          <w:spacing w:val="0"/>
          <w:w w:val="100"/>
          <w:position w:val="0"/>
        </w:rPr>
        <w:t>年生，毕业于武汉理工大学计算机科学与技术专业，专科学历。</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年加入公司，先后担任工程师、项目经理、资深工程师、副主任工程师、主任工程师、协同管理事业部经理。具有较强的研 发管理能力与大型企业管理信息系统分析和整合规划能力，负责协同管理业务技术管理以及企业内部信息系统建设工作，主 持设计研发了</w:t>
      </w:r>
      <w:r>
        <w:rPr>
          <w:rFonts w:ascii="Times New Roman" w:eastAsia="Times New Roman" w:hAnsi="Times New Roman" w:cs="Times New Roman"/>
          <w:color w:val="000000"/>
          <w:spacing w:val="0"/>
          <w:w w:val="100"/>
          <w:position w:val="0"/>
        </w:rPr>
        <w:t>“</w:t>
      </w:r>
      <w:r>
        <w:rPr>
          <w:color w:val="000000"/>
          <w:spacing w:val="0"/>
          <w:w w:val="100"/>
          <w:position w:val="0"/>
        </w:rPr>
        <w:t>榕基电子单证系统</w:t>
      </w:r>
      <w:r>
        <w:rPr>
          <w:rFonts w:ascii="Times New Roman" w:eastAsia="Times New Roman" w:hAnsi="Times New Roman" w:cs="Times New Roman"/>
          <w:color w:val="000000"/>
          <w:spacing w:val="0"/>
          <w:w w:val="100"/>
          <w:position w:val="0"/>
        </w:rPr>
        <w:t>“</w:t>
      </w:r>
      <w:r>
        <w:rPr>
          <w:color w:val="000000"/>
          <w:spacing w:val="0"/>
          <w:w w:val="100"/>
          <w:position w:val="0"/>
        </w:rPr>
        <w:t>榕基</w:t>
      </w:r>
      <w:r>
        <w:rPr>
          <w:rFonts w:ascii="Times New Roman" w:eastAsia="Times New Roman" w:hAnsi="Times New Roman" w:cs="Times New Roman"/>
          <w:color w:val="000000"/>
          <w:spacing w:val="0"/>
          <w:w w:val="100"/>
          <w:position w:val="0"/>
        </w:rPr>
        <w:t>I-TASK</w:t>
      </w:r>
      <w:r>
        <w:rPr>
          <w:color w:val="000000"/>
          <w:spacing w:val="0"/>
          <w:w w:val="100"/>
          <w:position w:val="0"/>
        </w:rPr>
        <w:t>任务管理平台</w:t>
      </w:r>
      <w:r>
        <w:rPr>
          <w:rFonts w:ascii="Times New Roman" w:eastAsia="Times New Roman" w:hAnsi="Times New Roman" w:cs="Times New Roman"/>
          <w:color w:val="000000"/>
          <w:spacing w:val="0"/>
          <w:w w:val="100"/>
          <w:position w:val="0"/>
        </w:rPr>
        <w:t>”</w:t>
      </w:r>
      <w:r>
        <w:rPr>
          <w:color w:val="000000"/>
          <w:spacing w:val="0"/>
          <w:w w:val="100"/>
          <w:position w:val="0"/>
        </w:rPr>
        <w:t>等公司战略产品以及能源、质检等行业十多项软件产品， 曾获</w:t>
      </w:r>
      <w:r>
        <w:rPr>
          <w:rFonts w:ascii="Times New Roman" w:eastAsia="Times New Roman" w:hAnsi="Times New Roman" w:cs="Times New Roman"/>
          <w:color w:val="000000"/>
          <w:spacing w:val="0"/>
          <w:w w:val="100"/>
          <w:position w:val="0"/>
        </w:rPr>
        <w:t>“</w:t>
      </w:r>
      <w:r>
        <w:rPr>
          <w:color w:val="000000"/>
          <w:spacing w:val="0"/>
          <w:w w:val="100"/>
          <w:position w:val="0"/>
        </w:rPr>
        <w:t>福州市科学技术奖三等奖</w:t>
      </w:r>
      <w:r>
        <w:rPr>
          <w:rFonts w:ascii="Times New Roman" w:eastAsia="Times New Roman" w:hAnsi="Times New Roman" w:cs="Times New Roman"/>
          <w:color w:val="000000"/>
          <w:spacing w:val="0"/>
          <w:w w:val="100"/>
          <w:position w:val="0"/>
        </w:rPr>
        <w:t>“</w:t>
      </w:r>
      <w:r>
        <w:rPr>
          <w:color w:val="000000"/>
          <w:spacing w:val="0"/>
          <w:w w:val="100"/>
          <w:position w:val="0"/>
        </w:rPr>
        <w:t>福建省优秀信息主管</w:t>
      </w:r>
      <w:r>
        <w:rPr>
          <w:rFonts w:ascii="Times New Roman" w:eastAsia="Times New Roman" w:hAnsi="Times New Roman" w:cs="Times New Roman"/>
          <w:color w:val="000000"/>
          <w:spacing w:val="0"/>
          <w:w w:val="100"/>
          <w:position w:val="0"/>
        </w:rPr>
        <w:t xml:space="preserve">(CIO)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信息化年度贡献人物</w:t>
      </w:r>
      <w:r>
        <w:rPr>
          <w:rFonts w:ascii="Times New Roman" w:eastAsia="Times New Roman" w:hAnsi="Times New Roman" w:cs="Times New Roman"/>
          <w:color w:val="000000"/>
          <w:spacing w:val="0"/>
          <w:w w:val="100"/>
          <w:position w:val="0"/>
        </w:rPr>
        <w:t>”</w:t>
      </w:r>
      <w:r>
        <w:rPr>
          <w:color w:val="000000"/>
          <w:spacing w:val="0"/>
          <w:w w:val="100"/>
          <w:position w:val="0"/>
        </w:rPr>
        <w:t>。现任公司董事、副总裁、首 席信息官、研发总监。</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刘微芳：中国国籍，无境外永久居留权，女，</w:t>
      </w:r>
      <w:r>
        <w:rPr>
          <w:rFonts w:ascii="Times New Roman" w:eastAsia="Times New Roman" w:hAnsi="Times New Roman" w:cs="Times New Roman"/>
          <w:color w:val="000000"/>
          <w:spacing w:val="0"/>
          <w:w w:val="100"/>
          <w:position w:val="0"/>
        </w:rPr>
        <w:t>1970</w:t>
      </w:r>
      <w:r>
        <w:rPr>
          <w:color w:val="000000"/>
          <w:spacing w:val="0"/>
          <w:w w:val="100"/>
          <w:position w:val="0"/>
        </w:rPr>
        <w:t>年生，中共党员，研究生学历，副教授，中国注册会计师，中国注 册资产评估师。曾任福州大学管理学院专业学位教育中心副主任，福州大学</w:t>
      </w:r>
      <w:r>
        <w:rPr>
          <w:rFonts w:ascii="Times New Roman" w:eastAsia="Times New Roman" w:hAnsi="Times New Roman" w:cs="Times New Roman"/>
          <w:color w:val="000000"/>
          <w:spacing w:val="0"/>
          <w:w w:val="100"/>
          <w:position w:val="0"/>
        </w:rPr>
        <w:t>MBA</w:t>
      </w:r>
      <w:r>
        <w:rPr>
          <w:color w:val="000000"/>
          <w:spacing w:val="0"/>
          <w:w w:val="100"/>
          <w:position w:val="0"/>
        </w:rPr>
        <w:t>教育中心办公室副主任。现任福州大学管 理学院会计系副教授，硕士生导师，福州大学管理学院创业投资与企业财务管理研究所副所长，昇兴集团股份有限公司、福 建三鑫隆信息技术开发股份有限公司独立董事。现任公司独立董事。</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黄旭明：中国国籍，无境外永久居留权，男，</w:t>
      </w:r>
      <w:r>
        <w:rPr>
          <w:rFonts w:ascii="Times New Roman" w:eastAsia="Times New Roman" w:hAnsi="Times New Roman" w:cs="Times New Roman"/>
          <w:color w:val="000000"/>
          <w:spacing w:val="0"/>
          <w:w w:val="100"/>
          <w:position w:val="0"/>
        </w:rPr>
        <w:t>1960</w:t>
      </w:r>
      <w:r>
        <w:rPr>
          <w:color w:val="000000"/>
          <w:spacing w:val="0"/>
          <w:w w:val="100"/>
          <w:position w:val="0"/>
        </w:rPr>
        <w:t>年生，中共党员，本科学历，副教授，工信部计算机信息系统集成 企业主评审员。曾任</w:t>
      </w:r>
      <w:r>
        <w:rPr>
          <w:rFonts w:ascii="Times New Roman" w:eastAsia="Times New Roman" w:hAnsi="Times New Roman" w:cs="Times New Roman"/>
          <w:color w:val="000000"/>
          <w:spacing w:val="0"/>
          <w:w w:val="100"/>
          <w:position w:val="0"/>
        </w:rPr>
        <w:t>“</w:t>
      </w:r>
      <w:r>
        <w:rPr>
          <w:color w:val="000000"/>
          <w:spacing w:val="0"/>
          <w:w w:val="100"/>
          <w:position w:val="0"/>
        </w:rPr>
        <w:t>数字福建</w:t>
      </w:r>
      <w:r>
        <w:rPr>
          <w:rFonts w:ascii="Times New Roman" w:eastAsia="Times New Roman" w:hAnsi="Times New Roman" w:cs="Times New Roman"/>
          <w:color w:val="000000"/>
          <w:spacing w:val="0"/>
          <w:w w:val="100"/>
          <w:position w:val="0"/>
        </w:rPr>
        <w:t>”</w:t>
      </w:r>
      <w:r>
        <w:rPr>
          <w:color w:val="000000"/>
          <w:spacing w:val="0"/>
          <w:w w:val="100"/>
          <w:position w:val="0"/>
        </w:rPr>
        <w:t>专家委员会委员、福建师范大学软件人才培养基地主任、福建师范大学信息技术学院主持工 作副院长、福建师范大学应用科技学院副院长。现任福建师范大学数学与计算机科学学院副教授，硕士生导师。现任公司独 立董事。</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苏小榕：中国国籍，无境外永久居留权，男，</w:t>
      </w:r>
      <w:r>
        <w:rPr>
          <w:rFonts w:ascii="Times New Roman" w:eastAsia="Times New Roman" w:hAnsi="Times New Roman" w:cs="Times New Roman"/>
          <w:color w:val="000000"/>
          <w:spacing w:val="0"/>
          <w:w w:val="100"/>
          <w:position w:val="0"/>
        </w:rPr>
        <w:t>1973</w:t>
      </w:r>
      <w:r>
        <w:rPr>
          <w:color w:val="000000"/>
          <w:spacing w:val="0"/>
          <w:w w:val="100"/>
          <w:position w:val="0"/>
        </w:rPr>
        <w:t>年生，中共党员，硕士学历，律师，中国德和精品律所联盟</w:t>
      </w:r>
      <w:r>
        <w:rPr>
          <w:color w:val="000000"/>
          <w:spacing w:val="0"/>
          <w:w w:val="100"/>
          <w:position w:val="0"/>
        </w:rPr>
        <w:t>(</w:t>
      </w:r>
      <w:r>
        <w:rPr>
          <w:rFonts w:ascii="Times New Roman" w:eastAsia="Times New Roman" w:hAnsi="Times New Roman" w:cs="Times New Roman"/>
          <w:color w:val="000000"/>
          <w:spacing w:val="0"/>
          <w:w w:val="100"/>
          <w:position w:val="0"/>
        </w:rPr>
        <w:t>ECLA</w:t>
      </w:r>
      <w:r>
        <w:rPr>
          <w:color w:val="000000"/>
          <w:spacing w:val="0"/>
          <w:w w:val="100"/>
          <w:position w:val="0"/>
        </w:rPr>
        <w:t xml:space="preserve">) </w:t>
      </w:r>
      <w:r>
        <w:rPr>
          <w:color w:val="000000"/>
          <w:spacing w:val="0"/>
          <w:w w:val="100"/>
          <w:position w:val="0"/>
        </w:rPr>
        <w:t>联合税法业务团队主任、福州市律师协会青年律师教育与培训专业委员会副主任、华东政法大学律师学院咨询委员会委员、 福建工程学院法学系兼职教授。曾任福建浩辰律师事务所合伙人、律师。现任福建拓维律师事务所高级合伙人、律师，富春 通信股份有限公司独立董事。现任公司独立董事。</w:t>
      </w:r>
    </w:p>
    <w:p>
      <w:pPr>
        <w:pStyle w:val="Style30"/>
        <w:keepNext w:val="0"/>
        <w:keepLines w:val="0"/>
        <w:widowControl w:val="0"/>
        <w:shd w:val="clear" w:color="auto" w:fill="auto"/>
        <w:bidi w:val="0"/>
        <w:spacing w:before="0" w:after="40" w:line="307" w:lineRule="exact"/>
        <w:ind w:left="0" w:right="0" w:firstLine="420"/>
        <w:jc w:val="both"/>
      </w:pPr>
      <w:r>
        <w:rPr>
          <w:color w:val="000000"/>
          <w:spacing w:val="0"/>
          <w:w w:val="100"/>
          <w:position w:val="0"/>
        </w:rPr>
        <w:t>魏建光：中国国籍，无境外永久居留权，男，</w:t>
      </w:r>
      <w:r>
        <w:rPr>
          <w:rFonts w:ascii="Times New Roman" w:eastAsia="Times New Roman" w:hAnsi="Times New Roman" w:cs="Times New Roman"/>
          <w:color w:val="000000"/>
          <w:spacing w:val="0"/>
          <w:w w:val="100"/>
          <w:position w:val="0"/>
        </w:rPr>
        <w:t>1980</w:t>
      </w:r>
      <w:r>
        <w:rPr>
          <w:color w:val="000000"/>
          <w:spacing w:val="0"/>
          <w:w w:val="100"/>
          <w:position w:val="0"/>
        </w:rPr>
        <w:t>年生，毕业于福建师范大学计算机科学与应用专业，本科学历，在 读</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月至今就职于公司，现任公司营销中心资深工程师。</w:t>
      </w:r>
    </w:p>
    <w:p>
      <w:pPr>
        <w:pStyle w:val="Style30"/>
        <w:keepNext w:val="0"/>
        <w:keepLines w:val="0"/>
        <w:widowControl w:val="0"/>
        <w:shd w:val="clear" w:color="auto" w:fill="auto"/>
        <w:bidi w:val="0"/>
        <w:spacing w:before="0" w:after="40" w:line="314" w:lineRule="exact"/>
        <w:ind w:left="0" w:right="0" w:firstLine="420"/>
        <w:jc w:val="both"/>
      </w:pPr>
      <w:r>
        <w:rPr>
          <w:color w:val="000000"/>
          <w:spacing w:val="0"/>
          <w:w w:val="100"/>
          <w:position w:val="0"/>
        </w:rPr>
        <w:t>邬海峰：中国国籍，无境外永久居留权，男，</w:t>
      </w:r>
      <w:r>
        <w:rPr>
          <w:rFonts w:ascii="Times New Roman" w:eastAsia="Times New Roman" w:hAnsi="Times New Roman" w:cs="Times New Roman"/>
          <w:color w:val="000000"/>
          <w:spacing w:val="0"/>
          <w:w w:val="100"/>
          <w:position w:val="0"/>
        </w:rPr>
        <w:t>1973</w:t>
      </w:r>
      <w:r>
        <w:rPr>
          <w:color w:val="000000"/>
          <w:spacing w:val="0"/>
          <w:w w:val="100"/>
          <w:position w:val="0"/>
        </w:rPr>
        <w:t>年生，毕业于武汉大学电子工程专业，本科学历。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月任职于上海航天测控通讯研究所，</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月加入公司。曾任工程中心项目经理，现任上海榕基软件开发有限公司副 总经理。</w:t>
      </w:r>
    </w:p>
    <w:p>
      <w:pPr>
        <w:pStyle w:val="Style30"/>
        <w:keepNext w:val="0"/>
        <w:keepLines w:val="0"/>
        <w:widowControl w:val="0"/>
        <w:shd w:val="clear" w:color="auto" w:fill="auto"/>
        <w:tabs>
          <w:tab w:pos="2448" w:val="left"/>
          <w:tab w:pos="5218" w:val="left"/>
        </w:tabs>
        <w:bidi w:val="0"/>
        <w:spacing w:before="0" w:after="0" w:line="310" w:lineRule="exact"/>
        <w:ind w:left="0" w:right="0" w:firstLine="420"/>
        <w:jc w:val="both"/>
      </w:pPr>
      <w:r>
        <w:rPr>
          <w:color w:val="000000"/>
          <w:spacing w:val="0"/>
          <w:w w:val="100"/>
          <w:position w:val="0"/>
        </w:rPr>
        <w:t>周仁锟：中国国籍，无境外永久居留权。男，</w:t>
      </w:r>
      <w:r>
        <w:rPr>
          <w:rFonts w:ascii="Times New Roman" w:eastAsia="Times New Roman" w:hAnsi="Times New Roman" w:cs="Times New Roman"/>
          <w:color w:val="000000"/>
          <w:spacing w:val="0"/>
          <w:w w:val="100"/>
          <w:position w:val="0"/>
        </w:rPr>
        <w:t>1976</w:t>
      </w:r>
      <w:r>
        <w:rPr>
          <w:color w:val="000000"/>
          <w:spacing w:val="0"/>
          <w:w w:val="100"/>
          <w:position w:val="0"/>
        </w:rPr>
        <w:t>年生，毕业于中南工业大学管理信息系统专业，本科学历。</w:t>
      </w:r>
      <w:r>
        <w:rPr>
          <w:rFonts w:ascii="Times New Roman" w:eastAsia="Times New Roman" w:hAnsi="Times New Roman" w:cs="Times New Roman"/>
          <w:color w:val="000000"/>
          <w:spacing w:val="0"/>
          <w:w w:val="100"/>
          <w:position w:val="0"/>
        </w:rPr>
        <w:t>1999</w:t>
      </w:r>
      <w:r>
        <w:rPr>
          <w:color w:val="000000"/>
          <w:spacing w:val="0"/>
          <w:w w:val="100"/>
          <w:position w:val="0"/>
        </w:rPr>
        <w:t>年 加入公司，曾任公司项目经理、资深工程师、副主任工程师。具有较强的项目组织管理和产品研发能力，在管理信息系统、 电子政务等领域有着深入的技术研究和丰富的实践经验，参与研制了</w:t>
      </w:r>
      <w:r>
        <w:rPr>
          <w:rFonts w:ascii="Times New Roman" w:eastAsia="Times New Roman" w:hAnsi="Times New Roman" w:cs="Times New Roman"/>
          <w:color w:val="000000"/>
          <w:spacing w:val="0"/>
          <w:w w:val="100"/>
          <w:position w:val="0"/>
        </w:rPr>
        <w:t>“</w:t>
      </w:r>
      <w:r>
        <w:rPr>
          <w:color w:val="000000"/>
          <w:spacing w:val="0"/>
          <w:w w:val="100"/>
          <w:position w:val="0"/>
        </w:rPr>
        <w:t>榕基政务信息化系统</w:t>
      </w:r>
      <w:r>
        <w:rPr>
          <w:color w:val="000000"/>
          <w:spacing w:val="0"/>
          <w:w w:val="100"/>
          <w:position w:val="0"/>
        </w:rPr>
        <w:t>（</w:t>
      </w:r>
      <w:r>
        <w:rPr>
          <w:rFonts w:ascii="Times New Roman" w:eastAsia="Times New Roman" w:hAnsi="Times New Roman" w:cs="Times New Roman"/>
          <w:color w:val="000000"/>
          <w:spacing w:val="0"/>
          <w:w w:val="100"/>
          <w:position w:val="0"/>
        </w:rPr>
        <w:t>RJ-eGov</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榕基电子公文传 输交换系统（</w:t>
      </w:r>
      <w:r>
        <w:rPr>
          <w:rFonts w:ascii="Times New Roman" w:eastAsia="Times New Roman" w:hAnsi="Times New Roman" w:cs="Times New Roman"/>
          <w:color w:val="000000"/>
          <w:spacing w:val="0"/>
          <w:w w:val="100"/>
          <w:position w:val="0"/>
        </w:rPr>
        <w:t>RJ-Exchange</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榕基内容管理系统（</w:t>
      </w:r>
      <w:r>
        <w:rPr>
          <w:rFonts w:ascii="Times New Roman" w:eastAsia="Times New Roman" w:hAnsi="Times New Roman" w:cs="Times New Roman"/>
          <w:color w:val="000000"/>
          <w:spacing w:val="0"/>
          <w:w w:val="100"/>
          <w:position w:val="0"/>
        </w:rPr>
        <w:t>RJ-CMS</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榕基法院审判业务管理系统（</w:t>
      </w:r>
      <w:r>
        <w:rPr>
          <w:rFonts w:ascii="Times New Roman" w:eastAsia="Times New Roman" w:hAnsi="Times New Roman" w:cs="Times New Roman"/>
          <w:color w:val="000000"/>
          <w:spacing w:val="0"/>
          <w:w w:val="100"/>
          <w:position w:val="0"/>
        </w:rPr>
        <w:t>RJ-Court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等公司产品，</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曾获</w:t>
      </w:r>
      <w:r>
        <w:rPr>
          <w:rFonts w:ascii="Times New Roman" w:eastAsia="Times New Roman" w:hAnsi="Times New Roman" w:cs="Times New Roman"/>
          <w:color w:val="000000"/>
          <w:spacing w:val="0"/>
          <w:w w:val="100"/>
          <w:position w:val="0"/>
        </w:rPr>
        <w:t>“</w:t>
      </w:r>
      <w:r>
        <w:rPr>
          <w:color w:val="000000"/>
          <w:spacing w:val="0"/>
          <w:w w:val="100"/>
          <w:position w:val="0"/>
        </w:rPr>
        <w:t>福建省职工优秀技术创新成果二等奖</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福建省优秀新产品二等奖</w:t>
      </w:r>
      <w:r>
        <w:rPr>
          <w:rFonts w:ascii="Times New Roman" w:eastAsia="Times New Roman" w:hAnsi="Times New Roman" w:cs="Times New Roman"/>
          <w:color w:val="000000"/>
          <w:spacing w:val="0"/>
          <w:w w:val="100"/>
          <w:position w:val="0"/>
        </w:rPr>
        <w:t>”</w:t>
      </w:r>
      <w:r>
        <w:rPr>
          <w:color w:val="000000"/>
          <w:spacing w:val="0"/>
          <w:w w:val="100"/>
          <w:position w:val="0"/>
        </w:rPr>
        <w:t>。现任公司主任工程师。</w:t>
      </w:r>
    </w:p>
    <w:p>
      <w:pPr>
        <w:pStyle w:val="Style30"/>
        <w:keepNext w:val="0"/>
        <w:keepLines w:val="0"/>
        <w:widowControl w:val="0"/>
        <w:shd w:val="clear" w:color="auto" w:fill="auto"/>
        <w:bidi w:val="0"/>
        <w:spacing w:before="0" w:after="40" w:line="314" w:lineRule="exact"/>
        <w:ind w:left="0" w:right="0" w:firstLine="420"/>
        <w:jc w:val="both"/>
      </w:pPr>
      <w:r>
        <w:rPr>
          <w:color w:val="000000"/>
          <w:spacing w:val="0"/>
          <w:w w:val="100"/>
          <w:position w:val="0"/>
        </w:rPr>
        <w:t>万孝雄：中国国籍，无境外永久居留权，男，</w:t>
      </w:r>
      <w:r>
        <w:rPr>
          <w:rFonts w:ascii="Times New Roman" w:eastAsia="Times New Roman" w:hAnsi="Times New Roman" w:cs="Times New Roman"/>
          <w:color w:val="000000"/>
          <w:spacing w:val="0"/>
          <w:w w:val="100"/>
          <w:position w:val="0"/>
        </w:rPr>
        <w:t>1977</w:t>
      </w:r>
      <w:r>
        <w:rPr>
          <w:color w:val="000000"/>
          <w:spacing w:val="0"/>
          <w:w w:val="100"/>
          <w:position w:val="0"/>
        </w:rPr>
        <w:t>年生，研究生学历，工商管理硕士。</w:t>
      </w:r>
      <w:r>
        <w:rPr>
          <w:rFonts w:ascii="Times New Roman" w:eastAsia="Times New Roman" w:hAnsi="Times New Roman" w:cs="Times New Roman"/>
          <w:color w:val="000000"/>
          <w:spacing w:val="0"/>
          <w:w w:val="100"/>
          <w:position w:val="0"/>
        </w:rPr>
        <w:t>2001</w:t>
      </w:r>
      <w:r>
        <w:rPr>
          <w:color w:val="000000"/>
          <w:spacing w:val="0"/>
          <w:w w:val="100"/>
          <w:position w:val="0"/>
        </w:rPr>
        <w:t>年加入公司，先后担任研 发副总监，营销总监。具有较强的技术管理能力，负责公司信息安全业务技术管理工作，对信息安全具有深入的理解，具有 丰富的安全管理、安全服务、安全培训等实践经验，主持研发了</w:t>
      </w:r>
      <w:r>
        <w:rPr>
          <w:rFonts w:ascii="Times New Roman" w:eastAsia="Times New Roman" w:hAnsi="Times New Roman" w:cs="Times New Roman"/>
          <w:color w:val="000000"/>
          <w:spacing w:val="0"/>
          <w:w w:val="100"/>
          <w:position w:val="0"/>
        </w:rPr>
        <w:t>“</w:t>
      </w:r>
      <w:r>
        <w:rPr>
          <w:color w:val="000000"/>
          <w:spacing w:val="0"/>
          <w:w w:val="100"/>
          <w:position w:val="0"/>
        </w:rPr>
        <w:t>榕基网络隐患扫描系统</w:t>
      </w:r>
      <w:r>
        <w:rPr>
          <w:color w:val="000000"/>
          <w:spacing w:val="0"/>
          <w:w w:val="100"/>
          <w:position w:val="0"/>
        </w:rPr>
        <w:t>（</w:t>
      </w:r>
      <w:r>
        <w:rPr>
          <w:rFonts w:ascii="Times New Roman" w:eastAsia="Times New Roman" w:hAnsi="Times New Roman" w:cs="Times New Roman"/>
          <w:color w:val="000000"/>
          <w:spacing w:val="0"/>
          <w:w w:val="100"/>
          <w:position w:val="0"/>
        </w:rPr>
        <w:t>RJ-iTop</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榕基风险管理系统 </w:t>
      </w:r>
      <w:r>
        <w:rPr>
          <w:color w:val="000000"/>
          <w:spacing w:val="0"/>
          <w:w w:val="100"/>
          <w:position w:val="0"/>
        </w:rPr>
        <w:t>（</w:t>
      </w:r>
      <w:r>
        <w:rPr>
          <w:rFonts w:ascii="Times New Roman" w:eastAsia="Times New Roman" w:hAnsi="Times New Roman" w:cs="Times New Roman"/>
          <w:color w:val="000000"/>
          <w:spacing w:val="0"/>
          <w:w w:val="100"/>
          <w:position w:val="0"/>
        </w:rPr>
        <w:t>RJ-RMS</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等公司信息安全战略产品，曾获</w:t>
      </w:r>
      <w:r>
        <w:rPr>
          <w:rFonts w:ascii="Times New Roman" w:eastAsia="Times New Roman" w:hAnsi="Times New Roman" w:cs="Times New Roman"/>
          <w:color w:val="000000"/>
          <w:spacing w:val="0"/>
          <w:w w:val="100"/>
          <w:position w:val="0"/>
        </w:rPr>
        <w:t>“</w:t>
      </w:r>
      <w:r>
        <w:rPr>
          <w:color w:val="000000"/>
          <w:spacing w:val="0"/>
          <w:w w:val="100"/>
          <w:position w:val="0"/>
        </w:rPr>
        <w:t>福建省科学技术奖三等奖</w:t>
      </w:r>
      <w:r>
        <w:rPr>
          <w:rFonts w:ascii="Times New Roman" w:eastAsia="Times New Roman" w:hAnsi="Times New Roman" w:cs="Times New Roman"/>
          <w:color w:val="000000"/>
          <w:spacing w:val="0"/>
          <w:w w:val="100"/>
          <w:position w:val="0"/>
        </w:rPr>
        <w:t>”</w:t>
      </w:r>
      <w:r>
        <w:rPr>
          <w:color w:val="000000"/>
          <w:spacing w:val="0"/>
          <w:w w:val="100"/>
          <w:position w:val="0"/>
        </w:rPr>
        <w:t>。现任副总裁、公司董事会秘书、福建榕基投资有 限公司总经理、榕基国际控股有限公司董事。</w:t>
      </w:r>
    </w:p>
    <w:p>
      <w:pPr>
        <w:pStyle w:val="Style30"/>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镇千金：中国国籍，无境外永久居留权，女，</w:t>
      </w:r>
      <w:r>
        <w:rPr>
          <w:rFonts w:ascii="Times New Roman" w:eastAsia="Times New Roman" w:hAnsi="Times New Roman" w:cs="Times New Roman"/>
          <w:color w:val="000000"/>
          <w:spacing w:val="0"/>
          <w:w w:val="100"/>
          <w:position w:val="0"/>
        </w:rPr>
        <w:t>1978</w:t>
      </w:r>
      <w:r>
        <w:rPr>
          <w:color w:val="000000"/>
          <w:spacing w:val="0"/>
          <w:w w:val="100"/>
          <w:position w:val="0"/>
        </w:rPr>
        <w:t>年生，毕业于福州大学，研究生学历，工商管理硕士。</w:t>
      </w:r>
      <w:r>
        <w:rPr>
          <w:rFonts w:ascii="Times New Roman" w:eastAsia="Times New Roman" w:hAnsi="Times New Roman" w:cs="Times New Roman"/>
          <w:color w:val="000000"/>
          <w:spacing w:val="0"/>
          <w:w w:val="100"/>
          <w:position w:val="0"/>
        </w:rPr>
        <w:t>2002</w:t>
      </w:r>
      <w:r>
        <w:rPr>
          <w:color w:val="000000"/>
          <w:spacing w:val="0"/>
          <w:w w:val="100"/>
          <w:position w:val="0"/>
        </w:rPr>
        <w:t>年加入 公司，先后在客服部、技术部及财务部工作，曾任公司工程师、会计、财务部经理、监事，现任公司财务总监、榕基国际控 股有限公司董事。</w:t>
      </w:r>
    </w:p>
    <w:p>
      <w:pPr>
        <w:pStyle w:val="Style30"/>
        <w:keepNext w:val="0"/>
        <w:keepLines w:val="0"/>
        <w:widowControl w:val="0"/>
        <w:shd w:val="clear" w:color="auto" w:fill="auto"/>
        <w:bidi w:val="0"/>
        <w:spacing w:before="0" w:after="40" w:line="315" w:lineRule="exact"/>
        <w:ind w:left="0" w:right="0" w:firstLine="420"/>
        <w:jc w:val="both"/>
      </w:pPr>
      <w:r>
        <w:rPr>
          <w:color w:val="000000"/>
          <w:spacing w:val="0"/>
          <w:w w:val="100"/>
          <w:position w:val="0"/>
        </w:rPr>
        <w:t>尚大斌：中国国籍，无境外永久居留权，男，</w:t>
      </w:r>
      <w:r>
        <w:rPr>
          <w:rFonts w:ascii="Times New Roman" w:eastAsia="Times New Roman" w:hAnsi="Times New Roman" w:cs="Times New Roman"/>
          <w:color w:val="000000"/>
          <w:spacing w:val="0"/>
          <w:w w:val="100"/>
          <w:position w:val="0"/>
        </w:rPr>
        <w:t>1978</w:t>
      </w:r>
      <w:r>
        <w:rPr>
          <w:color w:val="000000"/>
          <w:spacing w:val="0"/>
          <w:w w:val="100"/>
          <w:position w:val="0"/>
        </w:rPr>
        <w:t>年生，毕业于湖北工业大学，本科学历，在读工商管理硕士，工程 师。</w:t>
      </w:r>
      <w:r>
        <w:rPr>
          <w:rFonts w:ascii="Times New Roman" w:eastAsia="Times New Roman" w:hAnsi="Times New Roman" w:cs="Times New Roman"/>
          <w:color w:val="000000"/>
          <w:spacing w:val="0"/>
          <w:w w:val="100"/>
          <w:position w:val="0"/>
        </w:rPr>
        <w:t>2003</w:t>
      </w:r>
      <w:r>
        <w:rPr>
          <w:color w:val="000000"/>
          <w:spacing w:val="0"/>
          <w:w w:val="100"/>
          <w:position w:val="0"/>
        </w:rPr>
        <w:t>年加入公司，先后担任浙江榕基信息技术有限公司总经理助理、副总经理，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月至今担任浙江榕基信息技术 有限公司总经理。具有较丰富的团队管理经验，负责浙江榕基信息技术有限公司、上海榕基软件开发有限公司的管理工作， 对政务信息化领域有比较深刻的理解及实践经验。现任公司副总裁、浙江榕基信息技术有限公司总经理。</w:t>
      </w:r>
    </w:p>
    <w:p>
      <w:pPr>
        <w:pStyle w:val="Style30"/>
        <w:keepNext w:val="0"/>
        <w:keepLines w:val="0"/>
        <w:widowControl w:val="0"/>
        <w:shd w:val="clear" w:color="auto" w:fill="auto"/>
        <w:bidi w:val="0"/>
        <w:spacing w:before="0" w:after="40" w:line="314" w:lineRule="exact"/>
        <w:ind w:left="0" w:right="0" w:firstLine="420"/>
        <w:jc w:val="both"/>
      </w:pPr>
      <w:r>
        <w:rPr>
          <w:color w:val="000000"/>
          <w:spacing w:val="0"/>
          <w:w w:val="100"/>
          <w:position w:val="0"/>
        </w:rPr>
        <w:t>倪时龙：中国国籍，无境外永久居留权，男，</w:t>
      </w:r>
      <w:r>
        <w:rPr>
          <w:rFonts w:ascii="Times New Roman" w:eastAsia="Times New Roman" w:hAnsi="Times New Roman" w:cs="Times New Roman"/>
          <w:color w:val="000000"/>
          <w:spacing w:val="0"/>
          <w:w w:val="100"/>
          <w:position w:val="0"/>
        </w:rPr>
        <w:t>1977</w:t>
      </w:r>
      <w:r>
        <w:rPr>
          <w:color w:val="000000"/>
          <w:spacing w:val="0"/>
          <w:w w:val="100"/>
          <w:position w:val="0"/>
        </w:rPr>
        <w:t>年生，毕业于仰恩大学，本科学历，在读软件工程硕士，高级项目 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月进入公司，历任项目经理、分公司技术总监。</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月起任福建亿榕信息技术有限公司常务副总经理，主 持全面工作，专注智能电网相关业务的研究开发。主持开发的产品先后荣获福建省、福州市等单位</w:t>
      </w:r>
      <w:r>
        <w:rPr>
          <w:rFonts w:ascii="Times New Roman" w:eastAsia="Times New Roman" w:hAnsi="Times New Roman" w:cs="Times New Roman"/>
          <w:color w:val="000000"/>
          <w:spacing w:val="0"/>
          <w:w w:val="100"/>
          <w:position w:val="0"/>
        </w:rPr>
        <w:t>“</w:t>
      </w:r>
      <w:r>
        <w:rPr>
          <w:color w:val="000000"/>
          <w:spacing w:val="0"/>
          <w:w w:val="100"/>
          <w:position w:val="0"/>
        </w:rPr>
        <w:t>福建优秀软件产品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 建省名牌产品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科技进步奖</w:t>
      </w:r>
      <w:r>
        <w:rPr>
          <w:rFonts w:ascii="Times New Roman" w:eastAsia="Times New Roman" w:hAnsi="Times New Roman" w:cs="Times New Roman"/>
          <w:color w:val="000000"/>
          <w:spacing w:val="0"/>
          <w:w w:val="100"/>
          <w:position w:val="0"/>
        </w:rPr>
        <w:t>”</w:t>
      </w:r>
      <w:r>
        <w:rPr>
          <w:color w:val="000000"/>
          <w:spacing w:val="0"/>
          <w:w w:val="100"/>
          <w:position w:val="0"/>
        </w:rPr>
        <w:t>等荣誉。个人获得</w:t>
      </w:r>
      <w:r>
        <w:rPr>
          <w:rFonts w:ascii="Times New Roman" w:eastAsia="Times New Roman" w:hAnsi="Times New Roman" w:cs="Times New Roman"/>
          <w:color w:val="000000"/>
          <w:spacing w:val="0"/>
          <w:w w:val="100"/>
          <w:position w:val="0"/>
        </w:rPr>
        <w:t>“</w:t>
      </w:r>
      <w:r>
        <w:rPr>
          <w:color w:val="000000"/>
          <w:spacing w:val="0"/>
          <w:w w:val="100"/>
          <w:position w:val="0"/>
        </w:rPr>
        <w:t>福建省优秀骨干人才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福建省软件杰出人才</w:t>
      </w:r>
      <w:r>
        <w:rPr>
          <w:rFonts w:ascii="Times New Roman" w:eastAsia="Times New Roman" w:hAnsi="Times New Roman" w:cs="Times New Roman"/>
          <w:color w:val="000000"/>
          <w:spacing w:val="0"/>
          <w:w w:val="100"/>
          <w:position w:val="0"/>
        </w:rPr>
        <w:t>”</w:t>
      </w:r>
      <w:r>
        <w:rPr>
          <w:color w:val="000000"/>
          <w:spacing w:val="0"/>
          <w:w w:val="100"/>
          <w:position w:val="0"/>
        </w:rPr>
        <w:t>等称号。现任公司副总裁、 福建亿榕信息技术有限公司总经理。</w:t>
      </w:r>
    </w:p>
    <w:p>
      <w:pPr>
        <w:pStyle w:val="Style30"/>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宾壮兴：中国国籍，无境外永久居留权，男，</w:t>
      </w:r>
      <w:r>
        <w:rPr>
          <w:rFonts w:ascii="Times New Roman" w:eastAsia="Times New Roman" w:hAnsi="Times New Roman" w:cs="Times New Roman"/>
          <w:color w:val="000000"/>
          <w:spacing w:val="0"/>
          <w:w w:val="100"/>
          <w:position w:val="0"/>
        </w:rPr>
        <w:t>1960</w:t>
      </w:r>
      <w:r>
        <w:rPr>
          <w:color w:val="000000"/>
          <w:spacing w:val="0"/>
          <w:w w:val="100"/>
          <w:position w:val="0"/>
        </w:rPr>
        <w:t>年生，毕业于深圳大学人事管理专业，专科学历。</w:t>
      </w:r>
      <w:r>
        <w:rPr>
          <w:rFonts w:ascii="Times New Roman" w:eastAsia="Times New Roman" w:hAnsi="Times New Roman" w:cs="Times New Roman"/>
          <w:color w:val="000000"/>
          <w:spacing w:val="0"/>
          <w:w w:val="100"/>
          <w:position w:val="0"/>
        </w:rPr>
        <w:t>2000</w:t>
      </w:r>
      <w:r>
        <w:rPr>
          <w:color w:val="000000"/>
          <w:spacing w:val="0"/>
          <w:w w:val="100"/>
          <w:position w:val="0"/>
        </w:rPr>
        <w:t>年加入公司， 先后担任榕基软件深圳分公司办公室主任、副总经理。长期从事质检行业应用软件产品的开发及推广管理工作，对质检行业 的信息化建设有一定的了解和丰富的实验经验。具有较强的的市场开拓及企业管理能力。现任公司副总裁、深圳分公司总经 理、北京中榕基信息技术有限公司董事长兼总经理。</w:t>
      </w:r>
    </w:p>
    <w:p>
      <w:pPr>
        <w:pStyle w:val="Style30"/>
        <w:keepNext w:val="0"/>
        <w:keepLines w:val="0"/>
        <w:widowControl w:val="0"/>
        <w:shd w:val="clear" w:color="auto" w:fill="auto"/>
        <w:bidi w:val="0"/>
        <w:spacing w:before="0" w:after="40" w:line="322" w:lineRule="exact"/>
        <w:ind w:left="0" w:right="0" w:firstLine="420"/>
        <w:jc w:val="both"/>
      </w:pPr>
      <w:r>
        <w:rPr>
          <w:color w:val="000000"/>
          <w:spacing w:val="0"/>
          <w:w w:val="100"/>
          <w:position w:val="0"/>
        </w:rPr>
        <w:t>李惠钦：中国国籍，无境外永久居留权，女，</w:t>
      </w:r>
      <w:r>
        <w:rPr>
          <w:rFonts w:ascii="Times New Roman" w:eastAsia="Times New Roman" w:hAnsi="Times New Roman" w:cs="Times New Roman"/>
          <w:color w:val="000000"/>
          <w:spacing w:val="0"/>
          <w:w w:val="100"/>
          <w:position w:val="0"/>
        </w:rPr>
        <w:t>1975</w:t>
      </w:r>
      <w:r>
        <w:rPr>
          <w:color w:val="000000"/>
          <w:spacing w:val="0"/>
          <w:w w:val="100"/>
          <w:position w:val="0"/>
        </w:rPr>
        <w:t>年生，毕业于闽江学院。</w:t>
      </w:r>
      <w:r>
        <w:rPr>
          <w:rFonts w:ascii="Times New Roman" w:eastAsia="Times New Roman" w:hAnsi="Times New Roman" w:cs="Times New Roman"/>
          <w:color w:val="000000"/>
          <w:spacing w:val="0"/>
          <w:w w:val="100"/>
          <w:position w:val="0"/>
        </w:rPr>
        <w:t>1997</w:t>
      </w:r>
      <w:r>
        <w:rPr>
          <w:color w:val="000000"/>
          <w:spacing w:val="0"/>
          <w:w w:val="100"/>
          <w:position w:val="0"/>
        </w:rPr>
        <w:t>年加入公司，先后担任行政部经理、 总裁助理，长期从事市场开拓工作。现任公司副总裁、星榕基总经理。</w:t>
      </w:r>
    </w:p>
    <w:p>
      <w:pPr>
        <w:pStyle w:val="Style3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29"/>
        <w:gridCol w:w="1363"/>
        <w:gridCol w:w="1382"/>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上海榕基软件开发有限公司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福建亿榕信息技术有限公司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8"/>
        <w:gridCol w:w="1090"/>
        <w:gridCol w:w="1229"/>
        <w:gridCol w:w="1363"/>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福建星榕基信息科技有限责任公司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倪时龙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福州大学管理学院会计系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副教授，硕士 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福州大学管理学院创业投资与企业财务 管理研究所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昇兴集团股份有限公司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福建三鑫隆信息技术开发股份有限公司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福建师范大学数学与计算机科学学院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副教授，硕士 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苏小榕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福建拓维律师事务所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高级合伙人、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苏小榕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富春通信股份有限公司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福建榕基投资有限公司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福建文鑫莲业股份有限公司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福建文鑫莲业股份有限公司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李惠钦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福建星榕基信息科技有限责任公司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0"/>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both"/>
      </w:pPr>
      <w:bookmarkStart w:id="507" w:name="bookmark507"/>
      <w:bookmarkStart w:id="508" w:name="bookmark508"/>
      <w:bookmarkStart w:id="509" w:name="bookmark509"/>
      <w:bookmarkStart w:id="510" w:name="bookmark510"/>
      <w:r>
        <w:rPr>
          <w:color w:val="000000"/>
          <w:spacing w:val="0"/>
          <w:w w:val="100"/>
          <w:position w:val="0"/>
          <w:sz w:val="24"/>
          <w:szCs w:val="24"/>
        </w:rPr>
        <w:t>四</w:t>
      </w:r>
      <w:bookmarkEnd w:id="509"/>
      <w:r>
        <w:rPr>
          <w:color w:val="000000"/>
          <w:spacing w:val="0"/>
          <w:w w:val="100"/>
          <w:position w:val="0"/>
          <w:sz w:val="24"/>
          <w:szCs w:val="24"/>
        </w:rPr>
        <w:t>、董事、监事、高级管理人员报酬情况</w:t>
      </w:r>
      <w:bookmarkEnd w:id="507"/>
      <w:bookmarkEnd w:id="508"/>
      <w:bookmarkEnd w:id="510"/>
    </w:p>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260" w:line="310" w:lineRule="exact"/>
        <w:ind w:left="0" w:right="0" w:firstLine="0"/>
        <w:jc w:val="both"/>
      </w:pPr>
      <w:r>
        <w:rPr>
          <w:color w:val="000000"/>
          <w:spacing w:val="0"/>
          <w:w w:val="100"/>
          <w:position w:val="0"/>
        </w:rPr>
        <w:t>报告期内公司根据《公司章程》及《公司董事会薪酬与考核委员会实施细则》，结合公司经营规模等实际情况并参照行业薪 酬水平，制定《公司</w:t>
      </w:r>
      <w:r>
        <w:rPr>
          <w:rFonts w:ascii="Times New Roman" w:eastAsia="Times New Roman" w:hAnsi="Times New Roman" w:cs="Times New Roman"/>
          <w:color w:val="000000"/>
          <w:spacing w:val="0"/>
          <w:w w:val="100"/>
          <w:position w:val="0"/>
        </w:rPr>
        <w:t>2016</w:t>
      </w:r>
      <w:r>
        <w:rPr>
          <w:color w:val="000000"/>
          <w:spacing w:val="0"/>
          <w:w w:val="100"/>
          <w:position w:val="0"/>
        </w:rPr>
        <w:t>年度董事、高级管理人员薪酬方案》，并由公司第三次董事会第二十一次会议及公司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 大会审议通过后执行。</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副董事长、常务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杨学圆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刘景燕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靳谊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苏小榕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魏建光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邬海峰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周仁锟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副总裁、董事会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倪时龙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李惠钦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五</w:t>
      </w:r>
      <w:bookmarkEnd w:id="513"/>
      <w:r>
        <w:rPr>
          <w:color w:val="000000"/>
          <w:spacing w:val="0"/>
          <w:w w:val="100"/>
          <w:position w:val="0"/>
          <w:sz w:val="24"/>
          <w:szCs w:val="24"/>
        </w:rPr>
        <w:t>、公司员工情况</w:t>
      </w:r>
      <w:bookmarkEnd w:id="511"/>
      <w:bookmarkEnd w:id="512"/>
      <w:bookmarkEnd w:id="514"/>
    </w:p>
    <w:p>
      <w:pPr>
        <w:pStyle w:val="Style33"/>
        <w:keepNext/>
        <w:keepLines/>
        <w:widowControl w:val="0"/>
        <w:shd w:val="clear" w:color="auto" w:fill="auto"/>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、员工数量、专业构成及教育程度</w:t>
      </w:r>
      <w:bookmarkEnd w:id="515"/>
      <w:bookmarkEnd w:id="516"/>
      <w:bookmarkEnd w:id="51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color w:val="000000"/>
                <w:spacing w:val="0"/>
                <w:w w:val="100"/>
                <w:position w:val="0"/>
              </w:rPr>
              <w:t>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956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color w:val="000000"/>
                <w:spacing w:val="0"/>
                <w:w w:val="100"/>
                <w:position w:val="0"/>
              </w:rPr>
              <w:t>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color w:val="000000"/>
                <w:spacing w:val="0"/>
                <w:w w:val="100"/>
                <w:position w:val="0"/>
              </w:rPr>
              <w:t>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956</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薪酬政策</w:t>
      </w:r>
      <w:bookmarkEnd w:id="519"/>
      <w:bookmarkEnd w:id="520"/>
      <w:bookmarkEnd w:id="522"/>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公司严格按照《中华人民共和国劳动合同法》和有关劳动法律法规的规定，向员工提供稳定而具有竞争力的薪酬，以充 分调动员工的积极性和创造性。</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培训计划</w:t>
      </w:r>
      <w:bookmarkEnd w:id="523"/>
      <w:bookmarkEnd w:id="524"/>
      <w:bookmarkEnd w:id="526"/>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公司非常注重员工的培训工作，积极寻求各种培训资源和渠道，搭建完善的培训体系，包括新员工入职培训、在职人员 业务培训、管理者提升培训、普法培训、安全培训等。通过培训提高业务能力和管理水平，既能促进公司整体战略目标的实 施，又能满足员工个人能力和职业发展的需求，实现企业和员工的双赢。</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劳务外包情况</w:t>
      </w:r>
      <w:bookmarkEnd w:id="527"/>
      <w:bookmarkEnd w:id="528"/>
      <w:bookmarkEnd w:id="530"/>
    </w:p>
    <w:p>
      <w:pPr>
        <w:pStyle w:val="Style30"/>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1900" w:h="16840"/>
          <w:pgMar w:top="1388" w:right="1070" w:bottom="1455"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480" w:line="240" w:lineRule="auto"/>
        <w:ind w:left="0" w:right="0" w:firstLine="0"/>
        <w:jc w:val="center"/>
      </w:pPr>
      <w:bookmarkStart w:id="531" w:name="bookmark531"/>
      <w:bookmarkStart w:id="532" w:name="bookmark532"/>
      <w:bookmarkStart w:id="533" w:name="bookmark533"/>
      <w:r>
        <w:rPr>
          <w:color w:val="000000"/>
          <w:spacing w:val="0"/>
          <w:w w:val="100"/>
          <w:position w:val="0"/>
        </w:rPr>
        <w:t>第九节公司治理</w:t>
      </w:r>
      <w:bookmarkEnd w:id="531"/>
      <w:bookmarkEnd w:id="532"/>
      <w:bookmarkEnd w:id="533"/>
    </w:p>
    <w:p>
      <w:pPr>
        <w:pStyle w:val="Style26"/>
        <w:keepNext/>
        <w:keepLines/>
        <w:widowControl w:val="0"/>
        <w:shd w:val="clear" w:color="auto" w:fill="auto"/>
        <w:tabs>
          <w:tab w:pos="490"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bookmarkStart w:id="538" w:name="bookmark538"/>
      <w:r>
        <w:rPr>
          <w:color w:val="000000"/>
          <w:spacing w:val="0"/>
          <w:w w:val="100"/>
          <w:position w:val="0"/>
          <w:sz w:val="24"/>
          <w:szCs w:val="24"/>
        </w:rPr>
        <w:t>一</w:t>
      </w:r>
      <w:bookmarkEnd w:id="537"/>
      <w:r>
        <w:rPr>
          <w:color w:val="000000"/>
          <w:spacing w:val="0"/>
          <w:w w:val="100"/>
          <w:position w:val="0"/>
          <w:sz w:val="24"/>
          <w:szCs w:val="24"/>
        </w:rPr>
        <w:t>、</w:t>
        <w:tab/>
        <w:t>公司治理的基本状况</w:t>
      </w:r>
      <w:bookmarkEnd w:id="535"/>
      <w:bookmarkEnd w:id="536"/>
      <w:bookmarkEnd w:id="538"/>
      <w:bookmarkEnd w:id="534"/>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报告期内，公司严格按照《公司法》、《证券法》、《上市公司治理准则》、《深圳证券交易所上市规则》、《深圳证 券交易所中小板上市公司规范运作指引》等法律、行政法规、部门规章、规范性文件的要求，完善公司治理机构，建立健全 内部管理和控制制度，不断提高公司的治理水平。</w:t>
      </w:r>
    </w:p>
    <w:p>
      <w:pPr>
        <w:pStyle w:val="Style30"/>
        <w:keepNext w:val="0"/>
        <w:keepLines w:val="0"/>
        <w:widowControl w:val="0"/>
        <w:shd w:val="clear" w:color="auto" w:fill="auto"/>
        <w:bidi w:val="0"/>
        <w:spacing w:before="0" w:after="120" w:line="320" w:lineRule="exact"/>
        <w:ind w:left="0" w:right="0"/>
        <w:jc w:val="both"/>
      </w:pPr>
      <w:r>
        <w:rPr>
          <w:color w:val="000000"/>
          <w:spacing w:val="0"/>
          <w:w w:val="100"/>
          <w:position w:val="0"/>
        </w:rPr>
        <w:t>公司建立完善了以股东大会为最高权力机构、董事会为决策机构、董事会专业委员会为决策支持机构、监事会为监督机 构、经理层及各子公司为执行机构的治理结构，完善了公司《章程》、《公司股东大会议事规则》、《公司董事会议事规则》、 《公司监事会议事规则》、《公司总裁工作细则》及各专业委员会工作细则等基本管理制度。公司股东大会、董事会、监事 会和经营管理层责权分明、各司其职、有效制衡、科学决策、协调运营，为公司持续、稳定、健康地发展奠定了坚实的基础。 截至报告期末，公司治理的实际状况符合前述法律、行政法规、部门规章、规范性文件关于上市公司治理的相关要求。 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490" w:val="left"/>
        </w:tabs>
        <w:bidi w:val="0"/>
        <w:spacing w:before="0" w:after="2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二</w:t>
      </w:r>
      <w:bookmarkEnd w:id="541"/>
      <w:r>
        <w:rPr>
          <w:color w:val="000000"/>
          <w:spacing w:val="0"/>
          <w:w w:val="100"/>
          <w:position w:val="0"/>
          <w:sz w:val="24"/>
          <w:szCs w:val="24"/>
        </w:rPr>
        <w:t>、</w:t>
        <w:tab/>
        <w:t>公司相对于控股股东在业务、人员、资产、机构、财务等方面的独立情况</w:t>
      </w:r>
      <w:bookmarkEnd w:id="539"/>
      <w:bookmarkEnd w:id="540"/>
      <w:bookmarkEnd w:id="542"/>
    </w:p>
    <w:p>
      <w:pPr>
        <w:pStyle w:val="Style30"/>
        <w:keepNext w:val="0"/>
        <w:keepLines w:val="0"/>
        <w:widowControl w:val="0"/>
        <w:shd w:val="clear" w:color="auto" w:fill="auto"/>
        <w:bidi w:val="0"/>
        <w:spacing w:before="0" w:after="0" w:line="302" w:lineRule="exact"/>
        <w:ind w:left="0" w:right="0"/>
        <w:jc w:val="both"/>
      </w:pPr>
      <w:r>
        <w:rPr>
          <w:color w:val="000000"/>
          <w:spacing w:val="0"/>
          <w:w w:val="100"/>
          <w:position w:val="0"/>
        </w:rPr>
        <w:t>公司严格按照《公司法》和《公司章程》规范运作，逐步建立健全公司的法人治理结构，在业务、资产、人员、机构、 财务等方面均具备独立运营能力。</w:t>
      </w:r>
    </w:p>
    <w:p>
      <w:pPr>
        <w:pStyle w:val="Style30"/>
        <w:keepNext w:val="0"/>
        <w:keepLines w:val="0"/>
        <w:widowControl w:val="0"/>
        <w:shd w:val="clear" w:color="auto" w:fill="auto"/>
        <w:tabs>
          <w:tab w:pos="927" w:val="left"/>
        </w:tabs>
        <w:bidi w:val="0"/>
        <w:spacing w:before="0" w:after="0" w:line="312" w:lineRule="exact"/>
        <w:ind w:left="0" w:right="0"/>
        <w:jc w:val="both"/>
      </w:pPr>
      <w:bookmarkStart w:id="543" w:name="bookmark543"/>
      <w:r>
        <w:rPr>
          <w:color w:val="000000"/>
          <w:spacing w:val="0"/>
          <w:w w:val="100"/>
          <w:position w:val="0"/>
        </w:rPr>
        <w:t>（</w:t>
      </w:r>
      <w:bookmarkEnd w:id="543"/>
      <w:r>
        <w:rPr>
          <w:color w:val="000000"/>
          <w:spacing w:val="0"/>
          <w:w w:val="100"/>
          <w:position w:val="0"/>
        </w:rPr>
        <w:t>一）</w:t>
        <w:tab/>
        <w:t>业务独立情况本公司主营业务为软件产品的开发与销售、计算机系统集成及技术支持与服务。公司独立进行产品 的技术研发、生产和销售，具有独立的软件开发技术，拥有具有自主知识产权的软件产品，拥有独立的注册商标，具备相关 业务市场的准入资质。公司已建立了完整的职能部门架构，拥有独立的采购、生产、销售和研发系统，能独立开展业务；公 司生产经营所需技术为公司合法独立拥有，没有产权争议；公司独立对外签订所有合同，具有独立生产经营决策，独立从事 生产经营活动的能力，所有业务环节不存在依赖控股股东及主要股东的情况。</w:t>
      </w:r>
    </w:p>
    <w:p>
      <w:pPr>
        <w:pStyle w:val="Style30"/>
        <w:keepNext w:val="0"/>
        <w:keepLines w:val="0"/>
        <w:widowControl w:val="0"/>
        <w:shd w:val="clear" w:color="auto" w:fill="auto"/>
        <w:tabs>
          <w:tab w:pos="932" w:val="left"/>
        </w:tabs>
        <w:bidi w:val="0"/>
        <w:spacing w:before="0" w:after="0" w:line="313" w:lineRule="exact"/>
        <w:ind w:left="0" w:right="0"/>
        <w:jc w:val="both"/>
      </w:pPr>
      <w:bookmarkStart w:id="544" w:name="bookmark544"/>
      <w:r>
        <w:rPr>
          <w:color w:val="000000"/>
          <w:spacing w:val="0"/>
          <w:w w:val="100"/>
          <w:position w:val="0"/>
        </w:rPr>
        <w:t>（</w:t>
      </w:r>
      <w:bookmarkEnd w:id="544"/>
      <w:r>
        <w:rPr>
          <w:color w:val="000000"/>
          <w:spacing w:val="0"/>
          <w:w w:val="100"/>
          <w:position w:val="0"/>
        </w:rPr>
        <w:t>二）</w:t>
        <w:tab/>
        <w:t>人员独立情况本公司的研发、生产、采购、销售和行政管理人员均完全独立。截至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日，本公司共有 正式员工</w:t>
      </w:r>
      <w:r>
        <w:rPr>
          <w:rFonts w:ascii="Times New Roman" w:eastAsia="Times New Roman" w:hAnsi="Times New Roman" w:cs="Times New Roman"/>
          <w:color w:val="000000"/>
          <w:spacing w:val="0"/>
          <w:w w:val="100"/>
          <w:position w:val="0"/>
        </w:rPr>
        <w:t>956</w:t>
      </w:r>
      <w:r>
        <w:rPr>
          <w:color w:val="000000"/>
          <w:spacing w:val="0"/>
          <w:w w:val="100"/>
          <w:position w:val="0"/>
        </w:rPr>
        <w:t>人，均与公司签订了劳动聘用合同，公司根据工资管理制度发放工资。公司总裁、副总裁、财务负责人、董事 会秘书及核心技术人员均专职于公司工作，并领取报酬，目前并无在持有公司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以上股份的股东下属企业担任董事、监事 以外的其他职务的情况。公司董事、监事及其他高级管理人员均依《公司法》、《公司章程》等规定的合法程序选举或聘任, 公司具有独立的人事任免权力，不存在控股股东及主要股东干预公司董事会和股东大会，或是超越董事会和股东大会做出人 事任免决定的情况。</w:t>
      </w:r>
    </w:p>
    <w:p>
      <w:pPr>
        <w:pStyle w:val="Style30"/>
        <w:keepNext w:val="0"/>
        <w:keepLines w:val="0"/>
        <w:widowControl w:val="0"/>
        <w:shd w:val="clear" w:color="auto" w:fill="auto"/>
        <w:tabs>
          <w:tab w:pos="932" w:val="left"/>
        </w:tabs>
        <w:bidi w:val="0"/>
        <w:spacing w:before="0" w:after="0" w:line="315" w:lineRule="exact"/>
        <w:ind w:left="0" w:right="0"/>
        <w:jc w:val="both"/>
      </w:pPr>
      <w:bookmarkStart w:id="545" w:name="bookmark545"/>
      <w:r>
        <w:rPr>
          <w:color w:val="000000"/>
          <w:spacing w:val="0"/>
          <w:w w:val="100"/>
          <w:position w:val="0"/>
        </w:rPr>
        <w:t>（</w:t>
      </w:r>
      <w:bookmarkEnd w:id="545"/>
      <w:r>
        <w:rPr>
          <w:color w:val="000000"/>
          <w:spacing w:val="0"/>
          <w:w w:val="100"/>
          <w:position w:val="0"/>
        </w:rPr>
        <w:t>三）</w:t>
        <w:tab/>
        <w:t>资产独立情况公司资产与股东资产严格分开，权属明确，并完全独立运营，公司目前业务和生产经营必需的机器 设备、房屋、土地使用权、商标、专利及其他资产的权属完全由公司独立享有，不存在与股东共用的情况。公司对所有资产 拥有完全的控制和支配权，不存在资产、资金被股东占用而损害公司利益的情况。公司不存在为股东和其他个人提供担保的 情形。</w:t>
      </w:r>
    </w:p>
    <w:p>
      <w:pPr>
        <w:pStyle w:val="Style30"/>
        <w:keepNext w:val="0"/>
        <w:keepLines w:val="0"/>
        <w:widowControl w:val="0"/>
        <w:shd w:val="clear" w:color="auto" w:fill="auto"/>
        <w:tabs>
          <w:tab w:pos="927" w:val="left"/>
        </w:tabs>
        <w:bidi w:val="0"/>
        <w:spacing w:before="0" w:after="0" w:line="312" w:lineRule="exact"/>
        <w:ind w:left="0" w:right="0"/>
        <w:jc w:val="both"/>
      </w:pPr>
      <w:bookmarkStart w:id="546" w:name="bookmark546"/>
      <w:r>
        <w:rPr>
          <w:color w:val="000000"/>
          <w:spacing w:val="0"/>
          <w:w w:val="100"/>
          <w:position w:val="0"/>
        </w:rPr>
        <w:t>（</w:t>
      </w:r>
      <w:bookmarkEnd w:id="546"/>
      <w:r>
        <w:rPr>
          <w:color w:val="000000"/>
          <w:spacing w:val="0"/>
          <w:w w:val="100"/>
          <w:position w:val="0"/>
        </w:rPr>
        <w:t>四）</w:t>
        <w:tab/>
        <w:t>机构独立情况公司设有独立的职能部门，组织结构健全，独立运作，在机构设置上完全分开，不存在与控股股东 混合经营、合署办公等情况。</w:t>
      </w:r>
    </w:p>
    <w:p>
      <w:pPr>
        <w:pStyle w:val="Style30"/>
        <w:keepNext w:val="0"/>
        <w:keepLines w:val="0"/>
        <w:widowControl w:val="0"/>
        <w:shd w:val="clear" w:color="auto" w:fill="auto"/>
        <w:tabs>
          <w:tab w:pos="927" w:val="left"/>
        </w:tabs>
        <w:bidi w:val="0"/>
        <w:spacing w:before="0" w:after="80" w:line="312" w:lineRule="exact"/>
        <w:ind w:left="0" w:right="0"/>
        <w:jc w:val="both"/>
      </w:pPr>
      <w:bookmarkStart w:id="547" w:name="bookmark547"/>
      <w:r>
        <w:rPr>
          <w:color w:val="000000"/>
          <w:spacing w:val="0"/>
          <w:w w:val="100"/>
          <w:position w:val="0"/>
        </w:rPr>
        <w:t>（</w:t>
      </w:r>
      <w:bookmarkEnd w:id="547"/>
      <w:r>
        <w:rPr>
          <w:color w:val="000000"/>
          <w:spacing w:val="0"/>
          <w:w w:val="100"/>
          <w:position w:val="0"/>
        </w:rPr>
        <w:t>五）</w:t>
        <w:tab/>
        <w:t>财务独立情况公司设立了独立的财务部门，配备了专职财务人员，建立了独立的会计核算体系。公司具有独立作 出财务决策的能力。公司经营活动和重大资产处置行为的财务会计处理，均以股东大会决议、董事会决议及相关合同文本为 依据，未出现股东干预公司财务部门业务开展的情形。公司对所拥有资产有完全控制支配权，不存在股东占用公司资产而损 害公司利益的情况。公司独立纳税，独立开设银行账户。</w:t>
      </w:r>
      <w:r>
        <w:br w:type="page"/>
      </w:r>
    </w:p>
    <w:p>
      <w:pPr>
        <w:pStyle w:val="Style26"/>
        <w:keepNext/>
        <w:keepLines/>
        <w:widowControl w:val="0"/>
        <w:shd w:val="clear" w:color="auto" w:fill="auto"/>
        <w:bidi w:val="0"/>
        <w:spacing w:before="0" w:after="36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三</w:t>
      </w:r>
      <w:bookmarkEnd w:id="550"/>
      <w:r>
        <w:rPr>
          <w:color w:val="000000"/>
          <w:spacing w:val="0"/>
          <w:w w:val="100"/>
          <w:position w:val="0"/>
          <w:sz w:val="24"/>
          <w:szCs w:val="24"/>
        </w:rPr>
        <w:t>、同业竞争情况</w:t>
      </w:r>
      <w:bookmarkEnd w:id="548"/>
      <w:bookmarkEnd w:id="549"/>
      <w:bookmarkEnd w:id="55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四</w:t>
      </w:r>
      <w:bookmarkEnd w:id="554"/>
      <w:r>
        <w:rPr>
          <w:color w:val="000000"/>
          <w:spacing w:val="0"/>
          <w:w w:val="100"/>
          <w:position w:val="0"/>
          <w:sz w:val="24"/>
          <w:szCs w:val="24"/>
        </w:rPr>
        <w:t>、报告期内召开的年度股东大会和临时股东大会的有关情况</w:t>
      </w:r>
      <w:bookmarkEnd w:id="552"/>
      <w:bookmarkEnd w:id="553"/>
      <w:bookmarkEnd w:id="555"/>
    </w:p>
    <w:p>
      <w:pPr>
        <w:pStyle w:val="Style33"/>
        <w:keepNext/>
        <w:keepLines/>
        <w:widowControl w:val="0"/>
        <w:shd w:val="clear" w:color="auto" w:fill="auto"/>
        <w:bidi w:val="0"/>
        <w:spacing w:before="0" w:after="32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、本报告期股东大会情况</w:t>
      </w:r>
      <w:bookmarkEnd w:id="556"/>
      <w:bookmarkEnd w:id="557"/>
      <w:bookmarkEnd w:id="559"/>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http: //www. cninfo. c o </w:t>
            </w:r>
            <w:r>
              <w:rPr>
                <w:color w:val="000000"/>
                <w:spacing w:val="0"/>
                <w:w w:val="100"/>
                <w:position w:val="0"/>
              </w:rPr>
              <w:t>m.cn/cninfo-new/dis</w:t>
            </w:r>
            <w:r>
              <w:rPr>
                <w:color w:val="000000"/>
                <w:spacing w:val="0"/>
                <w:w w:val="100"/>
                <w:position w:val="0"/>
              </w:rPr>
              <w:t xml:space="preserve"> clo sure/szse_sme/bul letin_detail/true/120 2264875?announceT ime=2016-04-29</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http: //www. cninfo. c o </w:t>
            </w:r>
            <w:r>
              <w:rPr>
                <w:color w:val="000000"/>
                <w:spacing w:val="0"/>
                <w:w w:val="100"/>
                <w:position w:val="0"/>
              </w:rPr>
              <w:t>m.cn/cninfo-new/dis</w:t>
            </w:r>
            <w:r>
              <w:rPr>
                <w:color w:val="000000"/>
                <w:spacing w:val="0"/>
                <w:w w:val="100"/>
                <w:position w:val="0"/>
              </w:rPr>
              <w:t xml:space="preserve"> clo sure/szse_sme/bul letin_detail/true/120 2818064?announceT ime=2016-11-08</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http: //www. cninfo. c o </w:t>
            </w:r>
            <w:r>
              <w:rPr>
                <w:color w:val="000000"/>
                <w:spacing w:val="0"/>
                <w:w w:val="100"/>
                <w:position w:val="0"/>
              </w:rPr>
              <w:t>m.cn/cninfo-new/dis</w:t>
            </w:r>
            <w:r>
              <w:rPr>
                <w:color w:val="000000"/>
                <w:spacing w:val="0"/>
                <w:w w:val="100"/>
                <w:position w:val="0"/>
              </w:rPr>
              <w:t xml:space="preserve"> clo sure/szse_sme/bul letin_detail/true/120 2981086?announceT ime=2016-12-31</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2</w:t>
      </w:r>
      <w:bookmarkEnd w:id="562"/>
      <w:r>
        <w:rPr>
          <w:color w:val="000000"/>
          <w:spacing w:val="0"/>
          <w:w w:val="100"/>
          <w:position w:val="0"/>
        </w:rPr>
        <w:t>、表决权恢复的优先股股东请求召开临时股东大会</w:t>
      </w:r>
      <w:bookmarkEnd w:id="560"/>
      <w:bookmarkEnd w:id="561"/>
      <w:bookmarkEnd w:id="56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五</w:t>
      </w:r>
      <w:bookmarkEnd w:id="566"/>
      <w:r>
        <w:rPr>
          <w:color w:val="000000"/>
          <w:spacing w:val="0"/>
          <w:w w:val="100"/>
          <w:position w:val="0"/>
          <w:sz w:val="24"/>
          <w:szCs w:val="24"/>
        </w:rPr>
        <w:t>、报告期内独立董事履行职责的情况</w:t>
      </w:r>
      <w:bookmarkEnd w:id="564"/>
      <w:bookmarkEnd w:id="565"/>
      <w:bookmarkEnd w:id="567"/>
    </w:p>
    <w:p>
      <w:pPr>
        <w:pStyle w:val="Style33"/>
        <w:keepNext/>
        <w:keepLines/>
        <w:widowControl w:val="0"/>
        <w:shd w:val="clear" w:color="auto" w:fill="auto"/>
        <w:bidi w:val="0"/>
        <w:spacing w:before="0" w:after="32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、独立董事出席董事会及股东大会的情况</w:t>
      </w:r>
      <w:bookmarkEnd w:id="568"/>
      <w:bookmarkEnd w:id="569"/>
      <w:bookmarkEnd w:id="571"/>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苏小榕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tbl>
      <w:tblPr>
        <w:tblOverlap w:val="never"/>
        <w:jc w:val="center"/>
        <w:tblLayout w:type="fixed"/>
      </w:tblPr>
      <w:tblGrid>
        <w:gridCol w:w="2952"/>
        <w:gridCol w:w="66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24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t>独立董事对公司有关事项提出异议的情况</w:t>
      </w:r>
      <w:bookmarkEnd w:id="572"/>
      <w:bookmarkEnd w:id="573"/>
      <w:bookmarkEnd w:id="575"/>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24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3</w:t>
      </w:r>
      <w:bookmarkEnd w:id="578"/>
      <w:r>
        <w:rPr>
          <w:color w:val="000000"/>
          <w:spacing w:val="0"/>
          <w:w w:val="100"/>
          <w:position w:val="0"/>
        </w:rPr>
        <w:t>、</w:t>
        <w:tab/>
        <w:t>独立董事履行职责的其他说明</w:t>
      </w:r>
      <w:bookmarkEnd w:id="576"/>
      <w:bookmarkEnd w:id="577"/>
      <w:bookmarkEnd w:id="579"/>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独立董事对公司有关建议是否被采纳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60" w:line="314" w:lineRule="exact"/>
        <w:ind w:left="0" w:right="0"/>
        <w:jc w:val="left"/>
      </w:pPr>
      <w:r>
        <w:rPr>
          <w:color w:val="000000"/>
          <w:spacing w:val="0"/>
          <w:w w:val="100"/>
          <w:position w:val="0"/>
        </w:rPr>
        <w:t>公司独立董事在</w:t>
      </w:r>
      <w:r>
        <w:rPr>
          <w:rFonts w:ascii="Times New Roman" w:eastAsia="Times New Roman" w:hAnsi="Times New Roman" w:cs="Times New Roman"/>
          <w:color w:val="000000"/>
          <w:spacing w:val="0"/>
          <w:w w:val="100"/>
          <w:position w:val="0"/>
        </w:rPr>
        <w:t>2016</w:t>
      </w:r>
      <w:r>
        <w:rPr>
          <w:color w:val="000000"/>
          <w:spacing w:val="0"/>
          <w:w w:val="100"/>
          <w:position w:val="0"/>
        </w:rPr>
        <w:t>年度勤勉尽责，忠实履行独立董事职务，积极了解公司的生产经营情况和财务状况，详实听取了公 司相关人员的汇报，定期审阅公司提供的信息报告，掌握公司的运行动态；在董事会上发表意见、行使职权，对公司信息披 露情况等进行监督和核查，提出了科学有效的建议，出具了独立、公正的独立董事意见，积极有效地履行了独立董事的职责， 维护了公司和中小股东的合法权益。</w:t>
      </w:r>
    </w:p>
    <w:p>
      <w:pPr>
        <w:pStyle w:val="Style26"/>
        <w:keepNext/>
        <w:keepLines/>
        <w:widowControl w:val="0"/>
        <w:shd w:val="clear" w:color="auto" w:fill="auto"/>
        <w:bidi w:val="0"/>
        <w:spacing w:before="0" w:after="24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六</w:t>
      </w:r>
      <w:bookmarkEnd w:id="582"/>
      <w:r>
        <w:rPr>
          <w:color w:val="000000"/>
          <w:spacing w:val="0"/>
          <w:w w:val="100"/>
          <w:position w:val="0"/>
          <w:sz w:val="24"/>
          <w:szCs w:val="24"/>
        </w:rPr>
        <w:t>、董事会下设专门委员会在报告期内履行职责情况</w:t>
      </w:r>
      <w:bookmarkEnd w:id="580"/>
      <w:bookmarkEnd w:id="581"/>
      <w:bookmarkEnd w:id="583"/>
    </w:p>
    <w:p>
      <w:pPr>
        <w:pStyle w:val="Style30"/>
        <w:keepNext w:val="0"/>
        <w:keepLines w:val="0"/>
        <w:widowControl w:val="0"/>
        <w:shd w:val="clear" w:color="auto" w:fill="auto"/>
        <w:bidi w:val="0"/>
        <w:spacing w:before="0" w:after="120" w:line="312" w:lineRule="exact"/>
        <w:ind w:left="0" w:right="0" w:firstLine="300"/>
        <w:jc w:val="left"/>
      </w:pPr>
      <w:r>
        <w:rPr>
          <w:color w:val="000000"/>
          <w:spacing w:val="0"/>
          <w:w w:val="100"/>
          <w:position w:val="0"/>
        </w:rPr>
        <w:t>公司董事会下设四个专门委员会，分别为审计委员会、提名委员会、战略委员会、薪酬与考核委员会。</w:t>
      </w:r>
      <w:r>
        <w:rPr>
          <w:rFonts w:ascii="Times New Roman" w:eastAsia="Times New Roman" w:hAnsi="Times New Roman" w:cs="Times New Roman"/>
          <w:color w:val="000000"/>
          <w:spacing w:val="0"/>
          <w:w w:val="100"/>
          <w:position w:val="0"/>
        </w:rPr>
        <w:t>2016</w:t>
      </w:r>
      <w:r>
        <w:rPr>
          <w:color w:val="000000"/>
          <w:spacing w:val="0"/>
          <w:w w:val="100"/>
          <w:position w:val="0"/>
        </w:rPr>
        <w:t>年度各专门 委员会本着勤勉尽责的原则，按照有关法律法规、规范性文件及公司各专门委员会工作细则的有关规定开展相关工作。</w:t>
      </w:r>
    </w:p>
    <w:p>
      <w:pPr>
        <w:pStyle w:val="Style30"/>
        <w:keepNext w:val="0"/>
        <w:keepLines w:val="0"/>
        <w:widowControl w:val="0"/>
        <w:numPr>
          <w:ilvl w:val="0"/>
          <w:numId w:val="15"/>
        </w:numPr>
        <w:shd w:val="clear" w:color="auto" w:fill="auto"/>
        <w:tabs>
          <w:tab w:pos="821" w:val="left"/>
        </w:tabs>
        <w:bidi w:val="0"/>
        <w:spacing w:before="0" w:after="0"/>
        <w:ind w:left="0" w:right="0" w:firstLine="520"/>
        <w:jc w:val="both"/>
      </w:pPr>
      <w:bookmarkStart w:id="584" w:name="bookmark584"/>
      <w:bookmarkEnd w:id="584"/>
      <w:r>
        <w:rPr>
          <w:color w:val="000000"/>
          <w:spacing w:val="0"/>
          <w:w w:val="100"/>
          <w:position w:val="0"/>
        </w:rPr>
        <w:t>战略委员会</w:t>
      </w:r>
    </w:p>
    <w:p>
      <w:pPr>
        <w:pStyle w:val="Style30"/>
        <w:keepNext w:val="0"/>
        <w:keepLines w:val="0"/>
        <w:widowControl w:val="0"/>
        <w:shd w:val="clear" w:color="auto" w:fill="auto"/>
        <w:bidi w:val="0"/>
        <w:spacing w:before="0" w:after="120" w:line="307" w:lineRule="exact"/>
        <w:ind w:left="0" w:right="0"/>
        <w:jc w:val="left"/>
      </w:pPr>
      <w:r>
        <w:rPr>
          <w:color w:val="000000"/>
          <w:spacing w:val="0"/>
          <w:w w:val="100"/>
          <w:position w:val="0"/>
        </w:rPr>
        <w:t>报告期内，公司董事会战略委员会结合国内外宏观经济环境以及公司所在行业现状，深入分析公司经营现状和发展前景, 对公司长期发展战略决策以及重大投资决策进行研究并提出建议。</w:t>
      </w:r>
    </w:p>
    <w:p>
      <w:pPr>
        <w:pStyle w:val="Style30"/>
        <w:keepNext w:val="0"/>
        <w:keepLines w:val="0"/>
        <w:widowControl w:val="0"/>
        <w:numPr>
          <w:ilvl w:val="0"/>
          <w:numId w:val="15"/>
        </w:numPr>
        <w:shd w:val="clear" w:color="auto" w:fill="auto"/>
        <w:tabs>
          <w:tab w:pos="920" w:val="left"/>
        </w:tabs>
        <w:bidi w:val="0"/>
        <w:spacing w:before="0" w:after="0"/>
        <w:ind w:left="0" w:right="0" w:firstLine="600"/>
        <w:jc w:val="both"/>
      </w:pPr>
      <w:bookmarkStart w:id="585" w:name="bookmark585"/>
      <w:bookmarkEnd w:id="585"/>
      <w:r>
        <w:rPr>
          <w:color w:val="000000"/>
          <w:spacing w:val="0"/>
          <w:w w:val="100"/>
          <w:position w:val="0"/>
        </w:rPr>
        <w:t>审计委员会</w:t>
      </w:r>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报告期内，公司董事会审计委员会认真审阅了公司定期报告以及审计部门定期提交的的各项内部审计报告，听取了审计 部门上年度工作总结及本年度工作计划，监督公司内部控制制度的建立健全及执行情况，指导审计部开展各项工作。</w:t>
      </w:r>
    </w:p>
    <w:p>
      <w:pPr>
        <w:pStyle w:val="Style30"/>
        <w:keepNext w:val="0"/>
        <w:keepLines w:val="0"/>
        <w:widowControl w:val="0"/>
        <w:shd w:val="clear" w:color="auto" w:fill="auto"/>
        <w:bidi w:val="0"/>
        <w:spacing w:before="0" w:after="120" w:line="314" w:lineRule="exact"/>
        <w:ind w:left="0" w:right="0" w:firstLine="300"/>
        <w:jc w:val="both"/>
      </w:pPr>
      <w:r>
        <w:rPr>
          <w:color w:val="000000"/>
          <w:spacing w:val="0"/>
          <w:w w:val="100"/>
          <w:position w:val="0"/>
        </w:rPr>
        <w:t>在公司</w:t>
      </w:r>
      <w:r>
        <w:rPr>
          <w:rFonts w:ascii="Times New Roman" w:eastAsia="Times New Roman" w:hAnsi="Times New Roman" w:cs="Times New Roman"/>
          <w:color w:val="000000"/>
          <w:spacing w:val="0"/>
          <w:w w:val="100"/>
          <w:position w:val="0"/>
        </w:rPr>
        <w:t>2016</w:t>
      </w:r>
      <w:r>
        <w:rPr>
          <w:color w:val="000000"/>
          <w:spacing w:val="0"/>
          <w:w w:val="100"/>
          <w:position w:val="0"/>
        </w:rPr>
        <w:t>年年度审计工作中，审计委员会积极履行职责，在公司年度财务审计机构会计师进场前认真审阅了公司编制 的财务会计报表，与会计师进行充分沟通，督促年审会计师按时提交审计报告，并于年审会计师出具初步审计意见后重新审 阅公司财务会计报表，与年审注册会计师交流后决议提交公司董事会审议。</w:t>
      </w:r>
    </w:p>
    <w:p>
      <w:pPr>
        <w:pStyle w:val="Style30"/>
        <w:keepNext w:val="0"/>
        <w:keepLines w:val="0"/>
        <w:widowControl w:val="0"/>
        <w:numPr>
          <w:ilvl w:val="0"/>
          <w:numId w:val="15"/>
        </w:numPr>
        <w:shd w:val="clear" w:color="auto" w:fill="auto"/>
        <w:tabs>
          <w:tab w:pos="830" w:val="left"/>
        </w:tabs>
        <w:bidi w:val="0"/>
        <w:spacing w:before="0" w:after="0"/>
        <w:ind w:left="0" w:right="0" w:firstLine="520"/>
        <w:jc w:val="both"/>
      </w:pPr>
      <w:bookmarkStart w:id="586" w:name="bookmark586"/>
      <w:bookmarkEnd w:id="586"/>
      <w:r>
        <w:rPr>
          <w:color w:val="000000"/>
          <w:spacing w:val="0"/>
          <w:w w:val="100"/>
          <w:position w:val="0"/>
        </w:rPr>
        <w:t>提名委员会</w:t>
      </w:r>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报告期内，公司董事会提名委员会根据《公司章程》等有关规定，对公司新增董事、高级管理人员的人选、选择标准和 程序进行审查，对其任职资格认真审查后发表审查意见和建议，提交董事会审议。</w:t>
      </w:r>
    </w:p>
    <w:p>
      <w:pPr>
        <w:pStyle w:val="Style30"/>
        <w:keepNext w:val="0"/>
        <w:keepLines w:val="0"/>
        <w:widowControl w:val="0"/>
        <w:numPr>
          <w:ilvl w:val="0"/>
          <w:numId w:val="15"/>
        </w:numPr>
        <w:shd w:val="clear" w:color="auto" w:fill="auto"/>
        <w:tabs>
          <w:tab w:pos="840" w:val="left"/>
        </w:tabs>
        <w:bidi w:val="0"/>
        <w:spacing w:before="0" w:after="0"/>
        <w:ind w:left="0" w:right="0" w:firstLine="520"/>
        <w:jc w:val="both"/>
      </w:pPr>
      <w:bookmarkStart w:id="587" w:name="bookmark587"/>
      <w:bookmarkEnd w:id="587"/>
      <w:r>
        <w:rPr>
          <w:color w:val="000000"/>
          <w:spacing w:val="0"/>
          <w:w w:val="100"/>
          <w:position w:val="0"/>
        </w:rPr>
        <w:t>薪酬与考核委员会</w:t>
      </w:r>
    </w:p>
    <w:p>
      <w:pPr>
        <w:pStyle w:val="Style30"/>
        <w:keepNext w:val="0"/>
        <w:keepLines w:val="0"/>
        <w:widowControl w:val="0"/>
        <w:shd w:val="clear" w:color="auto" w:fill="auto"/>
        <w:bidi w:val="0"/>
        <w:spacing w:before="0" w:after="180" w:line="312" w:lineRule="exact"/>
        <w:ind w:left="0" w:right="0"/>
        <w:jc w:val="left"/>
      </w:pPr>
      <w:r>
        <w:rPr>
          <w:color w:val="000000"/>
          <w:spacing w:val="0"/>
          <w:w w:val="100"/>
          <w:position w:val="0"/>
        </w:rPr>
        <w:t>报告期内，公司董事会薪酬与考核委员会根据绩效考核办法对公司董事、监事和高级管理人员进行考核，确认其薪酬、 奖金及津贴情况，认为公司董事、监事、高级管理人员薪酬水平合理、合法。</w:t>
      </w:r>
    </w:p>
    <w:p>
      <w:pPr>
        <w:pStyle w:val="Style26"/>
        <w:keepNext/>
        <w:keepLines/>
        <w:widowControl w:val="0"/>
        <w:shd w:val="clear" w:color="auto" w:fill="auto"/>
        <w:tabs>
          <w:tab w:pos="526" w:val="left"/>
        </w:tabs>
        <w:bidi w:val="0"/>
        <w:spacing w:before="0" w:after="2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七</w:t>
      </w:r>
      <w:bookmarkEnd w:id="590"/>
      <w:r>
        <w:rPr>
          <w:color w:val="000000"/>
          <w:spacing w:val="0"/>
          <w:w w:val="100"/>
          <w:position w:val="0"/>
          <w:sz w:val="24"/>
          <w:szCs w:val="24"/>
        </w:rPr>
        <w:t>、</w:t>
        <w:tab/>
        <w:t>监事会工作情况</w:t>
      </w:r>
      <w:bookmarkEnd w:id="588"/>
      <w:bookmarkEnd w:id="589"/>
      <w:bookmarkEnd w:id="591"/>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40" w:line="317" w:lineRule="exact"/>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26" w:val="left"/>
        </w:tabs>
        <w:bidi w:val="0"/>
        <w:spacing w:before="0" w:after="24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八</w:t>
      </w:r>
      <w:bookmarkEnd w:id="594"/>
      <w:r>
        <w:rPr>
          <w:color w:val="000000"/>
          <w:spacing w:val="0"/>
          <w:w w:val="100"/>
          <w:position w:val="0"/>
          <w:sz w:val="24"/>
          <w:szCs w:val="24"/>
        </w:rPr>
        <w:t>、</w:t>
        <w:tab/>
        <w:t>高级管理人员的考评及激励情况</w:t>
      </w:r>
      <w:bookmarkEnd w:id="592"/>
      <w:bookmarkEnd w:id="593"/>
      <w:bookmarkEnd w:id="595"/>
    </w:p>
    <w:p>
      <w:pPr>
        <w:pStyle w:val="Style30"/>
        <w:keepNext w:val="0"/>
        <w:keepLines w:val="0"/>
        <w:widowControl w:val="0"/>
        <w:shd w:val="clear" w:color="auto" w:fill="auto"/>
        <w:bidi w:val="0"/>
        <w:spacing w:before="0" w:after="340" w:line="317" w:lineRule="exact"/>
        <w:ind w:left="0" w:right="0"/>
        <w:jc w:val="left"/>
      </w:pPr>
      <w:r>
        <w:rPr>
          <w:color w:val="000000"/>
          <w:spacing w:val="0"/>
          <w:w w:val="100"/>
          <w:position w:val="0"/>
        </w:rPr>
        <w:t>公司的高级管理人员依据《公司章程》和岗位职责开展工作。公司董事会薪酬与考核委员会依据董事、监事及高级管理 人员职责履行情况及业绩，对其进行考评，并依据考评结果提出薪酬方案，并提交董事会、股东大会审议。</w:t>
      </w:r>
    </w:p>
    <w:p>
      <w:pPr>
        <w:pStyle w:val="Style26"/>
        <w:keepNext/>
        <w:keepLines/>
        <w:widowControl w:val="0"/>
        <w:shd w:val="clear" w:color="auto" w:fill="auto"/>
        <w:tabs>
          <w:tab w:pos="526" w:val="left"/>
        </w:tabs>
        <w:bidi w:val="0"/>
        <w:spacing w:before="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九</w:t>
      </w:r>
      <w:bookmarkEnd w:id="598"/>
      <w:r>
        <w:rPr>
          <w:color w:val="000000"/>
          <w:spacing w:val="0"/>
          <w:w w:val="100"/>
          <w:position w:val="0"/>
          <w:sz w:val="24"/>
          <w:szCs w:val="24"/>
        </w:rPr>
        <w:t>、</w:t>
        <w:tab/>
        <w:t>内部控制评价报告</w:t>
      </w:r>
      <w:bookmarkEnd w:id="596"/>
      <w:bookmarkEnd w:id="597"/>
      <w:bookmarkEnd w:id="599"/>
    </w:p>
    <w:p>
      <w:pPr>
        <w:pStyle w:val="Style33"/>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、报告期内发现的内部控制重大缺陷的具体情况</w:t>
      </w:r>
      <w:bookmarkEnd w:id="600"/>
      <w:bookmarkEnd w:id="601"/>
      <w:bookmarkEnd w:id="603"/>
    </w:p>
    <w:p>
      <w:pPr>
        <w:pStyle w:val="Style30"/>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、内控自我评价报告</w:t>
      </w:r>
      <w:bookmarkEnd w:id="604"/>
      <w:bookmarkEnd w:id="605"/>
      <w:bookmarkEnd w:id="60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年度内部控制自我评价报告》详见巨潮资讯网</w:t>
            </w: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7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公司确定的财务报告内部控制缺陷评价的 定性标准如下：</w:t>
            </w:r>
            <w:r>
              <w:rPr>
                <w:color w:val="000000"/>
                <w:spacing w:val="0"/>
                <w:w w:val="100"/>
                <w:position w:val="0"/>
              </w:rPr>
              <w:t>1</w:t>
            </w:r>
            <w:r>
              <w:rPr>
                <w:rFonts w:ascii="SimSun" w:eastAsia="SimSun" w:hAnsi="SimSun" w:cs="SimSun"/>
                <w:color w:val="000000"/>
                <w:spacing w:val="0"/>
                <w:w w:val="100"/>
                <w:position w:val="0"/>
              </w:rPr>
              <w:t>、重大缺陷的认定标准： ①公司高级管理人员舞弊；②公司更正已 公布的财务报告；③注册会计师发现当期 财务报告存在重大错报，而内部控制在运 行过程中未能发现该错报；④公司审计委 员会和内部审计机构对内部控制的监督无 效。</w:t>
            </w:r>
            <w:r>
              <w:rPr>
                <w:color w:val="000000"/>
                <w:spacing w:val="0"/>
                <w:w w:val="100"/>
                <w:position w:val="0"/>
              </w:rPr>
              <w:t>2</w:t>
            </w:r>
            <w:r>
              <w:rPr>
                <w:rFonts w:ascii="SimSun" w:eastAsia="SimSun" w:hAnsi="SimSun" w:cs="SimSun"/>
                <w:color w:val="000000"/>
                <w:spacing w:val="0"/>
                <w:w w:val="100"/>
                <w:position w:val="0"/>
              </w:rPr>
              <w:t>、重要缺陷的认定标准：①未依照公 认会计准则选择和应用会计政策、未建立 反舞弊程序和控制措施；②对于非常规或 特殊交易的账务处理没有建立相应的控制 机制或没有实施且没有相应的补偿性控 制；③对于期末财务报告过程的控制存在 一项或多项缺陷且不能合理保证编制的财 务报表达到真实、准确的目标。</w:t>
            </w:r>
            <w:r>
              <w:rPr>
                <w:color w:val="000000"/>
                <w:spacing w:val="0"/>
                <w:w w:val="100"/>
                <w:position w:val="0"/>
              </w:rPr>
              <w:t>3</w:t>
            </w:r>
            <w:r>
              <w:rPr>
                <w:rFonts w:ascii="SimSun" w:eastAsia="SimSun" w:hAnsi="SimSun" w:cs="SimSun"/>
                <w:color w:val="000000"/>
                <w:spacing w:val="0"/>
                <w:w w:val="100"/>
                <w:position w:val="0"/>
              </w:rPr>
              <w:t>、财务报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公司确定的非财务报告内部控制缺陷 评价的定量标准如下：非财务报告内部 控制缺陷评价的定量标准参照财务报 告内部控制缺陷评价的定量标准执行。</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告一般缺陷是指除上述重大缺陷、重要缺 陷之外的其他控制缺陷。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公司确定的财务报告内部控制缺陷评价的 定量标准如下：</w:t>
            </w:r>
            <w:r>
              <w:rPr>
                <w:color w:val="000000"/>
                <w:spacing w:val="0"/>
                <w:w w:val="100"/>
                <w:position w:val="0"/>
              </w:rPr>
              <w:t>1</w:t>
            </w:r>
            <w:r>
              <w:rPr>
                <w:rFonts w:ascii="SimSun" w:eastAsia="SimSun" w:hAnsi="SimSun" w:cs="SimSun"/>
                <w:color w:val="000000"/>
                <w:spacing w:val="0"/>
                <w:w w:val="100"/>
                <w:position w:val="0"/>
              </w:rPr>
              <w:t>、以资产总额指标衡量。 如果该缺陷单独或连同其他缺陷可能导致 财务报告错报金额小于资产总额的</w:t>
            </w:r>
            <w:r>
              <w:rPr>
                <w:color w:val="000000"/>
                <w:spacing w:val="0"/>
                <w:w w:val="100"/>
                <w:position w:val="0"/>
              </w:rPr>
              <w:t>0.5%</w:t>
            </w:r>
            <w:r>
              <w:rPr>
                <w:rFonts w:ascii="SimSun" w:eastAsia="SimSun" w:hAnsi="SimSun" w:cs="SimSun"/>
                <w:color w:val="000000"/>
                <w:spacing w:val="0"/>
                <w:w w:val="100"/>
                <w:position w:val="0"/>
              </w:rPr>
              <w:t xml:space="preserve">, 则认定为一般缺陷；如果超过资产总额的 </w:t>
            </w:r>
            <w:r>
              <w:rPr>
                <w:color w:val="000000"/>
                <w:spacing w:val="0"/>
                <w:w w:val="100"/>
                <w:position w:val="0"/>
              </w:rPr>
              <w:t>0.5%</w:t>
            </w:r>
            <w:r>
              <w:rPr>
                <w:rFonts w:ascii="SimSun" w:eastAsia="SimSun" w:hAnsi="SimSun" w:cs="SimSun"/>
                <w:color w:val="000000"/>
                <w:spacing w:val="0"/>
                <w:w w:val="100"/>
                <w:position w:val="0"/>
              </w:rPr>
              <w:t>但小于</w:t>
            </w:r>
            <w:r>
              <w:rPr>
                <w:color w:val="000000"/>
                <w:spacing w:val="0"/>
                <w:w w:val="100"/>
                <w:position w:val="0"/>
              </w:rPr>
              <w:t>1%</w:t>
            </w:r>
            <w:r>
              <w:rPr>
                <w:rFonts w:ascii="SimSun" w:eastAsia="SimSun" w:hAnsi="SimSun" w:cs="SimSun"/>
                <w:color w:val="000000"/>
                <w:spacing w:val="0"/>
                <w:w w:val="100"/>
                <w:position w:val="0"/>
              </w:rPr>
              <w:t>,则认定为重要缺陷；如 果超过资产总额的</w:t>
            </w:r>
            <w:r>
              <w:rPr>
                <w:color w:val="000000"/>
                <w:spacing w:val="0"/>
                <w:w w:val="100"/>
                <w:position w:val="0"/>
              </w:rPr>
              <w:t>1%</w:t>
            </w:r>
            <w:r>
              <w:rPr>
                <w:rFonts w:ascii="SimSun" w:eastAsia="SimSun" w:hAnsi="SimSun" w:cs="SimSun"/>
                <w:color w:val="000000"/>
                <w:spacing w:val="0"/>
                <w:w w:val="100"/>
                <w:position w:val="0"/>
              </w:rPr>
              <w:t>,则认定为重大缺 陷。</w:t>
            </w:r>
            <w:r>
              <w:rPr>
                <w:color w:val="000000"/>
                <w:spacing w:val="0"/>
                <w:w w:val="100"/>
                <w:position w:val="0"/>
              </w:rPr>
              <w:t>2</w:t>
            </w:r>
            <w:r>
              <w:rPr>
                <w:rFonts w:ascii="SimSun" w:eastAsia="SimSun" w:hAnsi="SimSun" w:cs="SimSun"/>
                <w:color w:val="000000"/>
                <w:spacing w:val="0"/>
                <w:w w:val="100"/>
                <w:position w:val="0"/>
              </w:rPr>
              <w:t>、以营业收入指标衡量。如果该缺陷 单独或连同其他缺陷可能导致财务报告错 报金额小于营业收入的</w:t>
            </w:r>
            <w:r>
              <w:rPr>
                <w:color w:val="000000"/>
                <w:spacing w:val="0"/>
                <w:w w:val="100"/>
                <w:position w:val="0"/>
              </w:rPr>
              <w:t>1%</w:t>
            </w:r>
            <w:r>
              <w:rPr>
                <w:rFonts w:ascii="SimSun" w:eastAsia="SimSun" w:hAnsi="SimSun" w:cs="SimSun"/>
                <w:color w:val="000000"/>
                <w:spacing w:val="0"/>
                <w:w w:val="100"/>
                <w:position w:val="0"/>
              </w:rPr>
              <w:t>,则认定为一般 缺陷;如果超过营业收入的</w:t>
            </w:r>
            <w:r>
              <w:rPr>
                <w:color w:val="000000"/>
                <w:spacing w:val="0"/>
                <w:w w:val="100"/>
                <w:position w:val="0"/>
              </w:rPr>
              <w:t>1%</w:t>
            </w:r>
            <w:r>
              <w:rPr>
                <w:rFonts w:ascii="SimSun" w:eastAsia="SimSun" w:hAnsi="SimSun" w:cs="SimSun"/>
                <w:color w:val="000000"/>
                <w:spacing w:val="0"/>
                <w:w w:val="100"/>
                <w:position w:val="0"/>
              </w:rPr>
              <w:t>但小于</w:t>
            </w:r>
            <w:r>
              <w:rPr>
                <w:color w:val="000000"/>
                <w:spacing w:val="0"/>
                <w:w w:val="100"/>
                <w:position w:val="0"/>
              </w:rPr>
              <w:t>2%</w:t>
            </w:r>
            <w:r>
              <w:rPr>
                <w:rFonts w:ascii="SimSun" w:eastAsia="SimSun" w:hAnsi="SimSun" w:cs="SimSun"/>
                <w:color w:val="000000"/>
                <w:spacing w:val="0"/>
                <w:w w:val="100"/>
                <w:position w:val="0"/>
              </w:rPr>
              <w:t xml:space="preserve">， 则认定为重要缺陷；如果超过营业收入的 </w:t>
            </w:r>
            <w:r>
              <w:rPr>
                <w:color w:val="000000"/>
                <w:spacing w:val="0"/>
                <w:w w:val="100"/>
                <w:position w:val="0"/>
              </w:rPr>
              <w:t>2%</w:t>
            </w:r>
            <w:r>
              <w:rPr>
                <w:rFonts w:ascii="SimSun" w:eastAsia="SimSun" w:hAnsi="SimSun" w:cs="SimSun"/>
                <w:color w:val="000000"/>
                <w:spacing w:val="0"/>
                <w:w w:val="100"/>
                <w:position w:val="0"/>
              </w:rPr>
              <w:t>,则认定为重大缺陷。</w:t>
            </w:r>
            <w:r>
              <w:rPr>
                <w:color w:val="000000"/>
                <w:spacing w:val="0"/>
                <w:w w:val="100"/>
                <w:position w:val="0"/>
              </w:rPr>
              <w:t>3</w:t>
            </w:r>
            <w:r>
              <w:rPr>
                <w:rFonts w:ascii="SimSun" w:eastAsia="SimSun" w:hAnsi="SimSun" w:cs="SimSun"/>
                <w:color w:val="000000"/>
                <w:spacing w:val="0"/>
                <w:w w:val="100"/>
                <w:position w:val="0"/>
              </w:rPr>
              <w:t>、以利润总额 指标衡量。如果该缺陷单独或连同其他缺 陷可能导致财务报告错报金额小于利润总 额的</w:t>
            </w:r>
            <w:r>
              <w:rPr>
                <w:color w:val="000000"/>
                <w:spacing w:val="0"/>
                <w:w w:val="100"/>
                <w:position w:val="0"/>
              </w:rPr>
              <w:t>2%</w:t>
            </w:r>
            <w:r>
              <w:rPr>
                <w:rFonts w:ascii="SimSun" w:eastAsia="SimSun" w:hAnsi="SimSun" w:cs="SimSun"/>
                <w:color w:val="000000"/>
                <w:spacing w:val="0"/>
                <w:w w:val="100"/>
                <w:position w:val="0"/>
              </w:rPr>
              <w:t>,则认定为一般缺陷；如果超过利 润总额的</w:t>
            </w:r>
            <w:r>
              <w:rPr>
                <w:color w:val="000000"/>
                <w:spacing w:val="0"/>
                <w:w w:val="100"/>
                <w:position w:val="0"/>
              </w:rPr>
              <w:t>2%</w:t>
            </w:r>
            <w:r>
              <w:rPr>
                <w:rFonts w:ascii="SimSun" w:eastAsia="SimSun" w:hAnsi="SimSun" w:cs="SimSun"/>
                <w:color w:val="000000"/>
                <w:spacing w:val="0"/>
                <w:w w:val="100"/>
                <w:position w:val="0"/>
              </w:rPr>
              <w:t>但小于</w:t>
            </w:r>
            <w:r>
              <w:rPr>
                <w:color w:val="000000"/>
                <w:spacing w:val="0"/>
                <w:w w:val="100"/>
                <w:position w:val="0"/>
              </w:rPr>
              <w:t>5%</w:t>
            </w:r>
            <w:r>
              <w:rPr>
                <w:rFonts w:ascii="SimSun" w:eastAsia="SimSun" w:hAnsi="SimSun" w:cs="SimSun"/>
                <w:color w:val="000000"/>
                <w:spacing w:val="0"/>
                <w:w w:val="100"/>
                <w:position w:val="0"/>
              </w:rPr>
              <w:t>,则认定为重要缺 陷；如果超过利润总额的</w:t>
            </w:r>
            <w:r>
              <w:rPr>
                <w:color w:val="000000"/>
                <w:spacing w:val="0"/>
                <w:w w:val="100"/>
                <w:position w:val="0"/>
              </w:rPr>
              <w:t>5%</w:t>
            </w:r>
            <w:r>
              <w:rPr>
                <w:rFonts w:ascii="SimSun" w:eastAsia="SimSun" w:hAnsi="SimSun" w:cs="SimSun"/>
                <w:color w:val="000000"/>
                <w:spacing w:val="0"/>
                <w:w w:val="100"/>
                <w:position w:val="0"/>
              </w:rPr>
              <w:t>,则认定为重 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公司确定的非财务报告内部控制缺陷 评价的定性标准如下：</w:t>
            </w:r>
            <w:r>
              <w:rPr>
                <w:color w:val="000000"/>
                <w:spacing w:val="0"/>
                <w:w w:val="100"/>
                <w:position w:val="0"/>
              </w:rPr>
              <w:t>1</w:t>
            </w:r>
            <w:r>
              <w:rPr>
                <w:rFonts w:ascii="SimSun" w:eastAsia="SimSun" w:hAnsi="SimSun" w:cs="SimSun"/>
                <w:color w:val="000000"/>
                <w:spacing w:val="0"/>
                <w:w w:val="100"/>
                <w:position w:val="0"/>
              </w:rPr>
              <w:t>、重大缺陷的 认定标准：①公司经营活动严重违反国 家法律法规；②媒体负面新闻频频曝 光，对公司声誉造成重大损害；③中高 级管理人员和高级技术人员严重流失； ④重要业务缺乏制度控制或制度系统 性失效；⑤内部控制评价的结果特别是 重大缺陷或重要缺陷未得到整改。</w:t>
            </w:r>
            <w:r>
              <w:rPr>
                <w:color w:val="000000"/>
                <w:spacing w:val="0"/>
                <w:w w:val="100"/>
                <w:position w:val="0"/>
              </w:rPr>
              <w:t>2</w:t>
            </w:r>
            <w:r>
              <w:rPr>
                <w:rFonts w:ascii="SimSun" w:eastAsia="SimSun" w:hAnsi="SimSun" w:cs="SimSun"/>
                <w:color w:val="000000"/>
                <w:spacing w:val="0"/>
                <w:w w:val="100"/>
                <w:position w:val="0"/>
              </w:rPr>
              <w:t>、 重要缺陷的认定标准：①公司违反国家 法律法规受到轻微处罚；②关键岗位业 务人员流失严重；③媒体出现负面新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08" w:name="bookmark608"/>
      <w:bookmarkStart w:id="609" w:name="bookmark609"/>
      <w:bookmarkStart w:id="610" w:name="bookmark610"/>
      <w:r>
        <w:rPr>
          <w:color w:val="000000"/>
          <w:spacing w:val="0"/>
          <w:w w:val="100"/>
          <w:position w:val="0"/>
          <w:sz w:val="24"/>
          <w:szCs w:val="24"/>
        </w:rPr>
        <w:t>十、内部控制审计报告或鉴证报告</w:t>
      </w:r>
      <w:bookmarkEnd w:id="608"/>
      <w:bookmarkEnd w:id="609"/>
      <w:bookmarkEnd w:id="610"/>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1" w:right="1065" w:bottom="1566" w:left="1063" w:header="0" w:footer="3" w:gutter="0"/>
          <w:cols w:space="720"/>
          <w:noEndnote/>
          <w:rtlGutter w:val="0"/>
          <w:docGrid w:linePitch="360"/>
        </w:sectPr>
      </w:pPr>
      <w:r>
        <w:rPr>
          <w:color w:val="000000"/>
          <w:spacing w:val="0"/>
          <w:w w:val="100"/>
          <w:position w:val="0"/>
        </w:rPr>
        <w:t>不适用</w:t>
      </w:r>
    </w:p>
    <w:p>
      <w:pPr>
        <w:pStyle w:val="Style18"/>
        <w:keepNext/>
        <w:keepLines/>
        <w:widowControl w:val="0"/>
        <w:shd w:val="clear" w:color="auto" w:fill="auto"/>
        <w:bidi w:val="0"/>
        <w:spacing w:before="0" w:after="560" w:line="240" w:lineRule="auto"/>
        <w:ind w:left="0" w:right="0" w:firstLine="0"/>
        <w:jc w:val="center"/>
      </w:pPr>
      <w:bookmarkStart w:id="611" w:name="bookmark611"/>
      <w:bookmarkStart w:id="612" w:name="bookmark612"/>
      <w:bookmarkStart w:id="613" w:name="bookmark613"/>
      <w:r>
        <w:rPr>
          <w:color w:val="000000"/>
          <w:spacing w:val="0"/>
          <w:w w:val="100"/>
          <w:position w:val="0"/>
        </w:rPr>
        <w:t>第十节公司债券相关情况</w:t>
      </w:r>
      <w:bookmarkEnd w:id="611"/>
      <w:bookmarkEnd w:id="612"/>
      <w:bookmarkEnd w:id="613"/>
    </w:p>
    <w:p>
      <w:pPr>
        <w:pStyle w:val="Style30"/>
        <w:keepNext w:val="0"/>
        <w:keepLines w:val="0"/>
        <w:widowControl w:val="0"/>
        <w:shd w:val="clear" w:color="auto" w:fill="auto"/>
        <w:bidi w:val="0"/>
        <w:spacing w:before="0" w:after="140" w:line="240" w:lineRule="auto"/>
        <w:ind w:left="0" w:right="0" w:firstLine="0"/>
        <w:jc w:val="left"/>
      </w:pPr>
      <w:bookmarkStart w:id="614" w:name="bookmark614"/>
      <w:r>
        <w:rPr>
          <w:color w:val="000000"/>
          <w:spacing w:val="0"/>
          <w:w w:val="100"/>
          <w:position w:val="0"/>
        </w:rPr>
        <w:t>公司是否存在公开发行并在证券交易所上市，且在年度报告批准报出日未到期或到期未能全额兑付的公司债券</w:t>
      </w:r>
      <w:bookmarkEnd w:id="614"/>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200" w:bottom="1930" w:left="1114" w:header="0" w:footer="3" w:gutter="0"/>
          <w:cols w:space="720"/>
          <w:noEndnote/>
          <w:rtlGutter w:val="0"/>
          <w:docGrid w:linePitch="360"/>
        </w:sectPr>
      </w:pPr>
      <w:r>
        <w:rPr>
          <w:color w:val="000000"/>
          <w:spacing w:val="0"/>
          <w:w w:val="100"/>
          <w:position w:val="0"/>
        </w:rPr>
        <w:t>否</w:t>
      </w:r>
    </w:p>
    <w:p>
      <w:pPr>
        <w:widowControl w:val="0"/>
        <w:spacing w:line="240" w:lineRule="exact"/>
        <w:rPr>
          <w:sz w:val="19"/>
          <w:szCs w:val="19"/>
        </w:rPr>
      </w:pP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pgSz w:w="11900" w:h="16840"/>
          <w:pgMar w:top="1152" w:right="1065" w:bottom="1394" w:left="1063" w:header="0" w:footer="3" w:gutter="0"/>
          <w:cols w:space="720"/>
          <w:noEndnote/>
          <w:rtlGutter w:val="0"/>
          <w:docGrid w:linePitch="360"/>
        </w:sectPr>
      </w:pPr>
    </w:p>
    <w:p>
      <w:pPr>
        <w:pStyle w:val="Style18"/>
        <w:keepNext/>
        <w:keepLines/>
        <w:widowControl w:val="0"/>
        <w:shd w:val="clear" w:color="auto" w:fill="auto"/>
        <w:bidi w:val="0"/>
        <w:spacing w:before="0" w:line="240" w:lineRule="auto"/>
        <w:ind w:left="0" w:right="0" w:firstLine="0"/>
        <w:jc w:val="center"/>
      </w:pPr>
      <w:bookmarkStart w:id="615" w:name="bookmark615"/>
      <w:bookmarkStart w:id="616" w:name="bookmark616"/>
      <w:bookmarkStart w:id="617" w:name="bookmark617"/>
      <w:r>
        <w:rPr>
          <w:color w:val="000000"/>
          <w:spacing w:val="0"/>
          <w:w w:val="100"/>
          <w:position w:val="0"/>
        </w:rPr>
        <w:t>第十一节财务报告</w:t>
      </w:r>
      <w:bookmarkEnd w:id="615"/>
      <w:bookmarkEnd w:id="616"/>
      <w:bookmarkEnd w:id="617"/>
    </w:p>
    <w:p>
      <w:pPr>
        <w:pStyle w:val="Style26"/>
        <w:keepNext/>
        <w:keepLines/>
        <w:widowControl w:val="0"/>
        <w:shd w:val="clear" w:color="auto" w:fill="auto"/>
        <w:bidi w:val="0"/>
        <w:spacing w:before="0" w:after="300" w:line="240" w:lineRule="auto"/>
        <w:ind w:left="0" w:right="0" w:firstLine="260"/>
        <w:jc w:val="both"/>
      </w:pPr>
      <w:bookmarkStart w:id="618" w:name="bookmark618"/>
      <w:bookmarkStart w:id="619" w:name="bookmark619"/>
      <w:bookmarkStart w:id="620" w:name="bookmark620"/>
      <w:bookmarkStart w:id="621" w:name="bookmark621"/>
      <w:r>
        <w:rPr>
          <w:color w:val="000000"/>
          <w:spacing w:val="0"/>
          <w:w w:val="100"/>
          <w:position w:val="0"/>
          <w:sz w:val="24"/>
          <w:szCs w:val="24"/>
        </w:rPr>
        <w:t>、审计报告</w:t>
      </w:r>
      <w:bookmarkEnd w:id="619"/>
      <w:bookmarkEnd w:id="620"/>
      <w:bookmarkEnd w:id="621"/>
      <w:bookmarkEnd w:id="61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致同审字（</w:t>
            </w:r>
            <w:r>
              <w:rPr>
                <w:color w:val="000000"/>
                <w:spacing w:val="0"/>
                <w:w w:val="100"/>
                <w:position w:val="0"/>
              </w:rPr>
              <w:t>2017</w:t>
            </w:r>
            <w:r>
              <w:rPr>
                <w:rFonts w:ascii="SimSun" w:eastAsia="SimSun" w:hAnsi="SimSun" w:cs="SimSun"/>
                <w:color w:val="000000"/>
                <w:spacing w:val="0"/>
                <w:w w:val="100"/>
                <w:position w:val="0"/>
              </w:rPr>
              <w:t>）第</w:t>
            </w:r>
            <w:r>
              <w:rPr>
                <w:color w:val="000000"/>
                <w:spacing w:val="0"/>
                <w:w w:val="100"/>
                <w:position w:val="0"/>
              </w:rPr>
              <w:t>351ZA0008</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林庆瑜杨莹</w:t>
            </w:r>
          </w:p>
        </w:tc>
      </w:tr>
    </w:tbl>
    <w:p>
      <w:pPr>
        <w:pStyle w:val="Style28"/>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19" w:line="1" w:lineRule="exact"/>
      </w:pPr>
    </w:p>
    <w:p>
      <w:pPr>
        <w:pStyle w:val="Style30"/>
        <w:keepNext w:val="0"/>
        <w:keepLines w:val="0"/>
        <w:widowControl w:val="0"/>
        <w:shd w:val="clear" w:color="auto" w:fill="auto"/>
        <w:bidi w:val="0"/>
        <w:spacing w:before="0" w:after="120" w:line="310" w:lineRule="exact"/>
        <w:ind w:left="0" w:right="0" w:firstLine="0"/>
        <w:jc w:val="both"/>
      </w:pPr>
      <w:r>
        <w:rPr>
          <w:b/>
          <w:bCs/>
          <w:color w:val="000000"/>
          <w:spacing w:val="0"/>
          <w:w w:val="100"/>
          <w:position w:val="0"/>
        </w:rPr>
        <w:t>福建榕基软件股份有限公司全体股东：</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我们审计了后附的福建榕基软件股份有限公司（以下简称榕基软件公司）财务报表，包括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 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年度的合并及公司利润表、合并及公司现金流量表、合并及公司股东权益变动表以及财务报表附注。</w:t>
      </w:r>
    </w:p>
    <w:p>
      <w:pPr>
        <w:pStyle w:val="Style30"/>
        <w:keepNext w:val="0"/>
        <w:keepLines w:val="0"/>
        <w:widowControl w:val="0"/>
        <w:shd w:val="clear" w:color="auto" w:fill="auto"/>
        <w:tabs>
          <w:tab w:pos="940" w:val="left"/>
        </w:tabs>
        <w:bidi w:val="0"/>
        <w:spacing w:before="0" w:after="120" w:line="310" w:lineRule="exact"/>
        <w:ind w:left="0" w:right="0" w:firstLine="500"/>
        <w:jc w:val="both"/>
      </w:pPr>
      <w:bookmarkStart w:id="622" w:name="bookmark622"/>
      <w:r>
        <w:rPr>
          <w:b/>
          <w:bCs/>
          <w:color w:val="000000"/>
          <w:spacing w:val="0"/>
          <w:w w:val="100"/>
          <w:position w:val="0"/>
        </w:rPr>
        <w:t>一</w:t>
      </w:r>
      <w:bookmarkEnd w:id="622"/>
      <w:r>
        <w:rPr>
          <w:b/>
          <w:bCs/>
          <w:color w:val="000000"/>
          <w:spacing w:val="0"/>
          <w:w w:val="100"/>
          <w:position w:val="0"/>
        </w:rPr>
        <w:t>、</w:t>
        <w:tab/>
        <w:t>管理层对财务报表的责任</w:t>
      </w:r>
    </w:p>
    <w:p>
      <w:pPr>
        <w:pStyle w:val="Style30"/>
        <w:keepNext w:val="0"/>
        <w:keepLines w:val="0"/>
        <w:widowControl w:val="0"/>
        <w:shd w:val="clear" w:color="auto" w:fill="auto"/>
        <w:bidi w:val="0"/>
        <w:spacing w:before="0" w:after="120" w:line="302" w:lineRule="exact"/>
        <w:ind w:left="0" w:right="0" w:firstLine="500"/>
        <w:jc w:val="both"/>
      </w:pPr>
      <w:r>
        <w:rPr>
          <w:color w:val="000000"/>
          <w:spacing w:val="0"/>
          <w:w w:val="100"/>
          <w:position w:val="0"/>
        </w:rPr>
        <w:t>编制和公允列报财务报表是榕基软件公司管理层的责任，这种责任包括：（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940" w:val="left"/>
        </w:tabs>
        <w:bidi w:val="0"/>
        <w:spacing w:before="0" w:after="120" w:line="310" w:lineRule="exact"/>
        <w:ind w:left="0" w:right="0" w:firstLine="500"/>
        <w:jc w:val="both"/>
      </w:pPr>
      <w:bookmarkStart w:id="623" w:name="bookmark623"/>
      <w:r>
        <w:rPr>
          <w:b/>
          <w:bCs/>
          <w:color w:val="000000"/>
          <w:spacing w:val="0"/>
          <w:w w:val="100"/>
          <w:position w:val="0"/>
        </w:rPr>
        <w:t>二</w:t>
      </w:r>
      <w:bookmarkEnd w:id="623"/>
      <w:r>
        <w:rPr>
          <w:b/>
          <w:bCs/>
          <w:color w:val="000000"/>
          <w:spacing w:val="0"/>
          <w:w w:val="100"/>
          <w:position w:val="0"/>
        </w:rPr>
        <w:t>、</w:t>
        <w:tab/>
        <w:t>注册会计师的责任</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0"/>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0"/>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945" w:val="left"/>
        </w:tabs>
        <w:bidi w:val="0"/>
        <w:spacing w:before="0" w:after="120" w:line="310" w:lineRule="exact"/>
        <w:ind w:left="0" w:right="0" w:firstLine="500"/>
        <w:jc w:val="both"/>
      </w:pPr>
      <w:bookmarkStart w:id="624" w:name="bookmark624"/>
      <w:r>
        <w:rPr>
          <w:b/>
          <w:bCs/>
          <w:color w:val="000000"/>
          <w:spacing w:val="0"/>
          <w:w w:val="100"/>
          <w:position w:val="0"/>
        </w:rPr>
        <w:t>三</w:t>
      </w:r>
      <w:bookmarkEnd w:id="624"/>
      <w:r>
        <w:rPr>
          <w:b/>
          <w:bCs/>
          <w:color w:val="000000"/>
          <w:spacing w:val="0"/>
          <w:w w:val="100"/>
          <w:position w:val="0"/>
        </w:rPr>
        <w:t>、</w:t>
        <w:tab/>
        <w:t>审计意见</w:t>
      </w:r>
    </w:p>
    <w:p>
      <w:pPr>
        <w:pStyle w:val="Style30"/>
        <w:keepNext w:val="0"/>
        <w:keepLines w:val="0"/>
        <w:widowControl w:val="0"/>
        <w:shd w:val="clear" w:color="auto" w:fill="auto"/>
        <w:bidi w:val="0"/>
        <w:spacing w:before="0" w:after="440" w:line="302" w:lineRule="exact"/>
        <w:ind w:left="0" w:right="0" w:firstLine="500"/>
        <w:jc w:val="both"/>
      </w:pPr>
      <w:r>
        <w:rPr>
          <w:color w:val="000000"/>
          <w:spacing w:val="0"/>
          <w:w w:val="100"/>
          <w:position w:val="0"/>
        </w:rPr>
        <w:t>我们认为，榕基软件公司财务报表在所有重大方面按照企业会计准则的规定编制，公允反映了榕基软件公司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年度的合并及公司经营成果和合并及公司现金流量。</w:t>
      </w:r>
    </w:p>
    <w:p>
      <w:pPr>
        <w:pStyle w:val="Style30"/>
        <w:keepNext w:val="0"/>
        <w:keepLines w:val="0"/>
        <w:widowControl w:val="0"/>
        <w:shd w:val="clear" w:color="auto" w:fill="auto"/>
        <w:tabs>
          <w:tab w:pos="5610" w:val="left"/>
        </w:tabs>
        <w:bidi w:val="0"/>
        <w:spacing w:before="0" w:after="0" w:line="310" w:lineRule="exact"/>
        <w:ind w:left="0" w:right="0" w:firstLine="580"/>
        <w:jc w:val="both"/>
      </w:pPr>
      <w:r>
        <w:rPr>
          <w:color w:val="000000"/>
          <w:spacing w:val="0"/>
          <w:w w:val="100"/>
          <w:position w:val="0"/>
        </w:rPr>
        <w:t>致同会计师事务所</w:t>
        <w:tab/>
        <w:t>中国注册会计师林庆瑜</w:t>
      </w:r>
    </w:p>
    <w:p>
      <w:pPr>
        <w:pStyle w:val="Style30"/>
        <w:keepNext w:val="0"/>
        <w:keepLines w:val="0"/>
        <w:widowControl w:val="0"/>
        <w:shd w:val="clear" w:color="auto" w:fill="auto"/>
        <w:bidi w:val="0"/>
        <w:spacing w:before="0" w:after="300" w:line="310" w:lineRule="exact"/>
        <w:ind w:left="0" w:right="0" w:firstLine="580"/>
        <w:jc w:val="both"/>
      </w:pPr>
      <w:r>
        <w:rPr>
          <w:color w:val="000000"/>
          <w:spacing w:val="0"/>
          <w:w w:val="100"/>
          <w:position w:val="0"/>
        </w:rPr>
        <w:t>（特殊普通合伙）</w:t>
      </w:r>
    </w:p>
    <w:p>
      <w:pPr>
        <w:pStyle w:val="Style30"/>
        <w:keepNext w:val="0"/>
        <w:keepLines w:val="0"/>
        <w:widowControl w:val="0"/>
        <w:shd w:val="clear" w:color="auto" w:fill="auto"/>
        <w:bidi w:val="0"/>
        <w:spacing w:before="0" w:after="720" w:line="310" w:lineRule="exact"/>
        <w:ind w:left="5640" w:right="0" w:firstLine="0"/>
        <w:jc w:val="both"/>
      </w:pPr>
      <w:r>
        <w:rPr>
          <w:color w:val="000000"/>
          <w:spacing w:val="0"/>
          <w:w w:val="100"/>
          <w:position w:val="0"/>
        </w:rPr>
        <w:t>中国注册会计师杨莹</w:t>
      </w:r>
    </w:p>
    <w:p>
      <w:pPr>
        <w:pStyle w:val="Style30"/>
        <w:keepNext w:val="0"/>
        <w:keepLines w:val="0"/>
        <w:widowControl w:val="0"/>
        <w:shd w:val="clear" w:color="auto" w:fill="auto"/>
        <w:bidi w:val="0"/>
        <w:spacing w:before="0" w:after="120" w:line="240" w:lineRule="auto"/>
        <w:ind w:left="4080" w:right="0" w:firstLine="0"/>
        <w:jc w:val="both"/>
      </w:pPr>
      <w:r>
        <mc:AlternateContent>
          <mc:Choice Requires="wps">
            <w:drawing>
              <wp:anchor distT="0" distB="0" distL="114300" distR="114300" simplePos="0" relativeHeight="125829380" behindDoc="0" locked="0" layoutInCell="1" allowOverlap="1">
                <wp:simplePos x="0" y="0"/>
                <wp:positionH relativeFrom="page">
                  <wp:posOffset>1040765</wp:posOffset>
                </wp:positionH>
                <wp:positionV relativeFrom="paragraph">
                  <wp:posOffset>12700</wp:posOffset>
                </wp:positionV>
                <wp:extent cx="499745" cy="161290"/>
                <wp:wrapSquare wrapText="right"/>
                <wp:docPr id="14" name="Shape 14"/>
                <a:graphic xmlns:a="http://schemas.openxmlformats.org/drawingml/2006/main">
                  <a:graphicData uri="http://schemas.microsoft.com/office/word/2010/wordprocessingShape">
                    <wps:wsp>
                      <wps:cNvSpPr txBox="1"/>
                      <wps:spPr>
                        <a:xfrm>
                          <a:ext cx="499745" cy="1612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0" type="#_x0000_t202" style="position:absolute;margin-left:81.950000000000003pt;margin-top:1.pt;width:39.350000000000001pt;height:12.700000000000001pt;z-index:-125829373;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color w:val="000000"/>
          <w:spacing w:val="0"/>
          <w:w w:val="100"/>
          <w:position w:val="0"/>
          <w:sz w:val="18"/>
          <w:szCs w:val="18"/>
        </w:rPr>
        <w:t>O</w:t>
      </w:r>
      <w:r>
        <w:rPr>
          <w:color w:val="000000"/>
          <w:spacing w:val="0"/>
          <w:w w:val="100"/>
          <w:position w:val="0"/>
        </w:rPr>
        <w:t>一"年三月二十九日</w:t>
      </w:r>
      <w:r>
        <w:br w:type="page"/>
      </w:r>
    </w:p>
    <w:p>
      <w:pPr>
        <w:pStyle w:val="Style26"/>
        <w:keepNext/>
        <w:keepLines/>
        <w:widowControl w:val="0"/>
        <w:shd w:val="clear" w:color="auto" w:fill="auto"/>
        <w:bidi w:val="0"/>
        <w:spacing w:before="0" w:after="360" w:line="240" w:lineRule="auto"/>
        <w:ind w:left="0" w:right="0" w:firstLine="0"/>
        <w:jc w:val="left"/>
      </w:pPr>
      <w:bookmarkStart w:id="625" w:name="bookmark625"/>
      <w:bookmarkStart w:id="626" w:name="bookmark626"/>
      <w:bookmarkStart w:id="627" w:name="bookmark627"/>
      <w:r>
        <w:rPr>
          <w:color w:val="000000"/>
          <w:spacing w:val="0"/>
          <w:w w:val="100"/>
          <w:position w:val="0"/>
          <w:sz w:val="24"/>
          <w:szCs w:val="24"/>
        </w:rPr>
        <w:t>二、财务报表</w:t>
      </w:r>
      <w:bookmarkEnd w:id="625"/>
      <w:bookmarkEnd w:id="626"/>
      <w:bookmarkEnd w:id="62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、合并资产负债表</w:t>
      </w:r>
      <w:bookmarkEnd w:id="628"/>
      <w:bookmarkEnd w:id="629"/>
      <w:bookmarkEnd w:id="63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编制单位：福建榕基软件股份有限公司</w:t>
      </w:r>
    </w:p>
    <w:p>
      <w:pPr>
        <w:pStyle w:val="Style5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552,975,440.22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448,073,047.98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2,017,874.00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13,737,767.90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116,052,904.46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82,626,850.53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11,725,236.82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38,505,021.25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1,185,696.85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2,249,919.07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17,787,365.92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43,770,725.08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37,438,083.52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757,809,363.78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486,756,391.18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239,671,609.37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343,455,298.67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1,742,996,216.50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1,452,842,380.10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94,658,748.16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87,198,279.86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15,624,406.21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35,336,841.64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37,947,027.90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11,037,952.52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3,766,730.33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125,518,799.57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127,590,017.49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35,457,783.41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27,506,457.14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595,528.33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20,239,503.76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18,537,489.04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10,330,340.10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107,682,828.44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392,199,903.70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453,628,830.20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2,135,196,120.20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1,906,471,210.30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10,683,069.00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7,188,470.00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216,063,719.53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137,835,900.71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215,035,250.57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183,788,689.57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17,347,240.51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15,016,268.49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4,044,560.71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6,559,970.66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204,328.13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3,201,350.00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15,174,135.13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9,840,949.67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3,694,721.14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2,448,000.00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18,310,356.54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614,557,381.26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488,879,599.10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59,682,078.50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35,633,423.06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107,682,078.50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35,633,423.06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722,239,459.76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524,513,022.16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622,200,000.00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369,358,612.29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363,642,750.88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9,251,708.77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3,462,997.72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57,964,134.03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54,730,315.23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344,871,182.51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323,259,682.08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1,403,645,637.60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1,367,295,745.91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9,311,022.84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14,662,442.23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1,412,956,660.44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1,381,958,188.14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2,135,196,120.20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1,906,471,210.30</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5420" simplePos="0" relativeHeight="125829382" behindDoc="0" locked="0" layoutInCell="1" allowOverlap="1">
                <wp:simplePos x="0" y="0"/>
                <wp:positionH relativeFrom="page">
                  <wp:posOffset>706755</wp:posOffset>
                </wp:positionH>
                <wp:positionV relativeFrom="margin">
                  <wp:posOffset>1682750</wp:posOffset>
                </wp:positionV>
                <wp:extent cx="938530" cy="149225"/>
                <wp:wrapTopAndBottom/>
                <wp:docPr id="16" name="Shape 1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 id="_x0000_s1042" type="#_x0000_t202" style="position:absolute;margin-left:55.649999999999999pt;margin-top:132.5pt;width:73.900000000000006pt;height:11.75pt;z-index:-125829371;mso-wrap-distance-left:9.pt;mso-wrap-distance-top:12.pt;mso-wrap-distance-right:414.6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52400" distB="3175" distL="2293620" distR="2634615" simplePos="0" relativeHeight="125829384" behindDoc="0" locked="0" layoutInCell="1" allowOverlap="1">
                <wp:simplePos x="0" y="0"/>
                <wp:positionH relativeFrom="page">
                  <wp:posOffset>2886075</wp:posOffset>
                </wp:positionH>
                <wp:positionV relativeFrom="margin">
                  <wp:posOffset>1682750</wp:posOffset>
                </wp:positionV>
                <wp:extent cx="1390015" cy="146050"/>
                <wp:wrapTopAndBottom/>
                <wp:docPr id="18" name="Shape 18"/>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44" type="#_x0000_t202" style="position:absolute;margin-left:227.25pt;margin-top:132.5pt;width:109.45pt;height:11.5pt;z-index:-125829369;mso-wrap-distance-left:180.59999999999999pt;mso-wrap-distance-top:12.pt;mso-wrap-distance-right:207.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52400" distB="0" distL="4918075" distR="113665" simplePos="0" relativeHeight="125829386" behindDoc="0" locked="0" layoutInCell="1" allowOverlap="1">
                <wp:simplePos x="0" y="0"/>
                <wp:positionH relativeFrom="page">
                  <wp:posOffset>5510530</wp:posOffset>
                </wp:positionH>
                <wp:positionV relativeFrom="margin">
                  <wp:posOffset>1682750</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46" type="#_x0000_t202" style="position:absolute;margin-left:433.90000000000003pt;margin-top:132.5pt;width:101.3pt;height:11.75pt;z-index:-125829367;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、母公司资产负债表</w:t>
      </w:r>
      <w:bookmarkEnd w:id="632"/>
      <w:bookmarkEnd w:id="633"/>
      <w:bookmarkEnd w:id="6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161,875,793.70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162,145,009.74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3,150,150.00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80,319,865.14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71,919,578.18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14,940,793.31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32,308,686.40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953,061.54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1,138,641.27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2,182,365.92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543,440,451.03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403,083,002.49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209,029,935.87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155,168,261.86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233,654,348.19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237,749,705.89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1,246,796,614.70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1,066,663,035.83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701,981,887.17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698,376,537.29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23,998,662.25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31,368,995.38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1,732,108.91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35,357,918.49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56,602,419.32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26,919,947.08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18,232,625.91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1,984,347.27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2,966,241.49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835,374,871.17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850,946,819.39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2,082,171,485.87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1,917,609,855.22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10,683,069.00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7,188,470.00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136,154,192.90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118,643,527.01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198,481,811.15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180,854,973.93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7,283,695.01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7,557,282.41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912,512.08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4,343,339.78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3,201,350.00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130,850,026.87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80,291,007.77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2,488,717.90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12,563,630.20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613,621,983.24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527,499,950.90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2,378,333.36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4,276,923.06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50,378,333.36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4,276,923.06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664,000,316.60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531,776,873.96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622,200,000.00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364,193,237.65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364,193,237.65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57,964,134.03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54,730,315.23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373,813,797.59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344,709,428.38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1,418,171,169.27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1,385,832,981.26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2,082,171,485.87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1,917,609,855.22</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、合并利润表</w:t>
      </w:r>
      <w:bookmarkEnd w:id="636"/>
      <w:bookmarkEnd w:id="637"/>
      <w:bookmarkEnd w:id="63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6"/>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702,592,311.90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623,602,054.84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702,592,311.90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623,602,054.84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716,197,918.24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651,933,237.01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474,390,511.41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418,038,362.25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4,866,258.17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2,244,366.01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46,012,793.69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46,922,095.29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180,912,113.26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180,929,641.25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5,447,921.17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2,388,015.88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4,568,320.54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1,410,756.33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 xml:space="preserve">加：公允价值变动收益（损失以 </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26,341,941.71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33,607,086.70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15,832,878.17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17,358,350.58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12,736,335.37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5,275,904.53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9,275,646.93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9,490,780.25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575,985.80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529,037.33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21,435,996.50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14,726,522.21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-3,541,174.62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-723,705.11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24,977,171.12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15,450,227.32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24,845,319.23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15,830,627.57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131,851.89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-380,400.25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5,788,711.05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4,958,483.89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5,788,711.05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4,958,483.89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（一）以后不能重分类进损益的其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负债或净资产的变动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权益法下在被投资单位不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082"/>
        <w:gridCol w:w="3216"/>
        <w:gridCol w:w="3283"/>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5,788,711.05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4,958,483.89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后将重分类进损益的其他综合收益中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可供出售金融资产公允价 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现金流量套期损益的有效 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5,788,711.05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4,958,483.89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30,765,882.17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20,408,711.21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30,634,030.28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20,789,111.46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131,851.89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-380,400.25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0"/>
        <w:keepNext w:val="0"/>
        <w:keepLines w:val="0"/>
        <w:widowControl w:val="0"/>
        <w:shd w:val="clear" w:color="auto" w:fill="auto"/>
        <w:tabs>
          <w:tab w:pos="3408" w:val="left"/>
          <w:tab w:pos="7522" w:val="left"/>
        </w:tabs>
        <w:bidi w:val="0"/>
        <w:spacing w:before="0" w:after="380" w:line="240" w:lineRule="auto"/>
        <w:ind w:left="0" w:right="0" w:firstLine="0"/>
        <w:jc w:val="left"/>
      </w:pPr>
      <w:r>
        <w:rPr>
          <w:color w:val="000000"/>
          <w:spacing w:val="0"/>
          <w:w w:val="100"/>
          <w:position w:val="0"/>
        </w:rPr>
        <w:t>法定代表人：鲁峰</w:t>
        <w:tab/>
        <w:t>主管会计工作负责人：侯伟</w:t>
        <w:tab/>
        <w:t>会计机构负责人：镇千金</w:t>
      </w:r>
    </w:p>
    <w:p>
      <w:pPr>
        <w:pStyle w:val="Style33"/>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4</w:t>
      </w:r>
      <w:bookmarkEnd w:id="642"/>
      <w:r>
        <w:rPr>
          <w:color w:val="000000"/>
          <w:spacing w:val="0"/>
          <w:w w:val="100"/>
          <w:position w:val="0"/>
        </w:rPr>
        <w:t>、母公司利润表</w:t>
      </w:r>
      <w:bookmarkEnd w:id="640"/>
      <w:bookmarkEnd w:id="641"/>
      <w:bookmarkEnd w:id="6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477,391,339.51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377,537,209.89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322,335,224.69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244,141,677.01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1,816,596.02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19,513,874.07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23,710,486.73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105,454,162.34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98,858,756.16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6,973,675.90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4,171,264.18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3,898,401.13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265,183.69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 xml:space="preserve">加：公允价值变动收益（损失以 </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7,792,003.91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6,273,911.53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105,349.88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25,453,352.80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10,847,157.63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6,318,905.36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6,864,988.48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510,495.48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509,993.31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31,261,762.68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17,683,671.51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-1,076,425.33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4,160,081.02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32,338,188.01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13,523,590.49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（一）以后不能重分类进损益的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20"/>
              <w:jc w:val="both"/>
            </w:pPr>
            <w:r>
              <w:rPr>
                <w:color w:val="000000"/>
                <w:spacing w:val="0"/>
                <w:w w:val="100"/>
                <w:position w:val="0"/>
              </w:rPr>
              <w:t>1.</w:t>
            </w:r>
            <w:r>
              <w:rPr>
                <w:rFonts w:ascii="SimSun" w:eastAsia="SimSun" w:hAnsi="SimSun" w:cs="SimSun"/>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净负债或净资产的变动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3.</w:t>
            </w:r>
            <w:r>
              <w:rPr>
                <w:rFonts w:ascii="SimSun" w:eastAsia="SimSun" w:hAnsi="SimSun" w:cs="SimSun"/>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为可供出售金融资产损益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现金流量套期损益的有 效部分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32,338,188.01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13,523,590.49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5</w:t>
      </w:r>
      <w:bookmarkEnd w:id="646"/>
      <w:r>
        <w:rPr>
          <w:color w:val="000000"/>
          <w:spacing w:val="0"/>
          <w:w w:val="100"/>
          <w:position w:val="0"/>
        </w:rPr>
        <w:t>、合并现金流量表</w:t>
      </w:r>
      <w:bookmarkEnd w:id="644"/>
      <w:bookmarkEnd w:id="645"/>
      <w:bookmarkEnd w:id="6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810,368,593.52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790,415,759.63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2,660,652.70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3,667,981.18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11,221,118.25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12,633,231.09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824,250,364.47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806,716,971.90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553,509,274.21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547,974,740.59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84,304,788.81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72,573,962.69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11,893,651.56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22,659,231.12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117,367,740.93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145,506,874.57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767,075,455.51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788,714,808.97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57,174,908.96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18,002,162.93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1,816,816,400.00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10,881,298.93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18,698,736.12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208,275.89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1,827,905,974.82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2,618,698,736.12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144,420,759.48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153,321,212.04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1,664,793,600.00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2,488,000,000.00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1,809,214,359.48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2,641,321,212.04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18,691,615.34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-22,622,475.92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11,073,113.93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11,833,109.86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249,073,113.93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92,033,109.86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52,926,886.07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45,466,890.14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5,780,065.53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4,856,856.15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134,573,475.90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45,703,433.30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347,236,683.56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301,533,250.26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481,810,159.46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347,236,683.56</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6</w:t>
      </w:r>
      <w:bookmarkEnd w:id="650"/>
      <w:r>
        <w:rPr>
          <w:color w:val="000000"/>
          <w:spacing w:val="0"/>
          <w:w w:val="100"/>
          <w:position w:val="0"/>
        </w:rPr>
        <w:t>、母公司现金流量表</w:t>
      </w:r>
      <w:bookmarkEnd w:id="648"/>
      <w:bookmarkEnd w:id="649"/>
      <w:bookmarkEnd w:id="6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547,424,317.26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512,685,501.31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2,302,011.69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1,743,533.05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54,750,953.05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30,723,048.71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604,477,282.00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545,152,083.07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395,680,647.68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261,494,742.49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31,261,074.77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31,461,047.00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7,528,570.64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17,018,474.55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198,999,989.17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181,047,380.82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633,470,282.26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491,021,644.86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-28,993,000.26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54,130,438.21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5,504,288.11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6,273,911.53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207,275.89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990,711,564.00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987,273,911.53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20,938,297.08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29,826,400.65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968,500,000.00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1,067,800,000.00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989,438,297.08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1,097,626,400.65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1,273,266.92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-110,352,489.12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11,073,113.93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11,833,109.86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244,073,113.93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91,833,109.86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29,926,886.07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31,166,890.14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2,212,244.13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-25,055,160.77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138,677,678.87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163,732,839.64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140,889,923.00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138,677,678.87</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7</w:t>
      </w:r>
      <w:bookmarkEnd w:id="654"/>
      <w:r>
        <w:rPr>
          <w:color w:val="000000"/>
          <w:spacing w:val="0"/>
          <w:w w:val="100"/>
          <w:position w:val="0"/>
        </w:rPr>
        <w:t>、合并所有者权益变动表</w:t>
      </w:r>
      <w:bookmarkEnd w:id="652"/>
      <w:bookmarkEnd w:id="653"/>
      <w:bookmarkEnd w:id="65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58"/>
        <w:gridCol w:w="672"/>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622,20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363,642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3,462,9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323,259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1,381,9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58,188.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363,642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3,462,9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54,730,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323,259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1,381,9</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58,188.</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,682.08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442.23</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5,715,8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5,788,7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21,611,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-5,351,4</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30,998,</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19.39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24,845,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131,851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30,765,</w:t>
            </w:r>
          </w:p>
        </w:tc>
      </w:tr>
      <w:tr>
        <w:trPr>
          <w:trHeight w:val="41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882.17</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483,271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71.28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483,271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-5,483,2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71.28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5,232,5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5,232,5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622,20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369,358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9,251,7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57,964,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344,871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9,311,0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1,412,9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56,660.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557"/>
        <w:gridCol w:w="528"/>
        <w:gridCol w:w="533"/>
        <w:gridCol w:w="533"/>
        <w:gridCol w:w="662"/>
        <w:gridCol w:w="662"/>
        <w:gridCol w:w="667"/>
        <w:gridCol w:w="667"/>
        <w:gridCol w:w="662"/>
        <w:gridCol w:w="662"/>
        <w:gridCol w:w="682"/>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363,642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53,377,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1,356,3</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82,476.</w:t>
            </w: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加：会计政策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363,642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53,377,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1,356,3</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82,476.</w:t>
            </w: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4,958,4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1,352,3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5,145,2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14,119,</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25,575,</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83.89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711.21</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20,408,</w:t>
            </w:r>
          </w:p>
        </w:tc>
      </w:tr>
      <w:tr>
        <w:trPr>
          <w:trHeight w:val="4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83.89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711.21</w:t>
            </w: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14,500,</w:t>
            </w:r>
          </w:p>
        </w:tc>
      </w:tr>
      <w:tr>
        <w:trPr>
          <w:trHeight w:val="13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和减少资本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14,500,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1,352,3</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-10,685,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1,352,3</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-1,352,3</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-9,333,0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622,20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363,642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3,462,9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54,730,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323,259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14,662,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1,381,9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58,188.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8</w:t>
      </w:r>
      <w:bookmarkEnd w:id="658"/>
      <w:r>
        <w:rPr>
          <w:color w:val="000000"/>
          <w:spacing w:val="0"/>
          <w:w w:val="100"/>
          <w:position w:val="0"/>
        </w:rPr>
        <w:t>、母公司所有者权益变动表</w:t>
      </w:r>
      <w:bookmarkEnd w:id="656"/>
      <w:bookmarkEnd w:id="657"/>
      <w:bookmarkEnd w:id="65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622,200,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364,193,2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54,730,31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344,709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1,385,832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622,200,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364,193,2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54,730,31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344,709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1,385,832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,981.26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3,233,818</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29,104,</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32,338,18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32,338,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32,338,18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3,233,818</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-3,233,8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3,233,818</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-3,233,8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622,200,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364,193,2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57,964,13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373,813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1,418,171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622,200,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364,193,2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53,377,95</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341,871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1,381,642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622,200,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364,193,2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53,377,95</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341,871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1,381,642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1,352,359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2,838,2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4,190,590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13,523,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13,523,59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1,352,359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-10,685,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-9,333,00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1,352,359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-1,352,3</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-9,333,0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-9,333,00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622,200,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364,193,2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54,730,31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344,709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1,385,832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,981.26</w:t>
            </w:r>
          </w:p>
        </w:tc>
      </w:tr>
    </w:tbl>
    <w:p>
      <w:pPr>
        <w:widowControl w:val="0"/>
        <w:spacing w:after="299" w:line="1" w:lineRule="exact"/>
      </w:pPr>
    </w:p>
    <w:p>
      <w:pPr>
        <w:pStyle w:val="Style26"/>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r>
        <w:rPr>
          <w:color w:val="000000"/>
          <w:spacing w:val="0"/>
          <w:w w:val="100"/>
          <w:position w:val="0"/>
          <w:sz w:val="24"/>
          <w:szCs w:val="24"/>
        </w:rPr>
        <w:t>三、公司基本情况</w:t>
      </w:r>
      <w:bookmarkEnd w:id="660"/>
      <w:bookmarkEnd w:id="661"/>
      <w:bookmarkEnd w:id="662"/>
    </w:p>
    <w:p>
      <w:pPr>
        <w:pStyle w:val="Style30"/>
        <w:keepNext w:val="0"/>
        <w:keepLines w:val="0"/>
        <w:widowControl w:val="0"/>
        <w:shd w:val="clear" w:color="auto" w:fill="auto"/>
        <w:bidi w:val="0"/>
        <w:spacing w:before="0" w:after="60" w:line="309" w:lineRule="exact"/>
        <w:ind w:left="0" w:right="0" w:firstLine="0"/>
        <w:jc w:val="both"/>
      </w:pPr>
      <w:bookmarkStart w:id="663" w:name="bookmark663"/>
      <w:r>
        <w:rPr>
          <w:color w:val="000000"/>
          <w:spacing w:val="0"/>
          <w:w w:val="100"/>
          <w:position w:val="0"/>
        </w:rPr>
        <w:t>（</w:t>
      </w:r>
      <w:bookmarkEnd w:id="663"/>
      <w:r>
        <w:rPr>
          <w:color w:val="000000"/>
          <w:spacing w:val="0"/>
          <w:w w:val="100"/>
          <w:position w:val="0"/>
        </w:rPr>
        <w:t>一）历史沿革</w:t>
      </w:r>
    </w:p>
    <w:p>
      <w:pPr>
        <w:pStyle w:val="Style30"/>
        <w:keepNext w:val="0"/>
        <w:keepLines w:val="0"/>
        <w:widowControl w:val="0"/>
        <w:shd w:val="clear" w:color="auto" w:fill="auto"/>
        <w:bidi w:val="0"/>
        <w:spacing w:before="0" w:after="60" w:line="309" w:lineRule="exact"/>
        <w:ind w:left="0" w:right="0"/>
        <w:jc w:val="both"/>
      </w:pPr>
      <w:r>
        <w:rPr>
          <w:color w:val="000000"/>
          <w:spacing w:val="0"/>
          <w:w w:val="100"/>
          <w:position w:val="0"/>
        </w:rPr>
        <w:t>福建榕基软件股份有限公司（原名</w:t>
      </w:r>
      <w:r>
        <w:rPr>
          <w:rFonts w:ascii="Times New Roman" w:eastAsia="Times New Roman" w:hAnsi="Times New Roman" w:cs="Times New Roman"/>
          <w:color w:val="000000"/>
          <w:spacing w:val="0"/>
          <w:w w:val="100"/>
          <w:position w:val="0"/>
        </w:rPr>
        <w:t>“</w:t>
      </w:r>
      <w:r>
        <w:rPr>
          <w:color w:val="000000"/>
          <w:spacing w:val="0"/>
          <w:w w:val="100"/>
          <w:position w:val="0"/>
        </w:rPr>
        <w:t>福建榕基软件开发有限公司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）原由刘启鄂、侯伟及宁金成等三 个自然人股东共同投资设立，于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日取得《企业法人营业执照》。</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日采取发起方式整体变更为福建 榕基软件股份有限公司，取得福建省工商行政管理局核发的</w:t>
      </w:r>
      <w:r>
        <w:rPr>
          <w:rFonts w:ascii="Times New Roman" w:eastAsia="Times New Roman" w:hAnsi="Times New Roman" w:cs="Times New Roman"/>
          <w:color w:val="000000"/>
          <w:spacing w:val="0"/>
          <w:w w:val="100"/>
          <w:position w:val="0"/>
        </w:rPr>
        <w:t>350000100001214</w:t>
      </w:r>
      <w:r>
        <w:rPr>
          <w:color w:val="000000"/>
          <w:spacing w:val="0"/>
          <w:w w:val="100"/>
          <w:position w:val="0"/>
        </w:rPr>
        <w:t>号《企业法人营业执照》，注册资本变更为人 民币</w:t>
      </w:r>
      <w:r>
        <w:rPr>
          <w:rFonts w:ascii="Times New Roman" w:eastAsia="Times New Roman" w:hAnsi="Times New Roman" w:cs="Times New Roman"/>
          <w:color w:val="000000"/>
          <w:spacing w:val="0"/>
          <w:w w:val="100"/>
          <w:position w:val="0"/>
        </w:rPr>
        <w:t>7,770</w:t>
      </w:r>
      <w:r>
        <w:rPr>
          <w:color w:val="000000"/>
          <w:spacing w:val="0"/>
          <w:w w:val="100"/>
          <w:position w:val="0"/>
        </w:rPr>
        <w:t>万元，股本总额为</w:t>
      </w:r>
      <w:r>
        <w:rPr>
          <w:rFonts w:ascii="Times New Roman" w:eastAsia="Times New Roman" w:hAnsi="Times New Roman" w:cs="Times New Roman"/>
          <w:color w:val="000000"/>
          <w:spacing w:val="0"/>
          <w:w w:val="100"/>
          <w:position w:val="0"/>
        </w:rPr>
        <w:t>7,770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2010]1099</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文《关于核准福建榕基软件股份有限公司首次公开发行股票的批复》核准，本公司于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日首次向社会公开发行人民 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2,600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w:t>
      </w:r>
      <w:r>
        <w:rPr>
          <w:rFonts w:ascii="Times New Roman" w:eastAsia="Times New Roman" w:hAnsi="Times New Roman" w:cs="Times New Roman"/>
          <w:color w:val="000000"/>
          <w:spacing w:val="0"/>
          <w:w w:val="100"/>
          <w:position w:val="0"/>
        </w:rPr>
        <w:t>37.00</w:t>
      </w:r>
      <w:r>
        <w:rPr>
          <w:color w:val="000000"/>
          <w:spacing w:val="0"/>
          <w:w w:val="100"/>
          <w:position w:val="0"/>
        </w:rPr>
        <w:t>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日，本公司向社会公开发行的</w:t>
      </w:r>
      <w:r>
        <w:rPr>
          <w:rFonts w:ascii="Times New Roman" w:eastAsia="Times New Roman" w:hAnsi="Times New Roman" w:cs="Times New Roman"/>
          <w:color w:val="000000"/>
          <w:spacing w:val="0"/>
          <w:w w:val="100"/>
          <w:position w:val="0"/>
        </w:rPr>
        <w:t>2,600</w:t>
      </w:r>
      <w:r>
        <w:rPr>
          <w:color w:val="000000"/>
          <w:spacing w:val="0"/>
          <w:w w:val="100"/>
          <w:position w:val="0"/>
        </w:rPr>
        <w:t>万股人 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股）在深圳证券交易所挂牌上市（股票简称：榕基软件，股票代码</w:t>
      </w:r>
      <w:r>
        <w:rPr>
          <w:rFonts w:ascii="Times New Roman" w:eastAsia="Times New Roman" w:hAnsi="Times New Roman" w:cs="Times New Roman"/>
          <w:color w:val="000000"/>
          <w:spacing w:val="0"/>
          <w:w w:val="100"/>
          <w:position w:val="0"/>
        </w:rPr>
        <w:t>002474</w:t>
      </w:r>
      <w:r>
        <w:rPr>
          <w:color w:val="000000"/>
          <w:spacing w:val="0"/>
          <w:w w:val="100"/>
          <w:position w:val="0"/>
        </w:rPr>
        <w:t xml:space="preserve">），发行后注册资本变更为人民币 </w:t>
      </w:r>
      <w:r>
        <w:rPr>
          <w:rFonts w:ascii="Times New Roman" w:eastAsia="Times New Roman" w:hAnsi="Times New Roman" w:cs="Times New Roman"/>
          <w:color w:val="000000"/>
          <w:spacing w:val="0"/>
          <w:w w:val="100"/>
          <w:position w:val="0"/>
        </w:rPr>
        <w:t>10,370</w:t>
      </w:r>
      <w:r>
        <w:rPr>
          <w:color w:val="000000"/>
          <w:spacing w:val="0"/>
          <w:w w:val="100"/>
          <w:position w:val="0"/>
        </w:rPr>
        <w:t>万元。</w:t>
      </w:r>
    </w:p>
    <w:p>
      <w:pPr>
        <w:pStyle w:val="Style30"/>
        <w:keepNext w:val="0"/>
        <w:keepLines w:val="0"/>
        <w:widowControl w:val="0"/>
        <w:shd w:val="clear" w:color="auto" w:fill="auto"/>
        <w:bidi w:val="0"/>
        <w:spacing w:before="0" w:after="60" w:line="309"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日，本公司办理完成相关工商登记变更手续，注册资本和股本均由</w:t>
      </w:r>
      <w:r>
        <w:rPr>
          <w:rFonts w:ascii="Times New Roman" w:eastAsia="Times New Roman" w:hAnsi="Times New Roman" w:cs="Times New Roman"/>
          <w:color w:val="000000"/>
          <w:spacing w:val="0"/>
          <w:w w:val="100"/>
          <w:position w:val="0"/>
        </w:rPr>
        <w:t>7,770</w:t>
      </w:r>
      <w:r>
        <w:rPr>
          <w:color w:val="000000"/>
          <w:spacing w:val="0"/>
          <w:w w:val="100"/>
          <w:position w:val="0"/>
        </w:rPr>
        <w:t>万元变更为</w:t>
      </w:r>
      <w:r>
        <w:rPr>
          <w:rFonts w:ascii="Times New Roman" w:eastAsia="Times New Roman" w:hAnsi="Times New Roman" w:cs="Times New Roman"/>
          <w:color w:val="000000"/>
          <w:spacing w:val="0"/>
          <w:w w:val="100"/>
          <w:position w:val="0"/>
        </w:rPr>
        <w:t>10,370</w:t>
      </w:r>
      <w:r>
        <w:rPr>
          <w:color w:val="000000"/>
          <w:spacing w:val="0"/>
          <w:w w:val="100"/>
          <w:position w:val="0"/>
        </w:rPr>
        <w:t>万元。</w:t>
      </w:r>
    </w:p>
    <w:p>
      <w:pPr>
        <w:pStyle w:val="Style30"/>
        <w:keepNext w:val="0"/>
        <w:keepLines w:val="0"/>
        <w:widowControl w:val="0"/>
        <w:shd w:val="clear" w:color="auto" w:fill="auto"/>
        <w:bidi w:val="0"/>
        <w:spacing w:before="0" w:after="160" w:line="317"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日，本公司将资本公积</w:t>
      </w:r>
      <w:r>
        <w:rPr>
          <w:rFonts w:ascii="Times New Roman" w:eastAsia="Times New Roman" w:hAnsi="Times New Roman" w:cs="Times New Roman"/>
          <w:color w:val="000000"/>
          <w:spacing w:val="0"/>
          <w:w w:val="100"/>
          <w:position w:val="0"/>
        </w:rPr>
        <w:t>10,370</w:t>
      </w:r>
      <w:r>
        <w:rPr>
          <w:color w:val="000000"/>
          <w:spacing w:val="0"/>
          <w:w w:val="100"/>
          <w:position w:val="0"/>
        </w:rPr>
        <w:t>万元转增资本，转增后注册资本变更为人民币</w:t>
      </w:r>
      <w:r>
        <w:rPr>
          <w:rFonts w:ascii="Times New Roman" w:eastAsia="Times New Roman" w:hAnsi="Times New Roman" w:cs="Times New Roman"/>
          <w:color w:val="000000"/>
          <w:spacing w:val="0"/>
          <w:w w:val="100"/>
          <w:position w:val="0"/>
        </w:rPr>
        <w:t>20,740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本公司办理完成相关工商登记变更手续，注册资本和股本均由</w:t>
      </w:r>
      <w:r>
        <w:rPr>
          <w:rFonts w:ascii="Times New Roman" w:eastAsia="Times New Roman" w:hAnsi="Times New Roman" w:cs="Times New Roman"/>
          <w:color w:val="000000"/>
          <w:spacing w:val="0"/>
          <w:w w:val="100"/>
          <w:position w:val="0"/>
        </w:rPr>
        <w:t>10,370</w:t>
      </w:r>
      <w:r>
        <w:rPr>
          <w:color w:val="000000"/>
          <w:spacing w:val="0"/>
          <w:w w:val="100"/>
          <w:position w:val="0"/>
        </w:rPr>
        <w:t>万元变更为</w:t>
      </w:r>
      <w:r>
        <w:rPr>
          <w:rFonts w:ascii="Times New Roman" w:eastAsia="Times New Roman" w:hAnsi="Times New Roman" w:cs="Times New Roman"/>
          <w:color w:val="000000"/>
          <w:spacing w:val="0"/>
          <w:w w:val="100"/>
          <w:position w:val="0"/>
        </w:rPr>
        <w:t>20,740</w:t>
      </w:r>
      <w:r>
        <w:rPr>
          <w:color w:val="000000"/>
          <w:spacing w:val="0"/>
          <w:w w:val="100"/>
          <w:position w:val="0"/>
        </w:rPr>
        <w:t>万元。</w:t>
      </w:r>
    </w:p>
    <w:p>
      <w:pPr>
        <w:pStyle w:val="Style30"/>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日，本公司将资本公积</w:t>
      </w:r>
      <w:r>
        <w:rPr>
          <w:rFonts w:ascii="Times New Roman" w:eastAsia="Times New Roman" w:hAnsi="Times New Roman" w:cs="Times New Roman"/>
          <w:color w:val="000000"/>
          <w:spacing w:val="0"/>
          <w:w w:val="100"/>
          <w:position w:val="0"/>
        </w:rPr>
        <w:t>10,370</w:t>
      </w:r>
      <w:r>
        <w:rPr>
          <w:color w:val="000000"/>
          <w:spacing w:val="0"/>
          <w:w w:val="100"/>
          <w:position w:val="0"/>
        </w:rPr>
        <w:t>万元转增资本，转增后注册资本变更为</w:t>
      </w:r>
      <w:r>
        <w:rPr>
          <w:rFonts w:ascii="Times New Roman" w:eastAsia="Times New Roman" w:hAnsi="Times New Roman" w:cs="Times New Roman"/>
          <w:color w:val="000000"/>
          <w:spacing w:val="0"/>
          <w:w w:val="100"/>
          <w:position w:val="0"/>
        </w:rPr>
        <w:t>31,110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日，本公司办 理完成相关工商登记变更手续，注册资本和股本均由</w:t>
      </w:r>
      <w:r>
        <w:rPr>
          <w:rFonts w:ascii="Times New Roman" w:eastAsia="Times New Roman" w:hAnsi="Times New Roman" w:cs="Times New Roman"/>
          <w:color w:val="000000"/>
          <w:spacing w:val="0"/>
          <w:w w:val="100"/>
          <w:position w:val="0"/>
        </w:rPr>
        <w:t>20,740</w:t>
      </w:r>
      <w:r>
        <w:rPr>
          <w:color w:val="000000"/>
          <w:spacing w:val="0"/>
          <w:w w:val="100"/>
          <w:position w:val="0"/>
        </w:rPr>
        <w:t>万元变更为</w:t>
      </w:r>
      <w:r>
        <w:rPr>
          <w:rFonts w:ascii="Times New Roman" w:eastAsia="Times New Roman" w:hAnsi="Times New Roman" w:cs="Times New Roman"/>
          <w:color w:val="000000"/>
          <w:spacing w:val="0"/>
          <w:w w:val="100"/>
          <w:position w:val="0"/>
        </w:rPr>
        <w:t>31,110</w:t>
      </w:r>
      <w:r>
        <w:rPr>
          <w:color w:val="000000"/>
          <w:spacing w:val="0"/>
          <w:w w:val="100"/>
          <w:position w:val="0"/>
        </w:rPr>
        <w:t>万元。</w:t>
      </w:r>
    </w:p>
    <w:p>
      <w:pPr>
        <w:pStyle w:val="Style30"/>
        <w:keepNext w:val="0"/>
        <w:keepLines w:val="0"/>
        <w:widowControl w:val="0"/>
        <w:shd w:val="clear" w:color="auto" w:fill="auto"/>
        <w:bidi w:val="0"/>
        <w:spacing w:before="0" w:after="40" w:line="317"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日，本公司将资本公积</w:t>
      </w:r>
      <w:r>
        <w:rPr>
          <w:rFonts w:ascii="Times New Roman" w:eastAsia="Times New Roman" w:hAnsi="Times New Roman" w:cs="Times New Roman"/>
          <w:color w:val="000000"/>
          <w:spacing w:val="0"/>
          <w:w w:val="100"/>
          <w:position w:val="0"/>
        </w:rPr>
        <w:t>31,110</w:t>
      </w:r>
      <w:r>
        <w:rPr>
          <w:color w:val="000000"/>
          <w:spacing w:val="0"/>
          <w:w w:val="100"/>
          <w:position w:val="0"/>
        </w:rPr>
        <w:t>万元转增资本，转增后注册资本变更为</w:t>
      </w:r>
      <w:r>
        <w:rPr>
          <w:rFonts w:ascii="Times New Roman" w:eastAsia="Times New Roman" w:hAnsi="Times New Roman" w:cs="Times New Roman"/>
          <w:color w:val="000000"/>
          <w:spacing w:val="0"/>
          <w:w w:val="100"/>
          <w:position w:val="0"/>
        </w:rPr>
        <w:t>62,220</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日，本公司办 理完成相关工商登记变更手续，注册资本和股本均由</w:t>
      </w:r>
      <w:r>
        <w:rPr>
          <w:rFonts w:ascii="Times New Roman" w:eastAsia="Times New Roman" w:hAnsi="Times New Roman" w:cs="Times New Roman"/>
          <w:color w:val="000000"/>
          <w:spacing w:val="0"/>
          <w:w w:val="100"/>
          <w:position w:val="0"/>
        </w:rPr>
        <w:t>31,110</w:t>
      </w:r>
      <w:r>
        <w:rPr>
          <w:color w:val="000000"/>
          <w:spacing w:val="0"/>
          <w:w w:val="100"/>
          <w:position w:val="0"/>
        </w:rPr>
        <w:t>万元变更为</w:t>
      </w:r>
      <w:r>
        <w:rPr>
          <w:rFonts w:ascii="Times New Roman" w:eastAsia="Times New Roman" w:hAnsi="Times New Roman" w:cs="Times New Roman"/>
          <w:color w:val="000000"/>
          <w:spacing w:val="0"/>
          <w:w w:val="100"/>
          <w:position w:val="0"/>
        </w:rPr>
        <w:t>62,220</w:t>
      </w:r>
      <w:r>
        <w:rPr>
          <w:color w:val="000000"/>
          <w:spacing w:val="0"/>
          <w:w w:val="100"/>
          <w:position w:val="0"/>
        </w:rPr>
        <w:t>万元。</w:t>
      </w:r>
    </w:p>
    <w:p>
      <w:pPr>
        <w:pStyle w:val="Style30"/>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日，本公司向福建省工商行政管理局申请并完成了</w:t>
      </w:r>
      <w:r>
        <w:rPr>
          <w:rFonts w:ascii="Times New Roman" w:eastAsia="Times New Roman" w:hAnsi="Times New Roman" w:cs="Times New Roman"/>
          <w:color w:val="000000"/>
          <w:spacing w:val="0"/>
          <w:w w:val="100"/>
          <w:position w:val="0"/>
        </w:rPr>
        <w:t>“</w:t>
      </w:r>
      <w:r>
        <w:rPr>
          <w:color w:val="000000"/>
          <w:spacing w:val="0"/>
          <w:w w:val="100"/>
          <w:position w:val="0"/>
        </w:rPr>
        <w:t>三证合一</w:t>
      </w:r>
      <w:r>
        <w:rPr>
          <w:rFonts w:ascii="Times New Roman" w:eastAsia="Times New Roman" w:hAnsi="Times New Roman" w:cs="Times New Roman"/>
          <w:color w:val="000000"/>
          <w:spacing w:val="0"/>
          <w:w w:val="100"/>
          <w:position w:val="0"/>
        </w:rPr>
        <w:t>”</w:t>
      </w:r>
      <w:r>
        <w:rPr>
          <w:color w:val="000000"/>
          <w:spacing w:val="0"/>
          <w:w w:val="100"/>
          <w:position w:val="0"/>
        </w:rPr>
        <w:t>的工商变更登记，新取得的《营业执照》统 一社会信用代码为</w:t>
      </w:r>
      <w:r>
        <w:rPr>
          <w:rFonts w:ascii="Times New Roman" w:eastAsia="Times New Roman" w:hAnsi="Times New Roman" w:cs="Times New Roman"/>
          <w:color w:val="000000"/>
          <w:spacing w:val="0"/>
          <w:w w:val="100"/>
          <w:position w:val="0"/>
        </w:rPr>
        <w:t>913500006285075795</w:t>
      </w:r>
      <w:r>
        <w:rPr>
          <w:color w:val="000000"/>
          <w:spacing w:val="0"/>
          <w:w w:val="100"/>
          <w:position w:val="0"/>
        </w:rPr>
        <w:t>。</w:t>
      </w:r>
    </w:p>
    <w:p>
      <w:pPr>
        <w:pStyle w:val="Style30"/>
        <w:keepNext w:val="0"/>
        <w:keepLines w:val="0"/>
        <w:widowControl w:val="0"/>
        <w:shd w:val="clear" w:color="auto" w:fill="auto"/>
        <w:tabs>
          <w:tab w:pos="531" w:val="left"/>
        </w:tabs>
        <w:bidi w:val="0"/>
        <w:spacing w:before="0" w:after="40" w:line="312" w:lineRule="exact"/>
        <w:ind w:left="0" w:right="0" w:firstLine="0"/>
        <w:jc w:val="left"/>
      </w:pPr>
      <w:bookmarkStart w:id="664" w:name="bookmark664"/>
      <w:r>
        <w:rPr>
          <w:color w:val="000000"/>
          <w:spacing w:val="0"/>
          <w:w w:val="100"/>
          <w:position w:val="0"/>
        </w:rPr>
        <w:t>（</w:t>
      </w:r>
      <w:bookmarkEnd w:id="664"/>
      <w:r>
        <w:rPr>
          <w:color w:val="000000"/>
          <w:spacing w:val="0"/>
          <w:w w:val="100"/>
          <w:position w:val="0"/>
        </w:rPr>
        <w:t>二）</w:t>
        <w:tab/>
        <w:t>法人代表及公司地址</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本公司法定代表人为鲁峰，本公司住址为福州市鼓楼区铜盘路福州软件园产业基地。</w:t>
      </w:r>
    </w:p>
    <w:p>
      <w:pPr>
        <w:pStyle w:val="Style30"/>
        <w:keepNext w:val="0"/>
        <w:keepLines w:val="0"/>
        <w:widowControl w:val="0"/>
        <w:shd w:val="clear" w:color="auto" w:fill="auto"/>
        <w:tabs>
          <w:tab w:pos="531" w:val="left"/>
        </w:tabs>
        <w:bidi w:val="0"/>
        <w:spacing w:before="0" w:after="40" w:line="312" w:lineRule="exact"/>
        <w:ind w:left="0" w:right="0" w:firstLine="0"/>
        <w:jc w:val="left"/>
      </w:pPr>
      <w:bookmarkStart w:id="665" w:name="bookmark665"/>
      <w:r>
        <w:rPr>
          <w:color w:val="000000"/>
          <w:spacing w:val="0"/>
          <w:w w:val="100"/>
          <w:position w:val="0"/>
        </w:rPr>
        <w:t>（</w:t>
      </w:r>
      <w:bookmarkEnd w:id="665"/>
      <w:r>
        <w:rPr>
          <w:color w:val="000000"/>
          <w:spacing w:val="0"/>
          <w:w w:val="100"/>
          <w:position w:val="0"/>
        </w:rPr>
        <w:t>三）</w:t>
        <w:tab/>
        <w:t>组织架构</w:t>
      </w:r>
    </w:p>
    <w:p>
      <w:pPr>
        <w:pStyle w:val="Style30"/>
        <w:keepNext w:val="0"/>
        <w:keepLines w:val="0"/>
        <w:widowControl w:val="0"/>
        <w:shd w:val="clear" w:color="auto" w:fill="auto"/>
        <w:bidi w:val="0"/>
        <w:spacing w:before="0" w:after="40" w:line="298" w:lineRule="exact"/>
        <w:ind w:left="0" w:right="0"/>
        <w:jc w:val="both"/>
      </w:pPr>
      <w:r>
        <w:rPr>
          <w:color w:val="000000"/>
          <w:spacing w:val="0"/>
          <w:w w:val="100"/>
          <w:position w:val="0"/>
        </w:rPr>
        <w:t>本公司建立了股东大会、董事会、监事会的法人治理结构，目前设总裁办公室、研发部、财务部、证券部、人力资源部 等部门，拥有浙江榕基信息技术有限公司、榕基五一（北京）信息技术有限公司等</w:t>
      </w:r>
      <w:r>
        <w:rPr>
          <w:rFonts w:ascii="Times New Roman" w:eastAsia="Times New Roman" w:hAnsi="Times New Roman" w:cs="Times New Roman"/>
          <w:color w:val="000000"/>
          <w:spacing w:val="0"/>
          <w:w w:val="100"/>
          <w:position w:val="0"/>
        </w:rPr>
        <w:t>14</w:t>
      </w:r>
      <w:r>
        <w:rPr>
          <w:color w:val="000000"/>
          <w:spacing w:val="0"/>
          <w:w w:val="100"/>
          <w:position w:val="0"/>
        </w:rPr>
        <w:t>家子公司及</w:t>
      </w:r>
      <w:r>
        <w:rPr>
          <w:rFonts w:ascii="Times New Roman" w:eastAsia="Times New Roman" w:hAnsi="Times New Roman" w:cs="Times New Roman"/>
          <w:color w:val="000000"/>
          <w:spacing w:val="0"/>
          <w:w w:val="100"/>
          <w:position w:val="0"/>
        </w:rPr>
        <w:t>5</w:t>
      </w:r>
      <w:r>
        <w:rPr>
          <w:color w:val="000000"/>
          <w:spacing w:val="0"/>
          <w:w w:val="100"/>
          <w:position w:val="0"/>
        </w:rPr>
        <w:t>家孙公司。</w:t>
      </w:r>
    </w:p>
    <w:p>
      <w:pPr>
        <w:pStyle w:val="Style30"/>
        <w:keepNext w:val="0"/>
        <w:keepLines w:val="0"/>
        <w:widowControl w:val="0"/>
        <w:shd w:val="clear" w:color="auto" w:fill="auto"/>
        <w:tabs>
          <w:tab w:pos="531" w:val="left"/>
        </w:tabs>
        <w:bidi w:val="0"/>
        <w:spacing w:before="0" w:after="40" w:line="312" w:lineRule="exact"/>
        <w:ind w:left="0" w:right="0" w:firstLine="0"/>
        <w:jc w:val="left"/>
      </w:pPr>
      <w:bookmarkStart w:id="666" w:name="bookmark666"/>
      <w:r>
        <w:rPr>
          <w:color w:val="000000"/>
          <w:spacing w:val="0"/>
          <w:w w:val="100"/>
          <w:position w:val="0"/>
        </w:rPr>
        <w:t>（</w:t>
      </w:r>
      <w:bookmarkEnd w:id="666"/>
      <w:r>
        <w:rPr>
          <w:color w:val="000000"/>
          <w:spacing w:val="0"/>
          <w:w w:val="100"/>
          <w:position w:val="0"/>
        </w:rPr>
        <w:t>四）</w:t>
        <w:tab/>
        <w:t>行业性质及经营范围</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）所处行业主要为信息技术行业，本集团经营范围主要包括：计算机及网络软件 开发服务、计算机硬件技术服务、电子计算机及配件的批发零售、对外贸易、电子与智能化工程设计与施工服务、建筑机电 安装工程设计与施工服务、安防工程设计与施工服务，对房地产业的投资。</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本财务报表及财务报表附注业经本公司第四届董事会第三次会议于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日批准。</w:t>
      </w:r>
    </w:p>
    <w:p>
      <w:pPr>
        <w:pStyle w:val="Style30"/>
        <w:keepNext w:val="0"/>
        <w:keepLines w:val="0"/>
        <w:widowControl w:val="0"/>
        <w:shd w:val="clear" w:color="auto" w:fill="auto"/>
        <w:bidi w:val="0"/>
        <w:spacing w:before="0" w:after="360" w:line="331"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年度纳入合并范围的子公司</w:t>
      </w:r>
      <w:r>
        <w:rPr>
          <w:rFonts w:ascii="Times New Roman" w:eastAsia="Times New Roman" w:hAnsi="Times New Roman" w:cs="Times New Roman"/>
          <w:color w:val="000000"/>
          <w:spacing w:val="0"/>
          <w:w w:val="100"/>
          <w:position w:val="0"/>
        </w:rPr>
        <w:t>14</w:t>
      </w:r>
      <w:r>
        <w:rPr>
          <w:color w:val="000000"/>
          <w:spacing w:val="0"/>
          <w:w w:val="100"/>
          <w:position w:val="0"/>
        </w:rPr>
        <w:t>家、孙公司</w:t>
      </w:r>
      <w:r>
        <w:rPr>
          <w:rFonts w:ascii="Times New Roman" w:eastAsia="Times New Roman" w:hAnsi="Times New Roman" w:cs="Times New Roman"/>
          <w:color w:val="000000"/>
          <w:spacing w:val="0"/>
          <w:w w:val="100"/>
          <w:position w:val="0"/>
        </w:rPr>
        <w:t>5</w:t>
      </w:r>
      <w:r>
        <w:rPr>
          <w:color w:val="000000"/>
          <w:spacing w:val="0"/>
          <w:w w:val="100"/>
          <w:position w:val="0"/>
        </w:rPr>
        <w:t>家，各家子、孙公司情况详见附注</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 合并范围与上年相比未发生变化。</w:t>
      </w:r>
    </w:p>
    <w:p>
      <w:pPr>
        <w:pStyle w:val="Style26"/>
        <w:keepNext/>
        <w:keepLines/>
        <w:widowControl w:val="0"/>
        <w:shd w:val="clear" w:color="auto" w:fill="auto"/>
        <w:tabs>
          <w:tab w:pos="502" w:val="left"/>
        </w:tabs>
        <w:bidi w:val="0"/>
        <w:spacing w:before="0" w:after="32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四</w:t>
      </w:r>
      <w:bookmarkEnd w:id="669"/>
      <w:r>
        <w:rPr>
          <w:color w:val="000000"/>
          <w:spacing w:val="0"/>
          <w:w w:val="100"/>
          <w:position w:val="0"/>
          <w:sz w:val="24"/>
          <w:szCs w:val="24"/>
        </w:rPr>
        <w:t>、</w:t>
        <w:tab/>
        <w:t>财务报表的编制基础</w:t>
      </w:r>
      <w:bookmarkEnd w:id="667"/>
      <w:bookmarkEnd w:id="668"/>
      <w:bookmarkEnd w:id="670"/>
    </w:p>
    <w:p>
      <w:pPr>
        <w:pStyle w:val="Style33"/>
        <w:keepNext/>
        <w:keepLines/>
        <w:widowControl w:val="0"/>
        <w:shd w:val="clear" w:color="auto" w:fill="auto"/>
        <w:tabs>
          <w:tab w:pos="417" w:val="left"/>
        </w:tabs>
        <w:bidi w:val="0"/>
        <w:spacing w:before="0" w:after="26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1</w:t>
      </w:r>
      <w:bookmarkEnd w:id="673"/>
      <w:r>
        <w:rPr>
          <w:color w:val="000000"/>
          <w:spacing w:val="0"/>
          <w:w w:val="100"/>
          <w:position w:val="0"/>
        </w:rPr>
        <w:t>、</w:t>
        <w:tab/>
        <w:t>编制基础</w:t>
      </w:r>
      <w:bookmarkEnd w:id="671"/>
      <w:bookmarkEnd w:id="672"/>
      <w:bookmarkEnd w:id="674"/>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本财务报表按照财政部颁布的企业会计准则及其应用指南、解释及其他有关规定（统称“企业会计准则”）编制。此外， 本集团还按照中国证监会《公开发行证券的公司信息披露编报规则第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 财务信息。</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本财务报表以持续经营为基础列报。</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本集团会计核算以权责发生制为基础。除某些金融工具外，本财务报表均以历史成本为计量基础。资产如果发生减值， 则按照相关规定计提相应的减值准备。</w:t>
      </w:r>
    </w:p>
    <w:p>
      <w:pPr>
        <w:pStyle w:val="Style33"/>
        <w:keepNext/>
        <w:keepLines/>
        <w:widowControl w:val="0"/>
        <w:shd w:val="clear" w:color="auto" w:fill="auto"/>
        <w:tabs>
          <w:tab w:pos="417" w:val="left"/>
        </w:tabs>
        <w:bidi w:val="0"/>
        <w:spacing w:before="0" w:after="26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color w:val="000000"/>
          <w:spacing w:val="0"/>
          <w:w w:val="100"/>
          <w:position w:val="0"/>
        </w:rPr>
        <w:t>、</w:t>
        <w:tab/>
        <w:t>持续经营</w:t>
      </w:r>
      <w:bookmarkEnd w:id="675"/>
      <w:bookmarkEnd w:id="676"/>
      <w:bookmarkEnd w:id="678"/>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本财务报表以持续经营为基础列报。</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本集团会计核算以权责发生制为基础。除某些金融工具外，本财务报表均以历史成本为计量基础。资产如果发生减值， 则按照相关规定计提相应的减值准备。</w:t>
      </w:r>
    </w:p>
    <w:p>
      <w:pPr>
        <w:pStyle w:val="Style26"/>
        <w:keepNext/>
        <w:keepLines/>
        <w:widowControl w:val="0"/>
        <w:shd w:val="clear" w:color="auto" w:fill="auto"/>
        <w:tabs>
          <w:tab w:pos="522" w:val="left"/>
        </w:tabs>
        <w:bidi w:val="0"/>
        <w:spacing w:before="0" w:after="26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sz w:val="24"/>
          <w:szCs w:val="24"/>
        </w:rPr>
        <w:t>五</w:t>
      </w:r>
      <w:bookmarkEnd w:id="681"/>
      <w:r>
        <w:rPr>
          <w:color w:val="000000"/>
          <w:spacing w:val="0"/>
          <w:w w:val="100"/>
          <w:position w:val="0"/>
          <w:sz w:val="24"/>
          <w:szCs w:val="24"/>
        </w:rPr>
        <w:t>、</w:t>
        <w:tab/>
        <w:t>重要会计政策及会计估计</w:t>
      </w:r>
      <w:bookmarkEnd w:id="679"/>
      <w:bookmarkEnd w:id="680"/>
      <w:bookmarkEnd w:id="682"/>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本集团根据自身生产经营特点，确定研发费用资本化条件以及收入确认政策，具体会计政策参见附注三、</w:t>
      </w:r>
      <w:r>
        <w:rPr>
          <w:color w:val="000000"/>
          <w:spacing w:val="0"/>
          <w:w w:val="100"/>
          <w:position w:val="0"/>
          <w:sz w:val="18"/>
          <w:szCs w:val="18"/>
        </w:rPr>
        <w:t>19</w:t>
      </w:r>
      <w:r>
        <w:rPr>
          <w:color w:val="000000"/>
          <w:spacing w:val="0"/>
          <w:w w:val="100"/>
          <w:position w:val="0"/>
        </w:rPr>
        <w:t>和附注三、</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23</w:t>
      </w:r>
      <w:r>
        <w:rPr>
          <w:color w:val="000000"/>
          <w:spacing w:val="0"/>
          <w:w w:val="100"/>
          <w:position w:val="0"/>
        </w:rPr>
        <w:t>。</w:t>
      </w:r>
    </w:p>
    <w:p>
      <w:pPr>
        <w:pStyle w:val="Style33"/>
        <w:keepNext/>
        <w:keepLines/>
        <w:widowControl w:val="0"/>
        <w:shd w:val="clear" w:color="auto" w:fill="auto"/>
        <w:tabs>
          <w:tab w:pos="368" w:val="left"/>
        </w:tabs>
        <w:bidi w:val="0"/>
        <w:spacing w:before="0" w:after="26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w:t>
        <w:tab/>
        <w:t>遵循企业会计准则的声明</w:t>
      </w:r>
      <w:bookmarkEnd w:id="683"/>
      <w:bookmarkEnd w:id="684"/>
      <w:bookmarkEnd w:id="686"/>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本财务报表符合企业会计准则的要求，真实、完整地反映了本公司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2016</w:t>
      </w:r>
      <w:r>
        <w:rPr>
          <w:color w:val="000000"/>
          <w:spacing w:val="0"/>
          <w:w w:val="100"/>
          <w:position w:val="0"/>
        </w:rPr>
        <w:t>年度 的合并及公司经营成果和合并及公司现金流量等有关信息。</w:t>
      </w:r>
    </w:p>
    <w:p>
      <w:pPr>
        <w:pStyle w:val="Style33"/>
        <w:keepNext/>
        <w:keepLines/>
        <w:widowControl w:val="0"/>
        <w:shd w:val="clear" w:color="auto" w:fill="auto"/>
        <w:tabs>
          <w:tab w:pos="378" w:val="left"/>
        </w:tabs>
        <w:bidi w:val="0"/>
        <w:spacing w:before="0" w:after="2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w:t>
        <w:tab/>
        <w:t>会计期间</w:t>
      </w:r>
      <w:bookmarkEnd w:id="687"/>
      <w:bookmarkEnd w:id="688"/>
      <w:bookmarkEnd w:id="690"/>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本集团会计期间采用公历年度，即每年自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w:t>
        <w:tab/>
        <w:t>营业周期</w:t>
      </w:r>
      <w:bookmarkEnd w:id="691"/>
      <w:bookmarkEnd w:id="692"/>
      <w:bookmarkEnd w:id="694"/>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本集团的营业周期为</w:t>
      </w:r>
      <w:r>
        <w:rPr>
          <w:color w:val="000000"/>
          <w:spacing w:val="0"/>
          <w:w w:val="100"/>
          <w:position w:val="0"/>
          <w:sz w:val="18"/>
          <w:szCs w:val="18"/>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4</w:t>
      </w:r>
      <w:bookmarkEnd w:id="697"/>
      <w:r>
        <w:rPr>
          <w:color w:val="000000"/>
          <w:spacing w:val="0"/>
          <w:w w:val="100"/>
          <w:position w:val="0"/>
        </w:rPr>
        <w:t>、</w:t>
        <w:tab/>
        <w:t>记账本位币</w:t>
      </w:r>
      <w:bookmarkEnd w:id="695"/>
      <w:bookmarkEnd w:id="696"/>
      <w:bookmarkEnd w:id="698"/>
    </w:p>
    <w:p>
      <w:pPr>
        <w:pStyle w:val="Style30"/>
        <w:keepNext w:val="0"/>
        <w:keepLines w:val="0"/>
        <w:widowControl w:val="0"/>
        <w:shd w:val="clear" w:color="auto" w:fill="auto"/>
        <w:bidi w:val="0"/>
        <w:spacing w:before="0" w:after="380" w:line="302" w:lineRule="exact"/>
        <w:ind w:left="0" w:right="0"/>
        <w:jc w:val="both"/>
      </w:pPr>
      <w:r>
        <w:rPr>
          <w:color w:val="000000"/>
          <w:spacing w:val="0"/>
          <w:w w:val="100"/>
          <w:position w:val="0"/>
        </w:rPr>
        <w:t>本公司及境内子公司以人民币为记账本位币。本公司之境外子公司根据其经营所处的主要经济环境中的货币确定港币为 其记账本位币。本集团编制本财务报表时所采用的货币为人民币。</w:t>
      </w:r>
    </w:p>
    <w:p>
      <w:pPr>
        <w:pStyle w:val="Style33"/>
        <w:keepNext/>
        <w:keepLines/>
        <w:widowControl w:val="0"/>
        <w:shd w:val="clear" w:color="auto" w:fill="auto"/>
        <w:tabs>
          <w:tab w:pos="378"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5</w:t>
      </w:r>
      <w:bookmarkEnd w:id="701"/>
      <w:r>
        <w:rPr>
          <w:color w:val="000000"/>
          <w:spacing w:val="0"/>
          <w:w w:val="100"/>
          <w:position w:val="0"/>
        </w:rPr>
        <w:t>、</w:t>
        <w:tab/>
        <w:t>同一控制下和非同一控制下企业合并的会计处理方法</w:t>
      </w:r>
      <w:bookmarkEnd w:id="699"/>
      <w:bookmarkEnd w:id="700"/>
      <w:bookmarkEnd w:id="702"/>
    </w:p>
    <w:p>
      <w:pPr>
        <w:pStyle w:val="Style30"/>
        <w:keepNext w:val="0"/>
        <w:keepLines w:val="0"/>
        <w:widowControl w:val="0"/>
        <w:shd w:val="clear" w:color="auto" w:fill="auto"/>
        <w:tabs>
          <w:tab w:pos="825" w:val="left"/>
        </w:tabs>
        <w:bidi w:val="0"/>
        <w:spacing w:before="0" w:after="40" w:line="312" w:lineRule="exact"/>
        <w:ind w:left="0" w:right="0"/>
        <w:jc w:val="both"/>
      </w:pPr>
      <w:bookmarkStart w:id="703" w:name="bookmark703"/>
      <w:r>
        <w:rPr>
          <w:color w:val="000000"/>
          <w:spacing w:val="0"/>
          <w:w w:val="100"/>
          <w:position w:val="0"/>
        </w:rPr>
        <w:t>（</w:t>
      </w:r>
      <w:bookmarkEnd w:id="703"/>
      <w:r>
        <w:rPr>
          <w:color w:val="000000"/>
          <w:spacing w:val="0"/>
          <w:w w:val="100"/>
          <w:position w:val="0"/>
          <w:sz w:val="18"/>
          <w:szCs w:val="18"/>
        </w:rPr>
        <w:t>1</w:t>
      </w:r>
      <w:r>
        <w:rPr>
          <w:color w:val="000000"/>
          <w:spacing w:val="0"/>
          <w:w w:val="100"/>
          <w:position w:val="0"/>
        </w:rPr>
        <w:t>）</w:t>
        <w:tab/>
        <w:t>同一控制下的企业合并</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对于同一控制下的企业合并，合并方在合并中取得的被合并方的资产、负债，除因会计政策不同而进行的调整以外，按 合并日被合并方在最终控制方合并财务报表中的账面价值计量。合并对价的账面价值与合并中取得的净资产账面价值的差额 调整资本公积（股本溢价），资本公积（股本溢价）不足冲减的，调整留存收益。</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通过多次交易分步实现同一控制下的企业合并</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在个别财务报表中，以合并日持股比例计算的合并日应享有被合并方净资产在最终控制方合并财务报表中的账面价值的 份额作为该项投资的初始投资成本;初始投资成本与合并前持有投资的账面价值加上合并日新支付对价的账面价值之和的差 额，调整资本公积（股本溢价），资本公积（股本溢价）不足冲减的，调整留存收益。</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取得的净资产账面价值的差额，调整资本公积（股本溢价），资本公积（股本溢价）不足冲减的，调整留存收益。合并方在 取得被合并方控制权之前持有的长期股权投资，在取得原股权之日与合并方与被合并方同处于同一方最终控制之日孰晚日起 至合并日之间已确认有关损益、其他综合收益和其他所有者权益变动,应分别冲减比较报表期间的期初留存收益或当期损益。</w:t>
      </w:r>
    </w:p>
    <w:p>
      <w:pPr>
        <w:pStyle w:val="Style30"/>
        <w:keepNext w:val="0"/>
        <w:keepLines w:val="0"/>
        <w:widowControl w:val="0"/>
        <w:shd w:val="clear" w:color="auto" w:fill="auto"/>
        <w:tabs>
          <w:tab w:pos="825" w:val="left"/>
        </w:tabs>
        <w:bidi w:val="0"/>
        <w:spacing w:before="0" w:after="40" w:line="312" w:lineRule="exact"/>
        <w:ind w:left="0" w:right="0"/>
        <w:jc w:val="both"/>
      </w:pPr>
      <w:bookmarkStart w:id="704" w:name="bookmark704"/>
      <w:r>
        <w:rPr>
          <w:color w:val="000000"/>
          <w:spacing w:val="0"/>
          <w:w w:val="100"/>
          <w:position w:val="0"/>
        </w:rPr>
        <w:t>（</w:t>
      </w:r>
      <w:bookmarkEnd w:id="704"/>
      <w:r>
        <w:rPr>
          <w:color w:val="000000"/>
          <w:spacing w:val="0"/>
          <w:w w:val="100"/>
          <w:position w:val="0"/>
          <w:sz w:val="18"/>
          <w:szCs w:val="18"/>
        </w:rPr>
        <w:t>2</w:t>
      </w:r>
      <w:r>
        <w:rPr>
          <w:color w:val="000000"/>
          <w:spacing w:val="0"/>
          <w:w w:val="100"/>
          <w:position w:val="0"/>
        </w:rPr>
        <w:t>）</w:t>
        <w:tab/>
        <w:t>企业合并中有关交易费用的处理</w:t>
      </w:r>
    </w:p>
    <w:p>
      <w:pPr>
        <w:pStyle w:val="Style30"/>
        <w:keepNext w:val="0"/>
        <w:keepLines w:val="0"/>
        <w:widowControl w:val="0"/>
        <w:shd w:val="clear" w:color="auto" w:fill="auto"/>
        <w:bidi w:val="0"/>
        <w:spacing w:before="0" w:after="380" w:line="322"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6</w:t>
      </w:r>
      <w:bookmarkEnd w:id="707"/>
      <w:r>
        <w:rPr>
          <w:color w:val="000000"/>
          <w:spacing w:val="0"/>
          <w:w w:val="100"/>
          <w:position w:val="0"/>
        </w:rPr>
        <w:t>、</w:t>
        <w:tab/>
        <w:t>合并财务报表的编制方法</w:t>
      </w:r>
      <w:bookmarkEnd w:id="705"/>
      <w:bookmarkEnd w:id="706"/>
      <w:bookmarkEnd w:id="708"/>
    </w:p>
    <w:p>
      <w:pPr>
        <w:pStyle w:val="Style30"/>
        <w:keepNext w:val="0"/>
        <w:keepLines w:val="0"/>
        <w:widowControl w:val="0"/>
        <w:shd w:val="clear" w:color="auto" w:fill="auto"/>
        <w:bidi w:val="0"/>
        <w:spacing w:before="0" w:after="40" w:line="312" w:lineRule="exact"/>
        <w:ind w:left="0" w:right="0"/>
        <w:jc w:val="both"/>
      </w:pPr>
      <w:bookmarkStart w:id="709" w:name="bookmark709"/>
      <w:r>
        <w:rPr>
          <w:color w:val="000000"/>
          <w:spacing w:val="0"/>
          <w:w w:val="100"/>
          <w:position w:val="0"/>
        </w:rPr>
        <w:t>（</w:t>
      </w:r>
      <w:bookmarkEnd w:id="709"/>
      <w:r>
        <w:rPr>
          <w:color w:val="000000"/>
          <w:spacing w:val="0"/>
          <w:w w:val="100"/>
          <w:position w:val="0"/>
          <w:sz w:val="18"/>
          <w:szCs w:val="18"/>
        </w:rPr>
        <w:t>1</w:t>
      </w:r>
      <w:r>
        <w:rPr>
          <w:color w:val="000000"/>
          <w:spacing w:val="0"/>
          <w:w w:val="100"/>
          <w:position w:val="0"/>
        </w:rPr>
        <w:t>）合并范围</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 xml:space="preserve">合并财务报表的合并范围以控制为基础予以确定。控制，是指本公司拥有对被投资单位的权力，通过参与被投资单位的 </w:t>
      </w:r>
      <w:r>
        <w:rPr>
          <w:color w:val="000000"/>
          <w:spacing w:val="0"/>
          <w:w w:val="100"/>
          <w:position w:val="0"/>
        </w:rPr>
        <w:t>相关活动而享有可变回报，并且有能力运用对被投资单位的权力影响其回报金额。子公司，是指被本公司控制的主体（含企 业、被投资单位中可分割的部分、结构化主体等）。</w:t>
      </w:r>
    </w:p>
    <w:p>
      <w:pPr>
        <w:pStyle w:val="Style30"/>
        <w:keepNext w:val="0"/>
        <w:keepLines w:val="0"/>
        <w:widowControl w:val="0"/>
        <w:shd w:val="clear" w:color="auto" w:fill="auto"/>
        <w:tabs>
          <w:tab w:pos="820" w:val="left"/>
        </w:tabs>
        <w:bidi w:val="0"/>
        <w:spacing w:before="0" w:after="40" w:line="312" w:lineRule="exact"/>
        <w:ind w:left="0" w:right="0"/>
        <w:jc w:val="both"/>
      </w:pPr>
      <w:bookmarkStart w:id="710" w:name="bookmark710"/>
      <w:r>
        <w:rPr>
          <w:color w:val="000000"/>
          <w:spacing w:val="0"/>
          <w:w w:val="100"/>
          <w:position w:val="0"/>
        </w:rPr>
        <w:t>（</w:t>
      </w:r>
      <w:bookmarkEnd w:id="710"/>
      <w:r>
        <w:rPr>
          <w:color w:val="000000"/>
          <w:spacing w:val="0"/>
          <w:w w:val="100"/>
          <w:position w:val="0"/>
          <w:sz w:val="18"/>
          <w:szCs w:val="18"/>
        </w:rPr>
        <w:t>2</w:t>
      </w:r>
      <w:r>
        <w:rPr>
          <w:color w:val="000000"/>
          <w:spacing w:val="0"/>
          <w:w w:val="100"/>
          <w:position w:val="0"/>
        </w:rPr>
        <w:t>）</w:t>
        <w:tab/>
        <w:t>合并财务报表的编制方法</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合并财务报表以本公司和子公司的财务报表为基础，根据其他有关资料，由本公司编制。在编制合并财务报表时，本公 司和子公司的会计政策和会计期间要求保持一致，公司间的重大交易和往来余额予以抵销。</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w:t>
      </w:r>
    </w:p>
    <w:p>
      <w:pPr>
        <w:pStyle w:val="Style30"/>
        <w:keepNext w:val="0"/>
        <w:keepLines w:val="0"/>
        <w:widowControl w:val="0"/>
        <w:shd w:val="clear" w:color="auto" w:fill="auto"/>
        <w:bidi w:val="0"/>
        <w:spacing w:before="0" w:after="40" w:line="314" w:lineRule="exact"/>
        <w:ind w:left="0" w:right="0"/>
        <w:jc w:val="both"/>
      </w:pPr>
      <w:r>
        <w:rPr>
          <w:color w:val="000000"/>
          <w:spacing w:val="0"/>
          <w:w w:val="100"/>
          <w:position w:val="0"/>
        </w:rPr>
        <w:t>子公司的股东权益中不属于本公司所拥有的部分，作为少数股东权益在合并资产负债表中股东权益项下单独列示；子公 司当期净损益中属于少数股东权益的份额，在合并利润表中净利润项目下以“少数股东损益”项目列示。少数股东分担的子 公司的亏损超过了少数股东在该子公司期初所有者权益中所享有的份额，其余额仍冲减少数股东权益。</w:t>
      </w:r>
    </w:p>
    <w:p>
      <w:pPr>
        <w:pStyle w:val="Style30"/>
        <w:keepNext w:val="0"/>
        <w:keepLines w:val="0"/>
        <w:widowControl w:val="0"/>
        <w:shd w:val="clear" w:color="auto" w:fill="auto"/>
        <w:tabs>
          <w:tab w:pos="820" w:val="left"/>
        </w:tabs>
        <w:bidi w:val="0"/>
        <w:spacing w:before="0" w:after="40" w:line="312" w:lineRule="exact"/>
        <w:ind w:left="0" w:right="0"/>
        <w:jc w:val="both"/>
      </w:pPr>
      <w:bookmarkStart w:id="711" w:name="bookmark711"/>
      <w:r>
        <w:rPr>
          <w:color w:val="000000"/>
          <w:spacing w:val="0"/>
          <w:w w:val="100"/>
          <w:position w:val="0"/>
        </w:rPr>
        <w:t>（</w:t>
      </w:r>
      <w:bookmarkEnd w:id="711"/>
      <w:r>
        <w:rPr>
          <w:color w:val="000000"/>
          <w:spacing w:val="0"/>
          <w:w w:val="100"/>
          <w:position w:val="0"/>
          <w:sz w:val="18"/>
          <w:szCs w:val="18"/>
        </w:rPr>
        <w:t>3</w:t>
      </w:r>
      <w:r>
        <w:rPr>
          <w:color w:val="000000"/>
          <w:spacing w:val="0"/>
          <w:w w:val="100"/>
          <w:position w:val="0"/>
        </w:rPr>
        <w:t>）</w:t>
        <w:tab/>
        <w:t>购买子公司少数股东股权</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因购买少数股权新取得的长期股权投资成本与按照新增持股比例计算应享有子公司自购买日或合并日开始持续计算的 净资产份额之间的差额，以及在不丧失控制权的情况下因部分处置对子公司的股权投资而取得的处置价款与处置长期股权投 资相对应享有子公司自购买日或合并日开始持续计算的净资产份额之间的差额，均调整合并资产负债表中的资本公积（股本 溢价），资本公积（股本溢价）不足冲减的，调整留存收益。</w:t>
      </w:r>
    </w:p>
    <w:p>
      <w:pPr>
        <w:pStyle w:val="Style33"/>
        <w:keepNext/>
        <w:keepLines/>
        <w:widowControl w:val="0"/>
        <w:shd w:val="clear" w:color="auto" w:fill="auto"/>
        <w:tabs>
          <w:tab w:pos="373" w:val="left"/>
        </w:tabs>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7</w:t>
      </w:r>
      <w:bookmarkEnd w:id="714"/>
      <w:r>
        <w:rPr>
          <w:color w:val="000000"/>
          <w:spacing w:val="0"/>
          <w:w w:val="100"/>
          <w:position w:val="0"/>
        </w:rPr>
        <w:t>、</w:t>
        <w:tab/>
        <w:t>合营安排分类及共同经营会计处理方法</w:t>
      </w:r>
      <w:bookmarkEnd w:id="712"/>
      <w:bookmarkEnd w:id="713"/>
      <w:bookmarkEnd w:id="715"/>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8</w:t>
      </w:r>
      <w:bookmarkEnd w:id="718"/>
      <w:r>
        <w:rPr>
          <w:color w:val="000000"/>
          <w:spacing w:val="0"/>
          <w:w w:val="100"/>
          <w:position w:val="0"/>
        </w:rPr>
        <w:t>、</w:t>
        <w:tab/>
        <w:t>现金及现金等价物的确定标准</w:t>
      </w:r>
      <w:bookmarkEnd w:id="716"/>
      <w:bookmarkEnd w:id="717"/>
      <w:bookmarkEnd w:id="719"/>
    </w:p>
    <w:p>
      <w:pPr>
        <w:pStyle w:val="Style30"/>
        <w:keepNext w:val="0"/>
        <w:keepLines w:val="0"/>
        <w:widowControl w:val="0"/>
        <w:shd w:val="clear" w:color="auto" w:fill="auto"/>
        <w:bidi w:val="0"/>
        <w:spacing w:before="0" w:after="380" w:line="307" w:lineRule="exact"/>
        <w:ind w:left="0" w:right="0"/>
        <w:jc w:val="both"/>
      </w:pPr>
      <w:r>
        <w:rPr>
          <w:color w:val="000000"/>
          <w:spacing w:val="0"/>
          <w:w w:val="100"/>
          <w:position w:val="0"/>
        </w:rPr>
        <w:t>现金是指库存现金以及可以随时用于支付的存款。现金等价物，是指本集团持有的期限短、流动性强、易于转换为已知 金额现金、价值变动风险很小的投资。</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9</w:t>
      </w:r>
      <w:bookmarkEnd w:id="722"/>
      <w:r>
        <w:rPr>
          <w:color w:val="000000"/>
          <w:spacing w:val="0"/>
          <w:w w:val="100"/>
          <w:position w:val="0"/>
        </w:rPr>
        <w:t>、</w:t>
        <w:tab/>
        <w:t>外币业务和外币报表折算</w:t>
      </w:r>
      <w:bookmarkEnd w:id="720"/>
      <w:bookmarkEnd w:id="721"/>
      <w:bookmarkEnd w:id="723"/>
    </w:p>
    <w:p>
      <w:pPr>
        <w:pStyle w:val="Style30"/>
        <w:keepNext w:val="0"/>
        <w:keepLines w:val="0"/>
        <w:widowControl w:val="0"/>
        <w:shd w:val="clear" w:color="auto" w:fill="auto"/>
        <w:tabs>
          <w:tab w:pos="825" w:val="left"/>
        </w:tabs>
        <w:bidi w:val="0"/>
        <w:spacing w:before="0" w:after="200" w:line="312" w:lineRule="exact"/>
        <w:ind w:left="0" w:right="0"/>
        <w:jc w:val="both"/>
      </w:pPr>
      <w:bookmarkStart w:id="724" w:name="bookmark724"/>
      <w:r>
        <w:rPr>
          <w:color w:val="000000"/>
          <w:spacing w:val="0"/>
          <w:w w:val="100"/>
          <w:position w:val="0"/>
        </w:rPr>
        <w:t>（</w:t>
      </w:r>
      <w:bookmarkEnd w:id="724"/>
      <w:r>
        <w:rPr>
          <w:color w:val="000000"/>
          <w:spacing w:val="0"/>
          <w:w w:val="100"/>
          <w:position w:val="0"/>
          <w:sz w:val="18"/>
          <w:szCs w:val="18"/>
        </w:rPr>
        <w:t>1</w:t>
      </w:r>
      <w:r>
        <w:rPr>
          <w:color w:val="000000"/>
          <w:spacing w:val="0"/>
          <w:w w:val="100"/>
          <w:position w:val="0"/>
        </w:rPr>
        <w:t>）</w:t>
        <w:tab/>
        <w:t>外币业务</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本集团发生外币业务，按交易发生日的即期汇率折算为记账本位币金额。</w:t>
      </w:r>
    </w:p>
    <w:p>
      <w:pPr>
        <w:pStyle w:val="Style30"/>
        <w:keepNext w:val="0"/>
        <w:keepLines w:val="0"/>
        <w:widowControl w:val="0"/>
        <w:shd w:val="clear" w:color="auto" w:fill="auto"/>
        <w:bidi w:val="0"/>
        <w:spacing w:before="0" w:after="200" w:line="310" w:lineRule="exact"/>
        <w:ind w:left="0" w:right="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30"/>
        <w:keepNext w:val="0"/>
        <w:keepLines w:val="0"/>
        <w:widowControl w:val="0"/>
        <w:shd w:val="clear" w:color="auto" w:fill="auto"/>
        <w:tabs>
          <w:tab w:pos="825" w:val="left"/>
        </w:tabs>
        <w:bidi w:val="0"/>
        <w:spacing w:before="0" w:after="200" w:line="312" w:lineRule="exact"/>
        <w:ind w:left="0" w:right="0"/>
        <w:jc w:val="both"/>
      </w:pPr>
      <w:bookmarkStart w:id="725" w:name="bookmark725"/>
      <w:r>
        <w:rPr>
          <w:color w:val="000000"/>
          <w:spacing w:val="0"/>
          <w:w w:val="100"/>
          <w:position w:val="0"/>
        </w:rPr>
        <w:t>（</w:t>
      </w:r>
      <w:bookmarkEnd w:id="725"/>
      <w:r>
        <w:rPr>
          <w:color w:val="000000"/>
          <w:spacing w:val="0"/>
          <w:w w:val="100"/>
          <w:position w:val="0"/>
          <w:sz w:val="18"/>
          <w:szCs w:val="18"/>
        </w:rPr>
        <w:t>2</w:t>
      </w:r>
      <w:r>
        <w:rPr>
          <w:color w:val="000000"/>
          <w:spacing w:val="0"/>
          <w:w w:val="100"/>
          <w:position w:val="0"/>
        </w:rPr>
        <w:t>）</w:t>
        <w:tab/>
        <w:t>外币财务报表的折算</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资产负债表日，对境外子公司外币财务报表进行折算时，资产负债表中的资产和负债项目，采用资产负债表日的即期汇 率折算，股东权益项目除“未分配利润”外，其他项目采用发生日的即期汇率折算。</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利润表中的收入和费用项目，采用按照系统合理的方法确定的、与交易发生日即期汇率近似的汇率折算。</w:t>
      </w:r>
    </w:p>
    <w:p>
      <w:pPr>
        <w:pStyle w:val="Style30"/>
        <w:keepNext w:val="0"/>
        <w:keepLines w:val="0"/>
        <w:widowControl w:val="0"/>
        <w:shd w:val="clear" w:color="auto" w:fill="auto"/>
        <w:bidi w:val="0"/>
        <w:spacing w:before="0" w:after="200" w:line="317" w:lineRule="exact"/>
        <w:ind w:left="0" w:right="0"/>
        <w:jc w:val="both"/>
      </w:pPr>
      <w:r>
        <w:rPr>
          <w:color w:val="000000"/>
          <w:spacing w:val="0"/>
          <w:w w:val="100"/>
          <w:position w:val="0"/>
        </w:rPr>
        <w:t>现金流量表所有项目均按照系统合理的方法确定的、与现金流量发生日即期汇率近似的汇率折算。汇率变动对现金的影 响额作为调节项目，在现金流量表中单独列示“汇率变动对现金及现金等价物的影响”项目反映。</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由于财务报表折算而产生的差额，在资产负债表股东权益项目下的“其他综合收益”项目反映。</w:t>
      </w:r>
    </w:p>
    <w:p>
      <w:pPr>
        <w:pStyle w:val="Style30"/>
        <w:keepNext w:val="0"/>
        <w:keepLines w:val="0"/>
        <w:widowControl w:val="0"/>
        <w:shd w:val="clear" w:color="auto" w:fill="auto"/>
        <w:bidi w:val="0"/>
        <w:spacing w:before="0" w:after="360" w:line="317" w:lineRule="exact"/>
        <w:ind w:left="0" w:right="0"/>
        <w:jc w:val="both"/>
      </w:pPr>
      <w:r>
        <w:rPr>
          <w:color w:val="000000"/>
          <w:spacing w:val="0"/>
          <w:w w:val="100"/>
          <w:position w:val="0"/>
        </w:rPr>
        <w:t>处置境外经营并丧失控制权时，将资产负债表中股东权益项目下列示的、与该境外经营相关的外币报表折算差额，全部 或按处置该境外经营的比例转入处置当期损益。</w:t>
      </w:r>
    </w:p>
    <w:p>
      <w:pPr>
        <w:pStyle w:val="Style33"/>
        <w:keepNext/>
        <w:keepLines/>
        <w:widowControl w:val="0"/>
        <w:shd w:val="clear" w:color="auto" w:fill="auto"/>
        <w:bidi w:val="0"/>
        <w:spacing w:before="0" w:after="2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26"/>
      <w:bookmarkEnd w:id="727"/>
      <w:bookmarkEnd w:id="729"/>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金融工具是指形成一个企业的金融资产，并形成其他单位的金融负债或权益工具的合同。</w:t>
      </w:r>
    </w:p>
    <w:p>
      <w:pPr>
        <w:pStyle w:val="Style30"/>
        <w:keepNext w:val="0"/>
        <w:keepLines w:val="0"/>
        <w:widowControl w:val="0"/>
        <w:shd w:val="clear" w:color="auto" w:fill="auto"/>
        <w:tabs>
          <w:tab w:pos="825" w:val="left"/>
        </w:tabs>
        <w:bidi w:val="0"/>
        <w:spacing w:before="0" w:after="200" w:line="312" w:lineRule="exact"/>
        <w:ind w:left="0" w:right="0"/>
        <w:jc w:val="left"/>
      </w:pPr>
      <w:bookmarkStart w:id="730" w:name="bookmark730"/>
      <w:r>
        <w:rPr>
          <w:color w:val="000000"/>
          <w:spacing w:val="0"/>
          <w:w w:val="100"/>
          <w:position w:val="0"/>
        </w:rPr>
        <w:t>（</w:t>
      </w:r>
      <w:bookmarkEnd w:id="730"/>
      <w:r>
        <w:rPr>
          <w:color w:val="000000"/>
          <w:spacing w:val="0"/>
          <w:w w:val="100"/>
          <w:position w:val="0"/>
          <w:sz w:val="18"/>
          <w:szCs w:val="18"/>
        </w:rPr>
        <w:t>1</w:t>
      </w:r>
      <w:r>
        <w:rPr>
          <w:color w:val="000000"/>
          <w:spacing w:val="0"/>
          <w:w w:val="100"/>
          <w:position w:val="0"/>
        </w:rPr>
        <w:t>）</w:t>
        <w:tab/>
        <w:t>金融工具的确认和终止确认</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本集团于成为金融工具合同的一方时确认一项金融资产或金融负债。</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金融资产满足下列条件之一的，终止确认：</w:t>
      </w:r>
    </w:p>
    <w:p>
      <w:pPr>
        <w:pStyle w:val="Style30"/>
        <w:keepNext w:val="0"/>
        <w:keepLines w:val="0"/>
        <w:widowControl w:val="0"/>
        <w:numPr>
          <w:ilvl w:val="0"/>
          <w:numId w:val="17"/>
        </w:numPr>
        <w:shd w:val="clear" w:color="auto" w:fill="auto"/>
        <w:tabs>
          <w:tab w:pos="753" w:val="left"/>
        </w:tabs>
        <w:bidi w:val="0"/>
        <w:spacing w:before="0" w:after="200" w:line="312" w:lineRule="exact"/>
        <w:ind w:left="0" w:right="0"/>
        <w:jc w:val="both"/>
      </w:pPr>
      <w:bookmarkStart w:id="731" w:name="bookmark731"/>
      <w:bookmarkEnd w:id="731"/>
      <w:r>
        <w:rPr>
          <w:color w:val="000000"/>
          <w:spacing w:val="0"/>
          <w:w w:val="100"/>
          <w:position w:val="0"/>
        </w:rPr>
        <w:t>收取该金融资产现金流量的合同权利终止；</w:t>
      </w:r>
    </w:p>
    <w:p>
      <w:pPr>
        <w:pStyle w:val="Style30"/>
        <w:keepNext w:val="0"/>
        <w:keepLines w:val="0"/>
        <w:widowControl w:val="0"/>
        <w:numPr>
          <w:ilvl w:val="0"/>
          <w:numId w:val="17"/>
        </w:numPr>
        <w:shd w:val="clear" w:color="auto" w:fill="auto"/>
        <w:tabs>
          <w:tab w:pos="753" w:val="left"/>
        </w:tabs>
        <w:bidi w:val="0"/>
        <w:spacing w:before="0" w:after="200" w:line="312" w:lineRule="exact"/>
        <w:ind w:left="0" w:right="0"/>
        <w:jc w:val="both"/>
      </w:pPr>
      <w:bookmarkStart w:id="732" w:name="bookmark732"/>
      <w:bookmarkEnd w:id="732"/>
      <w:r>
        <w:rPr>
          <w:color w:val="000000"/>
          <w:spacing w:val="0"/>
          <w:w w:val="100"/>
          <w:position w:val="0"/>
        </w:rPr>
        <w:t>该金融资产已转移，且符合下述金融资产转移的终止确认条件。</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金融负债的现时义务全部或部分已经解除的，终止确认该金融负债或其一部分。本集团（债务人）与债权人之间签订协 议，以承担新金融负债方式替换现存金融负债，且新金融负债与现存金融负债的合同条款实质上不同的，终止确认现存金融 负债，并同时确认新金融负债。</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以常规方式买卖金融资产，按交易日进行会计确认和终止确认。</w:t>
      </w:r>
    </w:p>
    <w:p>
      <w:pPr>
        <w:pStyle w:val="Style30"/>
        <w:keepNext w:val="0"/>
        <w:keepLines w:val="0"/>
        <w:widowControl w:val="0"/>
        <w:shd w:val="clear" w:color="auto" w:fill="auto"/>
        <w:tabs>
          <w:tab w:pos="825" w:val="left"/>
        </w:tabs>
        <w:bidi w:val="0"/>
        <w:spacing w:before="0" w:after="200" w:line="312" w:lineRule="exact"/>
        <w:ind w:left="0" w:right="0"/>
        <w:jc w:val="both"/>
      </w:pPr>
      <w:bookmarkStart w:id="733" w:name="bookmark733"/>
      <w:r>
        <w:rPr>
          <w:color w:val="000000"/>
          <w:spacing w:val="0"/>
          <w:w w:val="100"/>
          <w:position w:val="0"/>
        </w:rPr>
        <w:t>（</w:t>
      </w:r>
      <w:bookmarkEnd w:id="733"/>
      <w:r>
        <w:rPr>
          <w:color w:val="000000"/>
          <w:spacing w:val="0"/>
          <w:w w:val="100"/>
          <w:position w:val="0"/>
          <w:sz w:val="18"/>
          <w:szCs w:val="18"/>
        </w:rPr>
        <w:t>2</w:t>
      </w:r>
      <w:r>
        <w:rPr>
          <w:color w:val="000000"/>
          <w:spacing w:val="0"/>
          <w:w w:val="100"/>
          <w:position w:val="0"/>
        </w:rPr>
        <w:t>）</w:t>
        <w:tab/>
        <w:t>金融资产分类和计量</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本集团的金融资产于初始确认时分为以下两类：应收款项、可供出售金融资产。金融资产在初始确认时以公允价值计量。 对于以公允价值计量且其变动计入当期损益的金融资产，相关交易费用直接计入当期损益，其他类别的金融资产相关交易费 用计入其初始确认金额。</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应收款项</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应收款项，是指在活跃市场中没有报价、回收金额固定或可确定的非衍生金融资产，包括应收账款和其他应收款等（附 注三、</w:t>
      </w:r>
      <w:r>
        <w:rPr>
          <w:color w:val="000000"/>
          <w:spacing w:val="0"/>
          <w:w w:val="100"/>
          <w:position w:val="0"/>
          <w:sz w:val="18"/>
          <w:szCs w:val="18"/>
        </w:rPr>
        <w:t>11</w:t>
      </w:r>
      <w:r>
        <w:rPr>
          <w:color w:val="000000"/>
          <w:spacing w:val="0"/>
          <w:w w:val="100"/>
          <w:position w:val="0"/>
        </w:rPr>
        <w:t>）。应收款项采用实际利率法，按摊余成本进行后续计量，在终止确认、发生减值或摊销时产生的利得或损失，计 入当期损益。</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可供出售金融资产</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可供出售金融资产，是指初始确认时即指定为可供出售的非衍生金融资产，以及除上述金融资产类别以外的金融资产。 可供出售金融资产采用公允价值进行后续计量，其折溢价采用实际利率法摊销并确认为利息收入。除减值损失及外币货币性 金融资产的汇兑差额确认为当期损益外，可供出售金融资产的公允价值变动确认为其他综合收益，在该金融资产终止确认时 转出，计入当期损益。与可供出售金融资产相关的股利或利息收入，计入当期损益。</w:t>
      </w:r>
    </w:p>
    <w:p>
      <w:pPr>
        <w:pStyle w:val="Style30"/>
        <w:keepNext w:val="0"/>
        <w:keepLines w:val="0"/>
        <w:widowControl w:val="0"/>
        <w:shd w:val="clear" w:color="auto" w:fill="auto"/>
        <w:bidi w:val="0"/>
        <w:spacing w:before="0" w:after="200" w:line="317" w:lineRule="exact"/>
        <w:ind w:left="0" w:right="0"/>
        <w:jc w:val="left"/>
      </w:pPr>
      <w:r>
        <w:rPr>
          <w:color w:val="000000"/>
          <w:spacing w:val="0"/>
          <w:w w:val="100"/>
          <w:position w:val="0"/>
        </w:rPr>
        <w:t>对于在活跃市场中没有报价且其公允价值不能可靠计量的权益工具投资，以及与该权益工具挂钩并须通过交付该权益工 具结算的衍生金融资产，按成本计量。</w:t>
      </w:r>
    </w:p>
    <w:p>
      <w:pPr>
        <w:pStyle w:val="Style30"/>
        <w:keepNext w:val="0"/>
        <w:keepLines w:val="0"/>
        <w:widowControl w:val="0"/>
        <w:shd w:val="clear" w:color="auto" w:fill="auto"/>
        <w:tabs>
          <w:tab w:pos="825" w:val="left"/>
        </w:tabs>
        <w:bidi w:val="0"/>
        <w:spacing w:before="0" w:after="200" w:line="312" w:lineRule="exact"/>
        <w:ind w:left="0" w:right="0"/>
        <w:jc w:val="left"/>
      </w:pPr>
      <w:bookmarkStart w:id="734" w:name="bookmark734"/>
      <w:r>
        <w:rPr>
          <w:color w:val="000000"/>
          <w:spacing w:val="0"/>
          <w:w w:val="100"/>
          <w:position w:val="0"/>
        </w:rPr>
        <w:t>（</w:t>
      </w:r>
      <w:bookmarkEnd w:id="734"/>
      <w:r>
        <w:rPr>
          <w:color w:val="000000"/>
          <w:spacing w:val="0"/>
          <w:w w:val="100"/>
          <w:position w:val="0"/>
          <w:sz w:val="18"/>
          <w:szCs w:val="18"/>
        </w:rPr>
        <w:t>3</w:t>
      </w:r>
      <w:r>
        <w:rPr>
          <w:color w:val="000000"/>
          <w:spacing w:val="0"/>
          <w:w w:val="100"/>
          <w:position w:val="0"/>
        </w:rPr>
        <w:t>）</w:t>
        <w:tab/>
        <w:t>金融负债分类和计量</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 xml:space="preserve">本集团的金融负债于初始确认时分类为其他金融负债。对于未划分为以公允价值计量且其变动计入当期损益的金融负债 </w:t>
      </w:r>
      <w:r>
        <w:rPr>
          <w:color w:val="000000"/>
          <w:spacing w:val="0"/>
          <w:w w:val="100"/>
          <w:position w:val="0"/>
        </w:rPr>
        <w:t>的，相关交易费用计入其初始确认金额。</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其他金融负债</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30"/>
        <w:keepNext w:val="0"/>
        <w:keepLines w:val="0"/>
        <w:widowControl w:val="0"/>
        <w:shd w:val="clear" w:color="auto" w:fill="auto"/>
        <w:tabs>
          <w:tab w:pos="820" w:val="left"/>
        </w:tabs>
        <w:bidi w:val="0"/>
        <w:spacing w:before="0" w:after="200" w:line="312" w:lineRule="exact"/>
        <w:ind w:left="0" w:right="0"/>
        <w:jc w:val="both"/>
      </w:pPr>
      <w:bookmarkStart w:id="735" w:name="bookmark735"/>
      <w:r>
        <w:rPr>
          <w:color w:val="000000"/>
          <w:spacing w:val="0"/>
          <w:w w:val="100"/>
          <w:position w:val="0"/>
        </w:rPr>
        <w:t>（</w:t>
      </w:r>
      <w:bookmarkEnd w:id="735"/>
      <w:r>
        <w:rPr>
          <w:color w:val="000000"/>
          <w:spacing w:val="0"/>
          <w:w w:val="100"/>
          <w:position w:val="0"/>
          <w:sz w:val="18"/>
          <w:szCs w:val="18"/>
        </w:rPr>
        <w:t>4</w:t>
      </w:r>
      <w:r>
        <w:rPr>
          <w:color w:val="000000"/>
          <w:spacing w:val="0"/>
          <w:w w:val="100"/>
          <w:position w:val="0"/>
        </w:rPr>
        <w:t>）</w:t>
        <w:tab/>
        <w:t>金融工具的公允价值</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金融资产和金融负债的公允价值确定方法见附注三、</w:t>
      </w:r>
      <w:r>
        <w:rPr>
          <w:color w:val="000000"/>
          <w:spacing w:val="0"/>
          <w:w w:val="100"/>
          <w:position w:val="0"/>
          <w:sz w:val="18"/>
          <w:szCs w:val="18"/>
        </w:rPr>
        <w:t>10</w:t>
      </w:r>
      <w:r>
        <w:rPr>
          <w:color w:val="000000"/>
          <w:spacing w:val="0"/>
          <w:w w:val="100"/>
          <w:position w:val="0"/>
        </w:rPr>
        <w:t>。</w:t>
      </w:r>
    </w:p>
    <w:p>
      <w:pPr>
        <w:pStyle w:val="Style30"/>
        <w:keepNext w:val="0"/>
        <w:keepLines w:val="0"/>
        <w:widowControl w:val="0"/>
        <w:shd w:val="clear" w:color="auto" w:fill="auto"/>
        <w:tabs>
          <w:tab w:pos="820" w:val="left"/>
        </w:tabs>
        <w:bidi w:val="0"/>
        <w:spacing w:before="0" w:after="200" w:line="312" w:lineRule="exact"/>
        <w:ind w:left="0" w:right="0"/>
        <w:jc w:val="both"/>
      </w:pPr>
      <w:bookmarkStart w:id="736" w:name="bookmark736"/>
      <w:r>
        <w:rPr>
          <w:color w:val="000000"/>
          <w:spacing w:val="0"/>
          <w:w w:val="100"/>
          <w:position w:val="0"/>
        </w:rPr>
        <w:t>（</w:t>
      </w:r>
      <w:bookmarkEnd w:id="736"/>
      <w:r>
        <w:rPr>
          <w:color w:val="000000"/>
          <w:spacing w:val="0"/>
          <w:w w:val="100"/>
          <w:position w:val="0"/>
          <w:sz w:val="18"/>
          <w:szCs w:val="18"/>
        </w:rPr>
        <w:t>5</w:t>
      </w:r>
      <w:r>
        <w:rPr>
          <w:color w:val="000000"/>
          <w:spacing w:val="0"/>
          <w:w w:val="100"/>
          <w:position w:val="0"/>
        </w:rPr>
        <w:t>）</w:t>
        <w:tab/>
        <w:t>金融资产减值</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除了以公允价值计量且其变动计入当期损益的金融资产外，本集团于资产负债表日对其他金融资产的账面价值进行检 查，有客观证据表明该金融资产发生减值的，计提减值准备。表明金融资产发生减值的客观证据，是指金融资产初始确认后 实际发生的、对该金融资产的预计未来现金流量有影响，且企业能够对该影响进行可靠计量的事项。</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金融资产发生减值的客观证据，包括下列可观察到的情形：</w:t>
      </w:r>
    </w:p>
    <w:p>
      <w:pPr>
        <w:pStyle w:val="Style30"/>
        <w:keepNext w:val="0"/>
        <w:keepLines w:val="0"/>
        <w:widowControl w:val="0"/>
        <w:numPr>
          <w:ilvl w:val="0"/>
          <w:numId w:val="19"/>
        </w:numPr>
        <w:shd w:val="clear" w:color="auto" w:fill="auto"/>
        <w:tabs>
          <w:tab w:pos="753" w:val="left"/>
        </w:tabs>
        <w:bidi w:val="0"/>
        <w:spacing w:before="0" w:after="200" w:line="312" w:lineRule="exact"/>
        <w:ind w:left="0" w:right="0"/>
        <w:jc w:val="both"/>
      </w:pPr>
      <w:bookmarkStart w:id="737" w:name="bookmark737"/>
      <w:bookmarkEnd w:id="737"/>
      <w:r>
        <w:rPr>
          <w:color w:val="000000"/>
          <w:spacing w:val="0"/>
          <w:w w:val="100"/>
          <w:position w:val="0"/>
        </w:rPr>
        <w:t>发行方或债务人发生严重财务困难；</w:t>
      </w:r>
    </w:p>
    <w:p>
      <w:pPr>
        <w:pStyle w:val="Style30"/>
        <w:keepNext w:val="0"/>
        <w:keepLines w:val="0"/>
        <w:widowControl w:val="0"/>
        <w:numPr>
          <w:ilvl w:val="0"/>
          <w:numId w:val="19"/>
        </w:numPr>
        <w:shd w:val="clear" w:color="auto" w:fill="auto"/>
        <w:tabs>
          <w:tab w:pos="753" w:val="left"/>
        </w:tabs>
        <w:bidi w:val="0"/>
        <w:spacing w:before="0" w:after="200" w:line="312" w:lineRule="exact"/>
        <w:ind w:left="0" w:right="0"/>
        <w:jc w:val="left"/>
      </w:pPr>
      <w:bookmarkStart w:id="738" w:name="bookmark738"/>
      <w:bookmarkEnd w:id="738"/>
      <w:r>
        <w:rPr>
          <w:color w:val="000000"/>
          <w:spacing w:val="0"/>
          <w:w w:val="100"/>
          <w:position w:val="0"/>
        </w:rPr>
        <w:t>债务人违反了合同条款，如偿付利息或本金发生违约或逾期等；</w:t>
      </w:r>
    </w:p>
    <w:p>
      <w:pPr>
        <w:pStyle w:val="Style30"/>
        <w:keepNext w:val="0"/>
        <w:keepLines w:val="0"/>
        <w:widowControl w:val="0"/>
        <w:numPr>
          <w:ilvl w:val="0"/>
          <w:numId w:val="19"/>
        </w:numPr>
        <w:shd w:val="clear" w:color="auto" w:fill="auto"/>
        <w:tabs>
          <w:tab w:pos="753" w:val="left"/>
        </w:tabs>
        <w:bidi w:val="0"/>
        <w:spacing w:before="0" w:after="200" w:line="312" w:lineRule="exact"/>
        <w:ind w:left="0" w:right="0"/>
        <w:jc w:val="left"/>
      </w:pPr>
      <w:bookmarkStart w:id="739" w:name="bookmark739"/>
      <w:bookmarkEnd w:id="739"/>
      <w:r>
        <w:rPr>
          <w:color w:val="000000"/>
          <w:spacing w:val="0"/>
          <w:w w:val="100"/>
          <w:position w:val="0"/>
        </w:rPr>
        <w:t>本集团出于经济或法律等方面因素的考虑，对发生财务困难的债务人作出让步；</w:t>
      </w:r>
    </w:p>
    <w:p>
      <w:pPr>
        <w:pStyle w:val="Style30"/>
        <w:keepNext w:val="0"/>
        <w:keepLines w:val="0"/>
        <w:widowControl w:val="0"/>
        <w:numPr>
          <w:ilvl w:val="0"/>
          <w:numId w:val="19"/>
        </w:numPr>
        <w:shd w:val="clear" w:color="auto" w:fill="auto"/>
        <w:tabs>
          <w:tab w:pos="753" w:val="left"/>
        </w:tabs>
        <w:bidi w:val="0"/>
        <w:spacing w:before="0" w:after="200" w:line="312" w:lineRule="exact"/>
        <w:ind w:left="0" w:right="0"/>
        <w:jc w:val="left"/>
      </w:pPr>
      <w:bookmarkStart w:id="740" w:name="bookmark740"/>
      <w:bookmarkEnd w:id="740"/>
      <w:r>
        <w:rPr>
          <w:color w:val="000000"/>
          <w:spacing w:val="0"/>
          <w:w w:val="100"/>
          <w:position w:val="0"/>
        </w:rPr>
        <w:t>债务人很可能倒闭或者进行其他财务重组；</w:t>
      </w:r>
    </w:p>
    <w:p>
      <w:pPr>
        <w:pStyle w:val="Style30"/>
        <w:keepNext w:val="0"/>
        <w:keepLines w:val="0"/>
        <w:widowControl w:val="0"/>
        <w:numPr>
          <w:ilvl w:val="0"/>
          <w:numId w:val="19"/>
        </w:numPr>
        <w:shd w:val="clear" w:color="auto" w:fill="auto"/>
        <w:tabs>
          <w:tab w:pos="753" w:val="left"/>
        </w:tabs>
        <w:bidi w:val="0"/>
        <w:spacing w:before="0" w:after="200" w:line="312" w:lineRule="exact"/>
        <w:ind w:left="0" w:right="0"/>
        <w:jc w:val="left"/>
      </w:pPr>
      <w:bookmarkStart w:id="741" w:name="bookmark741"/>
      <w:bookmarkEnd w:id="741"/>
      <w:r>
        <w:rPr>
          <w:color w:val="000000"/>
          <w:spacing w:val="0"/>
          <w:w w:val="100"/>
          <w:position w:val="0"/>
        </w:rPr>
        <w:t>因发行方发生重大财务困难，导致金融资产无法在活跃市场继续交易；</w:t>
      </w:r>
    </w:p>
    <w:p>
      <w:pPr>
        <w:pStyle w:val="Style30"/>
        <w:keepNext w:val="0"/>
        <w:keepLines w:val="0"/>
        <w:widowControl w:val="0"/>
        <w:numPr>
          <w:ilvl w:val="0"/>
          <w:numId w:val="19"/>
        </w:numPr>
        <w:shd w:val="clear" w:color="auto" w:fill="auto"/>
        <w:tabs>
          <w:tab w:pos="723" w:val="left"/>
        </w:tabs>
        <w:bidi w:val="0"/>
        <w:spacing w:before="0" w:after="200" w:line="312" w:lineRule="exact"/>
        <w:ind w:left="0" w:right="0"/>
        <w:jc w:val="left"/>
      </w:pPr>
      <w:bookmarkStart w:id="742" w:name="bookmark742"/>
      <w:bookmarkEnd w:id="742"/>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融资产自初始确认以来的预计未来现金流量确已减少且可计量，包括：</w:t>
      </w:r>
    </w:p>
    <w:p>
      <w:pPr>
        <w:pStyle w:val="Style3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-该组金融资产的债务人支付能力逐步恶化；</w:t>
      </w:r>
    </w:p>
    <w:p>
      <w:pPr>
        <w:pStyle w:val="Style3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-债务人所在国家或地区经济出现了可能导致该组金融资产无法支付的状况；</w:t>
      </w:r>
    </w:p>
    <w:p>
      <w:pPr>
        <w:pStyle w:val="Style30"/>
        <w:keepNext w:val="0"/>
        <w:keepLines w:val="0"/>
        <w:widowControl w:val="0"/>
        <w:numPr>
          <w:ilvl w:val="0"/>
          <w:numId w:val="19"/>
        </w:numPr>
        <w:shd w:val="clear" w:color="auto" w:fill="auto"/>
        <w:tabs>
          <w:tab w:pos="753" w:val="left"/>
        </w:tabs>
        <w:bidi w:val="0"/>
        <w:spacing w:before="0" w:after="200" w:line="312" w:lineRule="exact"/>
        <w:ind w:left="0" w:right="0"/>
        <w:jc w:val="both"/>
      </w:pPr>
      <w:bookmarkStart w:id="743" w:name="bookmark743"/>
      <w:bookmarkEnd w:id="743"/>
      <w:r>
        <w:rPr>
          <w:color w:val="000000"/>
          <w:spacing w:val="0"/>
          <w:w w:val="100"/>
          <w:position w:val="0"/>
        </w:rPr>
        <w:t>债务人经营所处的技术、市场、经济或法律环境等发生重大不利变化，使权益工具投资人可能无法收回投资成本；</w:t>
      </w:r>
    </w:p>
    <w:p>
      <w:pPr>
        <w:pStyle w:val="Style30"/>
        <w:keepNext w:val="0"/>
        <w:keepLines w:val="0"/>
        <w:widowControl w:val="0"/>
        <w:numPr>
          <w:ilvl w:val="0"/>
          <w:numId w:val="19"/>
        </w:numPr>
        <w:shd w:val="clear" w:color="auto" w:fill="auto"/>
        <w:tabs>
          <w:tab w:pos="728" w:val="left"/>
        </w:tabs>
        <w:bidi w:val="0"/>
        <w:spacing w:before="0" w:after="200" w:line="293" w:lineRule="exact"/>
        <w:ind w:left="0" w:right="0"/>
        <w:jc w:val="both"/>
      </w:pPr>
      <w:bookmarkStart w:id="744" w:name="bookmark744"/>
      <w:bookmarkEnd w:id="744"/>
      <w:r>
        <w:rPr>
          <w:color w:val="000000"/>
          <w:spacing w:val="0"/>
          <w:w w:val="100"/>
          <w:position w:val="0"/>
        </w:rPr>
        <w:t>权益工具投资的公允价值发生严重或非暂时性下跌，如权益工具投资于资产负债表日的公允价值低于其初始投资成本 超过</w:t>
      </w:r>
      <w:r>
        <w:rPr>
          <w:color w:val="000000"/>
          <w:spacing w:val="0"/>
          <w:w w:val="100"/>
          <w:position w:val="0"/>
          <w:sz w:val="18"/>
          <w:szCs w:val="18"/>
        </w:rPr>
        <w:t>50%</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）或低于其初始投资成本持续时间超过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w:t>
      </w:r>
    </w:p>
    <w:p>
      <w:pPr>
        <w:pStyle w:val="Style30"/>
        <w:keepNext w:val="0"/>
        <w:keepLines w:val="0"/>
        <w:widowControl w:val="0"/>
        <w:shd w:val="clear" w:color="auto" w:fill="auto"/>
        <w:bidi w:val="0"/>
        <w:spacing w:before="0" w:after="200" w:line="331" w:lineRule="exact"/>
        <w:ind w:left="0" w:right="0"/>
        <w:jc w:val="both"/>
      </w:pPr>
      <w:r>
        <w:rPr>
          <w:color w:val="000000"/>
          <w:spacing w:val="0"/>
          <w:w w:val="100"/>
          <w:position w:val="0"/>
        </w:rPr>
        <w:t>低于其初始投资成本持续时间超过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个月）是指，权益工具投资公允价值月度均值连续</w:t>
      </w:r>
      <w:r>
        <w:rPr>
          <w:color w:val="000000"/>
          <w:spacing w:val="0"/>
          <w:w w:val="100"/>
          <w:position w:val="0"/>
          <w:sz w:val="18"/>
          <w:szCs w:val="18"/>
        </w:rPr>
        <w:t>12</w:t>
      </w:r>
      <w:r>
        <w:rPr>
          <w:color w:val="000000"/>
          <w:spacing w:val="0"/>
          <w:w w:val="100"/>
          <w:position w:val="0"/>
        </w:rPr>
        <w:t>个月均低于其初始 投资成本。</w:t>
      </w:r>
    </w:p>
    <w:p>
      <w:pPr>
        <w:pStyle w:val="Style30"/>
        <w:keepNext w:val="0"/>
        <w:keepLines w:val="0"/>
        <w:widowControl w:val="0"/>
        <w:numPr>
          <w:ilvl w:val="0"/>
          <w:numId w:val="19"/>
        </w:numPr>
        <w:shd w:val="clear" w:color="auto" w:fill="auto"/>
        <w:tabs>
          <w:tab w:pos="753" w:val="left"/>
        </w:tabs>
        <w:bidi w:val="0"/>
        <w:spacing w:before="0" w:after="200" w:line="312" w:lineRule="exact"/>
        <w:ind w:left="0" w:right="0"/>
        <w:jc w:val="both"/>
      </w:pPr>
      <w:bookmarkStart w:id="745" w:name="bookmark745"/>
      <w:bookmarkEnd w:id="745"/>
      <w:r>
        <w:rPr>
          <w:color w:val="000000"/>
          <w:spacing w:val="0"/>
          <w:w w:val="100"/>
          <w:position w:val="0"/>
        </w:rPr>
        <w:t>其他表明金融资产发生减值的客观证据。</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以摊余成本计量的金融资产</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如果有客观证据表明该金融资产发生减值，则将该金融资产的账面价值减记至预计未来现金流量（不包括尚未发生的未 来信用损失）现值，减记金额计入当期损益。预计未来现金流量现值，按照该金融资产原实际利率折现确定，并考虑相关担 </w:t>
      </w:r>
      <w:r>
        <w:rPr>
          <w:color w:val="000000"/>
          <w:spacing w:val="0"/>
          <w:w w:val="100"/>
          <w:position w:val="0"/>
        </w:rPr>
        <w:t>保物的价值。</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对单项金额重大的金融资产单独进行减值测试，如有客观证据表明其已发生减值，确认减值损失，计入当期损益。对单 项金额不重大的金融资产，单独进行减值测试或包括在具有类似信用风险特征的金融资产组合中进行减值测试。单独测试未 发生减值的金融资产（包括单项金额重大和不重大的金融资产），包括在具有类似信用风险特征的金融资产组合中再进行减 值测试。已单项确认减值损失的金融资产，不包括在具有类似信用风险特征的金融资产组合中进行减值测试。</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本集团对以摊余成本计量的金融资产确认减值损失后，如有客观证据表明该金融资产价值已恢复，且客观上与确认该损 失后发生的事项有关，原确认的减值损失予以转回，计入当期损益。但是，该转回后的账面价值不超过假定不计提减值准备 情况下该金融资产在转回日的摊余成本。</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可供出售金融资产</w:t>
      </w:r>
    </w:p>
    <w:p>
      <w:pPr>
        <w:pStyle w:val="Style30"/>
        <w:keepNext w:val="0"/>
        <w:keepLines w:val="0"/>
        <w:widowControl w:val="0"/>
        <w:shd w:val="clear" w:color="auto" w:fill="auto"/>
        <w:bidi w:val="0"/>
        <w:spacing w:before="0" w:after="200" w:line="310" w:lineRule="exact"/>
        <w:ind w:left="0" w:right="0"/>
        <w:jc w:val="both"/>
      </w:pPr>
      <w:r>
        <w:rPr>
          <w:color w:val="000000"/>
          <w:spacing w:val="0"/>
          <w:w w:val="100"/>
          <w:position w:val="0"/>
        </w:rPr>
        <w:t>如果有客观证据表明该金融资产发生减值，原直接计入其他综合收益的因公允价值下降形成的累计损失，予以转出，计 入当期损益。该转出的累计损失，为可供出售金融资产的初始取得成本扣除已收回本金和已摊销金额、当前公允价值和原已 计入损益的减值损失后的余额。</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事项有关的，原确认的减值损失予以转回，计入当期损益。可供出售权益工具投资发生的减值损失，不通过损益转回。</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以成本计量的金融资产</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的衍生金融资产发生减值时，将该金融资产的账面价值，与按照类似金融资产当时市场收益率对未来现金流量折现确定的现 值之间的差额，确认为减值损失，计入当期损益。发生的减值损失一经确认，不得转回。</w:t>
      </w:r>
    </w:p>
    <w:p>
      <w:pPr>
        <w:pStyle w:val="Style30"/>
        <w:keepNext w:val="0"/>
        <w:keepLines w:val="0"/>
        <w:widowControl w:val="0"/>
        <w:shd w:val="clear" w:color="auto" w:fill="auto"/>
        <w:tabs>
          <w:tab w:pos="799" w:val="left"/>
        </w:tabs>
        <w:bidi w:val="0"/>
        <w:spacing w:before="0" w:after="200" w:line="312" w:lineRule="exact"/>
        <w:ind w:left="0" w:right="0"/>
        <w:jc w:val="both"/>
      </w:pPr>
      <w:bookmarkStart w:id="746" w:name="bookmark746"/>
      <w:r>
        <w:rPr>
          <w:color w:val="000000"/>
          <w:spacing w:val="0"/>
          <w:w w:val="100"/>
          <w:position w:val="0"/>
        </w:rPr>
        <w:t>（</w:t>
      </w:r>
      <w:bookmarkEnd w:id="746"/>
      <w:r>
        <w:rPr>
          <w:color w:val="000000"/>
          <w:spacing w:val="0"/>
          <w:w w:val="100"/>
          <w:position w:val="0"/>
          <w:sz w:val="18"/>
          <w:szCs w:val="18"/>
        </w:rPr>
        <w:t>6</w:t>
      </w:r>
      <w:r>
        <w:rPr>
          <w:color w:val="000000"/>
          <w:spacing w:val="0"/>
          <w:w w:val="100"/>
          <w:position w:val="0"/>
        </w:rPr>
        <w:t>）</w:t>
        <w:tab/>
        <w:t>金融资产转移</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金融资产转移，是指将金融资产让与或交付给该金融资产发行方以外的另一方（转入方）。</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本集团已将金融资产所有权上几乎所有的风险和报酬转移给转入方的，终止确认该金融资产；保留了金融资产所有权上 几乎所有的风险和报酬的，不终止确认该金融资产。</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本集团既没有转移也没有保留金融资产所有权上几乎所有的风险和报酬的，分别下列情况处理：放弃了对该金融资产控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30"/>
        <w:keepNext w:val="0"/>
        <w:keepLines w:val="0"/>
        <w:widowControl w:val="0"/>
        <w:shd w:val="clear" w:color="auto" w:fill="auto"/>
        <w:tabs>
          <w:tab w:pos="799" w:val="left"/>
        </w:tabs>
        <w:bidi w:val="0"/>
        <w:spacing w:before="0" w:after="200" w:line="312" w:lineRule="exact"/>
        <w:ind w:left="0" w:right="0"/>
        <w:jc w:val="both"/>
      </w:pPr>
      <w:bookmarkStart w:id="747" w:name="bookmark747"/>
      <w:r>
        <w:rPr>
          <w:color w:val="000000"/>
          <w:spacing w:val="0"/>
          <w:w w:val="100"/>
          <w:position w:val="0"/>
        </w:rPr>
        <w:t>（</w:t>
      </w:r>
      <w:bookmarkEnd w:id="747"/>
      <w:r>
        <w:rPr>
          <w:color w:val="000000"/>
          <w:spacing w:val="0"/>
          <w:w w:val="100"/>
          <w:position w:val="0"/>
          <w:sz w:val="18"/>
          <w:szCs w:val="18"/>
        </w:rPr>
        <w:t>7</w:t>
      </w:r>
      <w:r>
        <w:rPr>
          <w:color w:val="000000"/>
          <w:spacing w:val="0"/>
          <w:w w:val="100"/>
          <w:position w:val="0"/>
        </w:rPr>
        <w:t>）</w:t>
        <w:tab/>
        <w:t>金融资产和金融负债的抵销</w:t>
      </w:r>
    </w:p>
    <w:p>
      <w:pPr>
        <w:pStyle w:val="Style30"/>
        <w:keepNext w:val="0"/>
        <w:keepLines w:val="0"/>
        <w:widowControl w:val="0"/>
        <w:shd w:val="clear" w:color="auto" w:fill="auto"/>
        <w:bidi w:val="0"/>
        <w:spacing w:before="0" w:after="340" w:line="312" w:lineRule="exact"/>
        <w:ind w:left="0" w:right="0"/>
        <w:jc w:val="both"/>
      </w:pPr>
      <w:r>
        <w:rPr>
          <w:color w:val="000000"/>
          <w:spacing w:val="0"/>
          <w:w w:val="100"/>
          <w:position w:val="0"/>
        </w:rPr>
        <w:t>当本集团具有抵销已确认金融资产和金融负债的法定权利，且目前可执行该种法定权利，同时本集团计划以净额结算或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3"/>
        <w:keepNext/>
        <w:keepLines/>
        <w:widowControl w:val="0"/>
        <w:shd w:val="clear" w:color="auto" w:fill="auto"/>
        <w:bidi w:val="0"/>
        <w:spacing w:before="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48"/>
      <w:bookmarkEnd w:id="749"/>
      <w:bookmarkEnd w:id="751"/>
    </w:p>
    <w:p>
      <w:pPr>
        <w:pStyle w:val="Style44"/>
        <w:keepNext/>
        <w:keepLines/>
        <w:widowControl w:val="0"/>
        <w:shd w:val="clear" w:color="auto" w:fill="auto"/>
        <w:bidi w:val="0"/>
        <w:spacing w:before="0" w:after="34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52"/>
      <w:bookmarkEnd w:id="753"/>
      <w:bookmarkEnd w:id="755"/>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期末余额达到</w:t>
            </w:r>
            <w:r>
              <w:rPr>
                <w:color w:val="000000"/>
                <w:spacing w:val="0"/>
                <w:w w:val="100"/>
                <w:position w:val="0"/>
              </w:rPr>
              <w:t>100</w:t>
            </w:r>
            <w:r>
              <w:rPr>
                <w:rFonts w:ascii="SimSun" w:eastAsia="SimSun" w:hAnsi="SimSun" w:cs="SimSun"/>
                <w:color w:val="000000"/>
                <w:spacing w:val="0"/>
                <w:w w:val="100"/>
                <w:position w:val="0"/>
              </w:rPr>
              <w:t>万元（含</w:t>
            </w:r>
            <w:r>
              <w:rPr>
                <w:color w:val="000000"/>
                <w:spacing w:val="0"/>
                <w:w w:val="100"/>
                <w:position w:val="0"/>
              </w:rPr>
              <w:t>100</w:t>
            </w:r>
            <w:r>
              <w:rPr>
                <w:rFonts w:ascii="SimSun" w:eastAsia="SimSun" w:hAnsi="SimSun" w:cs="SimSun"/>
                <w:color w:val="000000"/>
                <w:spacing w:val="0"/>
                <w:w w:val="100"/>
                <w:position w:val="0"/>
              </w:rPr>
              <w:t>万元）以上的应收款项为单</w:t>
            </w:r>
          </w:p>
        </w:tc>
      </w:tr>
    </w:tbl>
    <w:p>
      <w:pPr>
        <w:widowControl w:val="0"/>
        <w:spacing w:line="1" w:lineRule="exact"/>
      </w:pPr>
    </w:p>
    <w:tbl>
      <w:tblPr>
        <w:tblOverlap w:val="never"/>
        <w:jc w:val="center"/>
        <w:tblLayout w:type="fixed"/>
      </w:tblPr>
      <w:tblGrid>
        <w:gridCol w:w="4790"/>
        <w:gridCol w:w="479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项金额重大的应收款项。</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14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56"/>
      <w:bookmarkEnd w:id="757"/>
      <w:bookmarkEnd w:id="75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坏账准备计提方法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60"/>
      <w:bookmarkEnd w:id="761"/>
      <w:bookmarkEnd w:id="763"/>
    </w:p>
    <w:p>
      <w:pPr>
        <w:pStyle w:val="Style33"/>
        <w:keepNext/>
        <w:keepLines/>
        <w:widowControl w:val="0"/>
        <w:shd w:val="clear" w:color="auto" w:fill="auto"/>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64"/>
      <w:bookmarkEnd w:id="765"/>
      <w:bookmarkEnd w:id="767"/>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825" w:val="left"/>
        </w:tabs>
        <w:bidi w:val="0"/>
        <w:spacing w:before="0" w:after="200" w:line="312" w:lineRule="exact"/>
        <w:ind w:left="0" w:right="0"/>
        <w:jc w:val="left"/>
      </w:pPr>
      <w:bookmarkStart w:id="768" w:name="bookmark768"/>
      <w:r>
        <w:rPr>
          <w:color w:val="000000"/>
          <w:spacing w:val="0"/>
          <w:w w:val="100"/>
          <w:position w:val="0"/>
        </w:rPr>
        <w:t>（</w:t>
      </w:r>
      <w:bookmarkEnd w:id="768"/>
      <w:r>
        <w:rPr>
          <w:color w:val="000000"/>
          <w:spacing w:val="0"/>
          <w:w w:val="100"/>
          <w:position w:val="0"/>
          <w:sz w:val="18"/>
          <w:szCs w:val="18"/>
        </w:rPr>
        <w:t>1</w:t>
      </w:r>
      <w:r>
        <w:rPr>
          <w:color w:val="000000"/>
          <w:spacing w:val="0"/>
          <w:w w:val="100"/>
          <w:position w:val="0"/>
        </w:rPr>
        <w:t>）</w:t>
        <w:tab/>
        <w:t>存货的分类</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本集团存货分为库存商品、发出商品、劳务成本、开发成本、开发产品等。</w:t>
      </w:r>
    </w:p>
    <w:p>
      <w:pPr>
        <w:pStyle w:val="Style30"/>
        <w:keepNext w:val="0"/>
        <w:keepLines w:val="0"/>
        <w:widowControl w:val="0"/>
        <w:shd w:val="clear" w:color="auto" w:fill="auto"/>
        <w:tabs>
          <w:tab w:pos="825" w:val="left"/>
        </w:tabs>
        <w:bidi w:val="0"/>
        <w:spacing w:before="0" w:after="200" w:line="312" w:lineRule="exact"/>
        <w:ind w:left="0" w:right="0"/>
        <w:jc w:val="left"/>
      </w:pPr>
      <w:bookmarkStart w:id="769" w:name="bookmark769"/>
      <w:r>
        <w:rPr>
          <w:color w:val="000000"/>
          <w:spacing w:val="0"/>
          <w:w w:val="100"/>
          <w:position w:val="0"/>
        </w:rPr>
        <w:t>（</w:t>
      </w:r>
      <w:bookmarkEnd w:id="769"/>
      <w:r>
        <w:rPr>
          <w:color w:val="000000"/>
          <w:spacing w:val="0"/>
          <w:w w:val="100"/>
          <w:position w:val="0"/>
          <w:sz w:val="18"/>
          <w:szCs w:val="18"/>
        </w:rPr>
        <w:t>2</w:t>
      </w:r>
      <w:r>
        <w:rPr>
          <w:color w:val="000000"/>
          <w:spacing w:val="0"/>
          <w:w w:val="100"/>
          <w:position w:val="0"/>
        </w:rPr>
        <w:t>）</w:t>
        <w:tab/>
        <w:t>发出存货的计价方法</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本集团存货取得时按实际成本计价。库存商品、发出商品等发出时采用个别计价法计价。</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开发产品的实际成本包括土地出让金、基础配套设施支出、建筑安装工程支出、开发项目完工之前所发生的借款费用及 开发过程中的其他相关费用。开发产品发出时，采用个别计价法确定其实际成本。</w:t>
      </w:r>
    </w:p>
    <w:p>
      <w:pPr>
        <w:pStyle w:val="Style30"/>
        <w:keepNext w:val="0"/>
        <w:keepLines w:val="0"/>
        <w:widowControl w:val="0"/>
        <w:shd w:val="clear" w:color="auto" w:fill="auto"/>
        <w:tabs>
          <w:tab w:pos="825" w:val="left"/>
        </w:tabs>
        <w:bidi w:val="0"/>
        <w:spacing w:before="0" w:after="200" w:line="312" w:lineRule="exact"/>
        <w:ind w:left="0" w:right="0"/>
        <w:jc w:val="left"/>
      </w:pPr>
      <w:bookmarkStart w:id="770" w:name="bookmark770"/>
      <w:r>
        <w:rPr>
          <w:color w:val="000000"/>
          <w:spacing w:val="0"/>
          <w:w w:val="100"/>
          <w:position w:val="0"/>
        </w:rPr>
        <w:t>（</w:t>
      </w:r>
      <w:bookmarkEnd w:id="770"/>
      <w:r>
        <w:rPr>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 xml:space="preserve">存货可变现净值是按存货的估计售价减去至完工时估计将要发生的成本、估计的销售费用以及相关税费后的金额。在确 </w:t>
      </w:r>
      <w:r>
        <w:rPr>
          <w:color w:val="000000"/>
          <w:spacing w:val="0"/>
          <w:w w:val="100"/>
          <w:position w:val="0"/>
        </w:rPr>
        <w:t>定存货的可变现净值时，以取得的确凿证据为基础，同时考虑持有存货的目的以及资产负债表日后事项的影响。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资产负债表日，存货成本高于其可变现净值的，计提存货跌价准备。本集团通常按照单个存货项目计提存货跌价准备， 资产负债表日，以前减记存货价值的影响因素已经消失的，存货跌价准备在原已计提的金额内转回。</w:t>
      </w:r>
    </w:p>
    <w:p>
      <w:pPr>
        <w:pStyle w:val="Style30"/>
        <w:keepNext w:val="0"/>
        <w:keepLines w:val="0"/>
        <w:widowControl w:val="0"/>
        <w:numPr>
          <w:ilvl w:val="0"/>
          <w:numId w:val="21"/>
        </w:numPr>
        <w:shd w:val="clear" w:color="auto" w:fill="auto"/>
        <w:tabs>
          <w:tab w:pos="813" w:val="left"/>
        </w:tabs>
        <w:bidi w:val="0"/>
        <w:spacing w:before="0" w:after="200" w:line="312" w:lineRule="exact"/>
        <w:ind w:left="0" w:right="0"/>
        <w:jc w:val="left"/>
      </w:pPr>
      <w:bookmarkStart w:id="771" w:name="bookmark771"/>
      <w:bookmarkEnd w:id="771"/>
      <w:r>
        <w:rPr>
          <w:color w:val="000000"/>
          <w:spacing w:val="0"/>
          <w:w w:val="100"/>
          <w:position w:val="0"/>
        </w:rPr>
        <w:t>存货的盘存制度</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本集团存货盘存制度采用永续盘存制。</w:t>
      </w:r>
    </w:p>
    <w:p>
      <w:pPr>
        <w:pStyle w:val="Style30"/>
        <w:keepNext w:val="0"/>
        <w:keepLines w:val="0"/>
        <w:widowControl w:val="0"/>
        <w:numPr>
          <w:ilvl w:val="0"/>
          <w:numId w:val="21"/>
        </w:numPr>
        <w:shd w:val="clear" w:color="auto" w:fill="auto"/>
        <w:tabs>
          <w:tab w:pos="813" w:val="left"/>
        </w:tabs>
        <w:bidi w:val="0"/>
        <w:spacing w:before="0" w:after="200" w:line="312" w:lineRule="exact"/>
        <w:ind w:left="0" w:right="0"/>
        <w:jc w:val="left"/>
      </w:pPr>
      <w:bookmarkStart w:id="772" w:name="bookmark772"/>
      <w:bookmarkEnd w:id="772"/>
      <w:r>
        <w:rPr>
          <w:color w:val="000000"/>
          <w:spacing w:val="0"/>
          <w:w w:val="100"/>
          <w:position w:val="0"/>
        </w:rPr>
        <w:t>低值易耗品的摊销方法</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本集团低值易耗品领用时采用一次转销法摊销。</w:t>
      </w:r>
    </w:p>
    <w:p>
      <w:pPr>
        <w:pStyle w:val="Style33"/>
        <w:keepNext/>
        <w:keepLines/>
        <w:widowControl w:val="0"/>
        <w:shd w:val="clear" w:color="auto" w:fill="auto"/>
        <w:tabs>
          <w:tab w:pos="462" w:val="left"/>
        </w:tabs>
        <w:bidi w:val="0"/>
        <w:spacing w:before="0" w:after="28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3"/>
      <w:bookmarkEnd w:id="774"/>
      <w:bookmarkEnd w:id="776"/>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62" w:val="left"/>
        </w:tabs>
        <w:bidi w:val="0"/>
        <w:spacing w:before="0" w:after="2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77"/>
      <w:bookmarkEnd w:id="778"/>
      <w:bookmarkEnd w:id="780"/>
    </w:p>
    <w:p>
      <w:pPr>
        <w:pStyle w:val="Style30"/>
        <w:keepNext w:val="0"/>
        <w:keepLines w:val="0"/>
        <w:widowControl w:val="0"/>
        <w:shd w:val="clear" w:color="auto" w:fill="auto"/>
        <w:bidi w:val="0"/>
        <w:spacing w:before="0" w:after="200" w:line="307" w:lineRule="exact"/>
        <w:ind w:left="0" w:right="0"/>
        <w:jc w:val="both"/>
      </w:pPr>
      <w:r>
        <w:rPr>
          <w:color w:val="000000"/>
          <w:spacing w:val="0"/>
          <w:w w:val="100"/>
          <w:position w:val="0"/>
        </w:rPr>
        <w:t>长期股权投资包括对子公司、合营企业和联营企业的权益性投资。本集团能够对被投资单位施加重大影响的，为本集团 的联营企业。</w:t>
      </w:r>
    </w:p>
    <w:p>
      <w:pPr>
        <w:pStyle w:val="Style30"/>
        <w:keepNext w:val="0"/>
        <w:keepLines w:val="0"/>
        <w:widowControl w:val="0"/>
        <w:numPr>
          <w:ilvl w:val="0"/>
          <w:numId w:val="23"/>
        </w:numPr>
        <w:shd w:val="clear" w:color="auto" w:fill="auto"/>
        <w:tabs>
          <w:tab w:pos="818" w:val="left"/>
        </w:tabs>
        <w:bidi w:val="0"/>
        <w:spacing w:before="0" w:after="200" w:line="312" w:lineRule="exact"/>
        <w:ind w:left="0" w:right="0"/>
        <w:jc w:val="both"/>
      </w:pPr>
      <w:bookmarkStart w:id="781" w:name="bookmark781"/>
      <w:bookmarkEnd w:id="781"/>
      <w:r>
        <w:rPr>
          <w:color w:val="000000"/>
          <w:spacing w:val="0"/>
          <w:w w:val="100"/>
          <w:position w:val="0"/>
        </w:rPr>
        <w:t>初始投资成本确定</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形成企业合并的长期股权投资：同一控制下企业合并取得的长期股权投资，在合并日按照取得被合并方所有者权益在最 终控制方合并财务报表中的账面价值份额作为投资成本；非同一控制下企业合并取得的长期股权投资，按照合并成本作为长 期股权投资的投资成本。</w:t>
      </w:r>
    </w:p>
    <w:p>
      <w:pPr>
        <w:pStyle w:val="Style30"/>
        <w:keepNext w:val="0"/>
        <w:keepLines w:val="0"/>
        <w:widowControl w:val="0"/>
        <w:shd w:val="clear" w:color="auto" w:fill="auto"/>
        <w:bidi w:val="0"/>
        <w:spacing w:before="0" w:after="200" w:line="307" w:lineRule="exact"/>
        <w:ind w:left="0" w:right="0"/>
        <w:jc w:val="both"/>
      </w:pPr>
      <w:r>
        <w:rPr>
          <w:color w:val="000000"/>
          <w:spacing w:val="0"/>
          <w:w w:val="100"/>
          <w:position w:val="0"/>
        </w:rPr>
        <w:t>对于其他方式取得的长期股权投资：支付现金取得的长期股权投资，按照实际支付的购买价款作为初始投资成本；发行 权益性证券取得的长期股权投资，以发行权益性证券的公允价值作为初始投资成本。</w:t>
      </w:r>
    </w:p>
    <w:p>
      <w:pPr>
        <w:pStyle w:val="Style30"/>
        <w:keepNext w:val="0"/>
        <w:keepLines w:val="0"/>
        <w:widowControl w:val="0"/>
        <w:numPr>
          <w:ilvl w:val="0"/>
          <w:numId w:val="23"/>
        </w:numPr>
        <w:shd w:val="clear" w:color="auto" w:fill="auto"/>
        <w:tabs>
          <w:tab w:pos="818" w:val="left"/>
        </w:tabs>
        <w:bidi w:val="0"/>
        <w:spacing w:before="0" w:after="200" w:line="312" w:lineRule="exact"/>
        <w:ind w:left="0" w:right="0"/>
        <w:jc w:val="both"/>
      </w:pPr>
      <w:bookmarkStart w:id="782" w:name="bookmark782"/>
      <w:bookmarkEnd w:id="782"/>
      <w:r>
        <w:rPr>
          <w:color w:val="000000"/>
          <w:spacing w:val="0"/>
          <w:w w:val="100"/>
          <w:position w:val="0"/>
        </w:rPr>
        <w:t>后续计量及损益确认方法</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对子公司的投资，采用成本法核算；对联营企业和合营企业的投资，采用权益法核算。</w:t>
      </w:r>
    </w:p>
    <w:p>
      <w:pPr>
        <w:pStyle w:val="Style30"/>
        <w:keepNext w:val="0"/>
        <w:keepLines w:val="0"/>
        <w:widowControl w:val="0"/>
        <w:shd w:val="clear" w:color="auto" w:fill="auto"/>
        <w:bidi w:val="0"/>
        <w:spacing w:before="0" w:after="200" w:line="317" w:lineRule="exact"/>
        <w:ind w:left="0" w:right="0"/>
        <w:jc w:val="both"/>
      </w:pPr>
      <w:r>
        <w:rPr>
          <w:color w:val="000000"/>
          <w:spacing w:val="0"/>
          <w:w w:val="100"/>
          <w:position w:val="0"/>
        </w:rPr>
        <w:t>采用成本法核算的长期股权投资，除取得投资时实际支付的价款或对价中包含的已宣告但尚未发放的现金股利或利润 外，被投资单位宣告分派的现金股利或利润，确认为投资收益计入当期损益。</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采用权益法核算的长期股权投资，初始投资成本大于投资时应享有被投资单位可辨认净资产公允价值份额的，不调整长 期股权投资的投资成本；初始投资成本小于投资时应享有被投资单位可辨认净资产公允价值份额的，对长期股权投资的账面 价值进行调整，差额计入投资当期的损益。</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账面价值并计入资本公积(其他资本公积)。在确认应享有被投资单位净损益的份额时，以取得投资时被投资单位各项可辨 认资产等的公允价值为基础，并按照本集团的会计政策及会计期间，对被投资单位的净利润进行调整后确认。</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因追加投资等原因能够对被投资单位施加重大影响或实施共同控制但不构成控制的，在转换日，按照原股权的公允价值 加上新增投资成本之和，作为改按权益法核算的初始投资成本。原股权于转换日的公允价值与账面价值之间的差额，以及原 计入其他综合收益的累计公允价值变动转入改按权益法核算的当期损益。</w:t>
      </w:r>
    </w:p>
    <w:p>
      <w:pPr>
        <w:pStyle w:val="Style30"/>
        <w:keepNext w:val="0"/>
        <w:keepLines w:val="0"/>
        <w:widowControl w:val="0"/>
        <w:shd w:val="clear" w:color="auto" w:fill="auto"/>
        <w:bidi w:val="0"/>
        <w:spacing w:before="0" w:after="200" w:line="310" w:lineRule="exact"/>
        <w:ind w:left="0" w:right="0"/>
        <w:jc w:val="both"/>
      </w:pPr>
      <w:r>
        <w:rPr>
          <w:color w:val="000000"/>
          <w:spacing w:val="0"/>
          <w:w w:val="100"/>
          <w:position w:val="0"/>
        </w:rPr>
        <w:t>因处置部分股权投资等原因丧失了对被投资单位的共同控制或重大影响的，处置后的剩余股权在丧失共同控制或重大影 响之日改按《企业会计准则第</w:t>
      </w:r>
      <w:r>
        <w:rPr>
          <w:color w:val="000000"/>
          <w:spacing w:val="0"/>
          <w:w w:val="100"/>
          <w:position w:val="0"/>
          <w:sz w:val="18"/>
          <w:szCs w:val="18"/>
        </w:rPr>
        <w:t>22</w:t>
      </w:r>
      <w:r>
        <w:rPr>
          <w:color w:val="000000"/>
          <w:spacing w:val="0"/>
          <w:w w:val="100"/>
          <w:position w:val="0"/>
        </w:rPr>
        <w:t>号一金融工具确认和计量》进行会计处理，公允价值与账面价值之间的差额计入当期损益。 原股权投资因采用权益法核算而确认的其他综合收益,在终止采用权益法核算时采用与被投资单位直接处置相关资产或负债 相同的基础进行会计处理；原股权投资相关的其他所有者权益变动转入当期损益。</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因处置部分股权投资等原因丧失了对被投资单位的控制的，处置后的剩余股权能够对被投资单位实施共同控制或施加重 大影响的，改按权益法核算，并对该剩余股权视同自取得时即采用权益法核算进行调整；处置后的剩余股权不能对被投资单 位实施共同控制或施加重大影响的，改按《企业会计准则第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 失控制之日的公允价值与账面价值之间的差额计入当期损益。</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本集团与联营企业及合营企业之间发生的未实现内部交易损益按照持股比例计算归属于本集团的部分，在抵销基础上确 认投资损益。但本集团与被投资单位发生的未实现内部交易损失，属于所转让资产减值损失的，不予以抵销。</w:t>
      </w:r>
    </w:p>
    <w:p>
      <w:pPr>
        <w:pStyle w:val="Style30"/>
        <w:keepNext w:val="0"/>
        <w:keepLines w:val="0"/>
        <w:widowControl w:val="0"/>
        <w:shd w:val="clear" w:color="auto" w:fill="auto"/>
        <w:tabs>
          <w:tab w:pos="764" w:val="left"/>
        </w:tabs>
        <w:bidi w:val="0"/>
        <w:spacing w:before="0" w:after="200" w:line="312" w:lineRule="exact"/>
        <w:ind w:left="0" w:right="0"/>
        <w:jc w:val="both"/>
      </w:pPr>
      <w:bookmarkStart w:id="783" w:name="bookmark783"/>
      <w:r>
        <w:rPr>
          <w:color w:val="000000"/>
          <w:spacing w:val="0"/>
          <w:w w:val="100"/>
          <w:position w:val="0"/>
        </w:rPr>
        <w:t>（</w:t>
      </w:r>
      <w:bookmarkEnd w:id="783"/>
      <w:r>
        <w:rPr>
          <w:color w:val="000000"/>
          <w:spacing w:val="0"/>
          <w:w w:val="100"/>
          <w:position w:val="0"/>
          <w:sz w:val="18"/>
          <w:szCs w:val="18"/>
        </w:rPr>
        <w:t>3</w:t>
      </w:r>
      <w:r>
        <w:rPr>
          <w:color w:val="000000"/>
          <w:spacing w:val="0"/>
          <w:w w:val="100"/>
          <w:position w:val="0"/>
        </w:rPr>
        <w:t>）</w:t>
        <w:tab/>
        <w:t>确定对被投资单位具有共同控制、重大影响的依据</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后才能决策。在判断是否存在共同控制时，首先判断是否由所有参与方或参与方组合集体控制该安排，其次再判断该安排相 关活动的决策是否必须经过这些集体控制该安排的参与方一致同意。如果所有参与方或一组参与方必须一致行动才能决定某 项安排的相关活动，则认为所有参与方或一组参与方集体控制该安排；如果存在两个或两个以上的参与方组合能够集体控制 某项安排的，不构成共同控制。判断是否存在共同控制时，不考虑享有的保护性权利。</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30"/>
        <w:keepNext w:val="0"/>
        <w:keepLines w:val="0"/>
        <w:widowControl w:val="0"/>
        <w:shd w:val="clear" w:color="auto" w:fill="auto"/>
        <w:bidi w:val="0"/>
        <w:spacing w:before="0" w:after="200" w:line="315" w:lineRule="exact"/>
        <w:ind w:left="0" w:right="0"/>
        <w:jc w:val="both"/>
      </w:pPr>
      <w:r>
        <w:rPr>
          <w:color w:val="000000"/>
          <w:spacing w:val="0"/>
          <w:w w:val="100"/>
          <w:position w:val="0"/>
        </w:rPr>
        <w:t>当本公司直接或通过子公司间接拥有被投资单位</w:t>
      </w:r>
      <w:r>
        <w:rPr>
          <w:color w:val="000000"/>
          <w:spacing w:val="0"/>
          <w:w w:val="100"/>
          <w:position w:val="0"/>
          <w:sz w:val="18"/>
          <w:szCs w:val="18"/>
        </w:rPr>
        <w:t>20%（</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的表决权股份时，一般认为对被投资单位 具有重大影响，除非有明确证据表明该种情况下不能参与被投资单位的生产经营决策，不形成重大影响；本集团拥有被投资 单位</w:t>
      </w:r>
      <w:r>
        <w:rPr>
          <w:color w:val="000000"/>
          <w:spacing w:val="0"/>
          <w:w w:val="100"/>
          <w:position w:val="0"/>
          <w:sz w:val="18"/>
          <w:szCs w:val="18"/>
        </w:rPr>
        <w:t>20%</w:t>
      </w:r>
      <w:r>
        <w:rPr>
          <w:color w:val="000000"/>
          <w:spacing w:val="0"/>
          <w:w w:val="100"/>
          <w:position w:val="0"/>
        </w:rPr>
        <w:t>（不含）以下的表决权股份时，一般不认为对被投资单位具有重大影响，除非有明确证据表明该种情况下能够参与 被投资单位的生产经营决策，形成重大影响。</w:t>
      </w:r>
    </w:p>
    <w:p>
      <w:pPr>
        <w:pStyle w:val="Style30"/>
        <w:keepNext w:val="0"/>
        <w:keepLines w:val="0"/>
        <w:widowControl w:val="0"/>
        <w:shd w:val="clear" w:color="auto" w:fill="auto"/>
        <w:tabs>
          <w:tab w:pos="764" w:val="left"/>
        </w:tabs>
        <w:bidi w:val="0"/>
        <w:spacing w:before="0" w:after="200" w:line="312" w:lineRule="exact"/>
        <w:ind w:left="0" w:right="0"/>
        <w:jc w:val="both"/>
      </w:pPr>
      <w:bookmarkStart w:id="784" w:name="bookmark784"/>
      <w:r>
        <w:rPr>
          <w:color w:val="000000"/>
          <w:spacing w:val="0"/>
          <w:w w:val="100"/>
          <w:position w:val="0"/>
        </w:rPr>
        <w:t>（</w:t>
      </w:r>
      <w:bookmarkEnd w:id="784"/>
      <w:r>
        <w:rPr>
          <w:color w:val="000000"/>
          <w:spacing w:val="0"/>
          <w:w w:val="100"/>
          <w:position w:val="0"/>
          <w:sz w:val="18"/>
          <w:szCs w:val="18"/>
        </w:rPr>
        <w:t>4</w:t>
      </w:r>
      <w:r>
        <w:rPr>
          <w:color w:val="000000"/>
          <w:spacing w:val="0"/>
          <w:w w:val="100"/>
          <w:position w:val="0"/>
        </w:rPr>
        <w:t>）</w:t>
        <w:tab/>
        <w:t>减值测试方法及减值准备计提方法</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对子公司、联营企业及合营企业的投资，计提资产减值的方法见附注三、</w:t>
      </w:r>
      <w:r>
        <w:rPr>
          <w:color w:val="000000"/>
          <w:spacing w:val="0"/>
          <w:w w:val="100"/>
          <w:position w:val="0"/>
          <w:sz w:val="18"/>
          <w:szCs w:val="18"/>
        </w:rPr>
        <w:t>20</w:t>
      </w:r>
      <w:r>
        <w:rPr>
          <w:color w:val="000000"/>
          <w:spacing w:val="0"/>
          <w:w w:val="100"/>
          <w:position w:val="0"/>
        </w:rPr>
        <w:t>。</w:t>
      </w:r>
    </w:p>
    <w:p>
      <w:pPr>
        <w:pStyle w:val="Style33"/>
        <w:keepNext/>
        <w:keepLines/>
        <w:widowControl w:val="0"/>
        <w:shd w:val="clear" w:color="auto" w:fill="auto"/>
        <w:bidi w:val="0"/>
        <w:spacing w:before="0" w:after="2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85"/>
      <w:bookmarkEnd w:id="786"/>
      <w:bookmarkEnd w:id="788"/>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30"/>
        <w:keepNext w:val="0"/>
        <w:keepLines w:val="0"/>
        <w:widowControl w:val="0"/>
        <w:shd w:val="clear" w:color="auto" w:fill="auto"/>
        <w:bidi w:val="0"/>
        <w:spacing w:before="0" w:after="200" w:line="317" w:lineRule="exact"/>
        <w:ind w:left="0" w:right="0"/>
        <w:jc w:val="left"/>
      </w:pPr>
      <w:r>
        <w:rPr>
          <w:color w:val="000000"/>
          <w:spacing w:val="0"/>
          <w:w w:val="100"/>
          <w:position w:val="0"/>
        </w:rPr>
        <w:t>投资性房地产是指为赚取租金或资本增值，或两者兼有而持有的房地产。本集团投资性房地产包括已出租的土地使用权、 持有并准备增值后转让的土地使用权、已出租的建筑物。</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本集团投资性房地产按照取得时的成本进行初始计量，并按照固定资产或无形资产的有关规定，按期计提折旧或摊销。</w:t>
      </w:r>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采用成本模式进行后续计量的投资性房地产，计提资产减值方法见附注三、</w:t>
      </w:r>
      <w:r>
        <w:rPr>
          <w:color w:val="000000"/>
          <w:spacing w:val="0"/>
          <w:w w:val="100"/>
          <w:position w:val="0"/>
          <w:sz w:val="18"/>
          <w:szCs w:val="18"/>
        </w:rPr>
        <w:t>20</w:t>
      </w:r>
      <w:r>
        <w:rPr>
          <w:color w:val="000000"/>
          <w:spacing w:val="0"/>
          <w:w w:val="100"/>
          <w:position w:val="0"/>
        </w:rPr>
        <w:t>。</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投资性房地产出售、转让、报废或毁损的处置收入扣除其账面价值和相关税费后的差额计入当期损益。</w:t>
      </w:r>
    </w:p>
    <w:p>
      <w:pPr>
        <w:pStyle w:val="Style33"/>
        <w:keepNext/>
        <w:keepLines/>
        <w:widowControl w:val="0"/>
        <w:shd w:val="clear" w:color="auto" w:fill="auto"/>
        <w:bidi w:val="0"/>
        <w:spacing w:before="0" w:after="36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89"/>
      <w:bookmarkEnd w:id="790"/>
      <w:bookmarkEnd w:id="792"/>
    </w:p>
    <w:p>
      <w:pPr>
        <w:pStyle w:val="Style44"/>
        <w:keepNext/>
        <w:keepLines/>
        <w:widowControl w:val="0"/>
        <w:shd w:val="clear" w:color="auto" w:fill="auto"/>
        <w:bidi w:val="0"/>
        <w:spacing w:before="0" w:after="28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3"/>
      <w:bookmarkEnd w:id="794"/>
      <w:bookmarkEnd w:id="796"/>
    </w:p>
    <w:p>
      <w:pPr>
        <w:pStyle w:val="Style30"/>
        <w:keepNext w:val="0"/>
        <w:keepLines w:val="0"/>
        <w:widowControl w:val="0"/>
        <w:shd w:val="clear" w:color="auto" w:fill="auto"/>
        <w:bidi w:val="0"/>
        <w:spacing w:before="0" w:after="360" w:line="312" w:lineRule="exact"/>
        <w:ind w:left="0" w:right="0" w:firstLine="0"/>
        <w:jc w:val="left"/>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）固定资产确认条件本集团固定资产是指为生产商品、提供劳务、出租或经营管理而持有的，使用寿命超过一个会计年 度的有形资产。与该固定资产有关的经济利益很可能流入企业，并且该固定资产的成本能够可靠地计量时，固定资产才能予 以确认。本集团固定资产按照取得时的实际成本进行初始计量。</w:t>
      </w:r>
    </w:p>
    <w:p>
      <w:pPr>
        <w:pStyle w:val="Style44"/>
        <w:keepNext/>
        <w:keepLines/>
        <w:widowControl w:val="0"/>
        <w:shd w:val="clear" w:color="auto" w:fill="auto"/>
        <w:bidi w:val="0"/>
        <w:spacing w:before="0" w:line="240" w:lineRule="auto"/>
        <w:ind w:left="0" w:right="0" w:firstLine="14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8"/>
      <w:bookmarkEnd w:id="799"/>
      <w:bookmarkEnd w:id="801"/>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4"/>
        <w:keepNext/>
        <w:keepLines/>
        <w:widowControl w:val="0"/>
        <w:shd w:val="clear" w:color="auto" w:fill="auto"/>
        <w:bidi w:val="0"/>
        <w:spacing w:before="0" w:after="280" w:line="240" w:lineRule="auto"/>
        <w:ind w:left="0" w:right="0" w:firstLine="0"/>
        <w:jc w:val="left"/>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02"/>
      <w:bookmarkEnd w:id="803"/>
      <w:bookmarkEnd w:id="805"/>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after="2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06"/>
      <w:bookmarkEnd w:id="807"/>
      <w:bookmarkEnd w:id="809"/>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本集团在建工程成本按实际工程支出确定，包括在建期间发生的各项必要工程支出、工程达到预定可使用状态前的应予资本 化的借款费用以及其他相关费用等。</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在建工程在达到预定可使用状态时转入固定资产。</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在建工程计提资产减值方法见附注三、</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3"/>
        <w:keepNext/>
        <w:keepLines/>
        <w:widowControl w:val="0"/>
        <w:shd w:val="clear" w:color="auto" w:fill="auto"/>
        <w:tabs>
          <w:tab w:pos="469" w:val="left"/>
        </w:tabs>
        <w:bidi w:val="0"/>
        <w:spacing w:before="0" w:after="28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10"/>
      <w:bookmarkEnd w:id="811"/>
      <w:bookmarkEnd w:id="813"/>
    </w:p>
    <w:p>
      <w:pPr>
        <w:pStyle w:val="Style30"/>
        <w:keepNext w:val="0"/>
        <w:keepLines w:val="0"/>
        <w:widowControl w:val="0"/>
        <w:shd w:val="clear" w:color="auto" w:fill="auto"/>
        <w:bidi w:val="0"/>
        <w:spacing w:before="0" w:after="0" w:line="312" w:lineRule="exact"/>
        <w:ind w:left="0" w:right="0" w:firstLine="0"/>
        <w:jc w:val="left"/>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本集团发生的借款费用，可直接归属于符合资本化条件的资产的购建或者生产的，予以资本化，计入相关资产成本；其 他借款费用，在发生时根据其发生额确认为费用，计入当期损益。借款费用同时满足下列条件的，开始资本化：</w:t>
      </w:r>
    </w:p>
    <w:p>
      <w:pPr>
        <w:pStyle w:val="Style30"/>
        <w:keepNext w:val="0"/>
        <w:keepLines w:val="0"/>
        <w:widowControl w:val="0"/>
        <w:numPr>
          <w:ilvl w:val="0"/>
          <w:numId w:val="25"/>
        </w:numPr>
        <w:shd w:val="clear" w:color="auto" w:fill="auto"/>
        <w:bidi w:val="0"/>
        <w:spacing w:before="0" w:after="280" w:line="312" w:lineRule="exact"/>
        <w:ind w:left="0" w:right="0" w:firstLine="0"/>
        <w:jc w:val="left"/>
      </w:pPr>
      <w:bookmarkStart w:id="815" w:name="bookmark815"/>
      <w:bookmarkEnd w:id="815"/>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30"/>
        <w:keepNext w:val="0"/>
        <w:keepLines w:val="0"/>
        <w:widowControl w:val="0"/>
        <w:numPr>
          <w:ilvl w:val="0"/>
          <w:numId w:val="25"/>
        </w:numPr>
        <w:shd w:val="clear" w:color="auto" w:fill="auto"/>
        <w:tabs>
          <w:tab w:pos="373" w:val="left"/>
        </w:tabs>
        <w:bidi w:val="0"/>
        <w:spacing w:before="0" w:after="40" w:line="310" w:lineRule="exact"/>
        <w:ind w:left="0" w:right="0" w:firstLine="0"/>
        <w:jc w:val="left"/>
      </w:pPr>
      <w:bookmarkStart w:id="816" w:name="bookmark816"/>
      <w:bookmarkEnd w:id="816"/>
      <w:r>
        <w:rPr>
          <w:color w:val="000000"/>
          <w:spacing w:val="0"/>
          <w:w w:val="100"/>
          <w:position w:val="0"/>
        </w:rPr>
        <w:t>借款费用已经发生；</w:t>
      </w:r>
    </w:p>
    <w:p>
      <w:pPr>
        <w:pStyle w:val="Style30"/>
        <w:keepNext w:val="0"/>
        <w:keepLines w:val="0"/>
        <w:widowControl w:val="0"/>
        <w:numPr>
          <w:ilvl w:val="0"/>
          <w:numId w:val="25"/>
        </w:numPr>
        <w:shd w:val="clear" w:color="auto" w:fill="auto"/>
        <w:tabs>
          <w:tab w:pos="373" w:val="left"/>
        </w:tabs>
        <w:bidi w:val="0"/>
        <w:spacing w:before="0" w:after="40" w:line="310" w:lineRule="exact"/>
        <w:ind w:left="0" w:right="0" w:firstLine="0"/>
        <w:jc w:val="left"/>
      </w:pPr>
      <w:bookmarkStart w:id="817" w:name="bookmark817"/>
      <w:bookmarkEnd w:id="817"/>
      <w:r>
        <w:rPr>
          <w:color w:val="000000"/>
          <w:spacing w:val="0"/>
          <w:w w:val="100"/>
          <w:position w:val="0"/>
        </w:rPr>
        <w:t>为使资产达到预定可使用或者可销售状态所必要的购建或者生产活动已经开始。</w:t>
      </w:r>
    </w:p>
    <w:p>
      <w:pPr>
        <w:pStyle w:val="Style30"/>
        <w:keepNext w:val="0"/>
        <w:keepLines w:val="0"/>
        <w:widowControl w:val="0"/>
        <w:numPr>
          <w:ilvl w:val="0"/>
          <w:numId w:val="27"/>
        </w:numPr>
        <w:shd w:val="clear" w:color="auto" w:fill="auto"/>
        <w:tabs>
          <w:tab w:pos="440" w:val="left"/>
        </w:tabs>
        <w:bidi w:val="0"/>
        <w:spacing w:before="0" w:after="40" w:line="310" w:lineRule="exact"/>
        <w:ind w:left="0" w:right="0" w:firstLine="0"/>
        <w:jc w:val="left"/>
      </w:pPr>
      <w:bookmarkStart w:id="818" w:name="bookmark818"/>
      <w:bookmarkEnd w:id="818"/>
      <w:r>
        <w:rPr>
          <w:color w:val="000000"/>
          <w:spacing w:val="0"/>
          <w:w w:val="100"/>
          <w:position w:val="0"/>
        </w:rPr>
        <w:t>借款费用资本化期间</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本集团购建或者生产符合资本化条件的资产达到预定可使用或者可销售状态时，借款费用停止资本化。在符合资本化条 件的资产达到预定可使用或者可销售状态之后所发生的借款费用，在发生时根据其发生额确认为费用，计入当期损益。</w:t>
      </w:r>
    </w:p>
    <w:p>
      <w:pPr>
        <w:pStyle w:val="Style30"/>
        <w:keepNext w:val="0"/>
        <w:keepLines w:val="0"/>
        <w:widowControl w:val="0"/>
        <w:shd w:val="clear" w:color="auto" w:fill="auto"/>
        <w:bidi w:val="0"/>
        <w:spacing w:before="0" w:after="40" w:line="317" w:lineRule="exact"/>
        <w:ind w:left="0" w:right="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 正常中断期间的借款费用继续资本化。</w:t>
      </w:r>
    </w:p>
    <w:p>
      <w:pPr>
        <w:pStyle w:val="Style30"/>
        <w:keepNext w:val="0"/>
        <w:keepLines w:val="0"/>
        <w:widowControl w:val="0"/>
        <w:numPr>
          <w:ilvl w:val="0"/>
          <w:numId w:val="27"/>
        </w:numPr>
        <w:shd w:val="clear" w:color="auto" w:fill="auto"/>
        <w:tabs>
          <w:tab w:pos="440" w:val="left"/>
        </w:tabs>
        <w:bidi w:val="0"/>
        <w:spacing w:before="0" w:after="40" w:line="310" w:lineRule="exact"/>
        <w:ind w:left="0" w:right="0" w:firstLine="0"/>
        <w:jc w:val="left"/>
      </w:pPr>
      <w:bookmarkStart w:id="819" w:name="bookmark819"/>
      <w:bookmarkEnd w:id="819"/>
      <w:r>
        <w:rPr>
          <w:color w:val="000000"/>
          <w:spacing w:val="0"/>
          <w:w w:val="100"/>
          <w:position w:val="0"/>
        </w:rPr>
        <w:t>借款费用资本化率以及资本化金额的计算方法</w:t>
      </w:r>
    </w:p>
    <w:p>
      <w:pPr>
        <w:pStyle w:val="Style30"/>
        <w:keepNext w:val="0"/>
        <w:keepLines w:val="0"/>
        <w:widowControl w:val="0"/>
        <w:shd w:val="clear" w:color="auto" w:fill="auto"/>
        <w:bidi w:val="0"/>
        <w:spacing w:before="0" w:after="40" w:line="310" w:lineRule="exact"/>
        <w:ind w:left="0" w:right="0"/>
        <w:jc w:val="left"/>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0"/>
        <w:keepNext w:val="0"/>
        <w:keepLines w:val="0"/>
        <w:widowControl w:val="0"/>
        <w:shd w:val="clear" w:color="auto" w:fill="auto"/>
        <w:bidi w:val="0"/>
        <w:spacing w:before="0" w:after="360" w:line="310" w:lineRule="exact"/>
        <w:ind w:left="0" w:right="0"/>
        <w:jc w:val="left"/>
      </w:pPr>
      <w:r>
        <w:rPr>
          <w:color w:val="000000"/>
          <w:spacing w:val="0"/>
          <w:w w:val="100"/>
          <w:position w:val="0"/>
        </w:rPr>
        <w:t>资本化期间内，外币专门借款的汇兑差额全部予以资本化；外币一般借款的汇兑差额计入当期损益。</w:t>
      </w:r>
    </w:p>
    <w:p>
      <w:pPr>
        <w:pStyle w:val="Style33"/>
        <w:keepNext/>
        <w:keepLines/>
        <w:widowControl w:val="0"/>
        <w:shd w:val="clear" w:color="auto" w:fill="auto"/>
        <w:tabs>
          <w:tab w:pos="469" w:val="left"/>
        </w:tabs>
        <w:bidi w:val="0"/>
        <w:spacing w:before="0" w:after="2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20"/>
      <w:bookmarkEnd w:id="821"/>
      <w:bookmarkEnd w:id="823"/>
    </w:p>
    <w:p>
      <w:pPr>
        <w:pStyle w:val="Style30"/>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24"/>
      <w:bookmarkEnd w:id="825"/>
      <w:bookmarkEnd w:id="827"/>
    </w:p>
    <w:p>
      <w:pPr>
        <w:pStyle w:val="Style30"/>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3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28"/>
      <w:bookmarkEnd w:id="829"/>
      <w:bookmarkEnd w:id="831"/>
    </w:p>
    <w:p>
      <w:pPr>
        <w:pStyle w:val="Style44"/>
        <w:keepNext/>
        <w:keepLines/>
        <w:widowControl w:val="0"/>
        <w:numPr>
          <w:ilvl w:val="0"/>
          <w:numId w:val="29"/>
        </w:numPr>
        <w:shd w:val="clear" w:color="auto" w:fill="auto"/>
        <w:bidi w:val="0"/>
        <w:spacing w:before="0" w:after="280" w:line="240" w:lineRule="auto"/>
        <w:ind w:left="0" w:right="0" w:firstLine="0"/>
        <w:jc w:val="left"/>
      </w:pPr>
      <w:bookmarkStart w:id="832" w:name="bookmark832"/>
      <w:bookmarkStart w:id="833" w:name="bookmark833"/>
      <w:bookmarkStart w:id="834" w:name="bookmark834"/>
      <w:bookmarkStart w:id="835" w:name="bookmark835"/>
      <w:bookmarkEnd w:id="834"/>
      <w:r>
        <w:rPr>
          <w:color w:val="000000"/>
          <w:spacing w:val="0"/>
          <w:w w:val="100"/>
          <w:position w:val="0"/>
        </w:rPr>
        <w:t>计价方法、使用寿命、减值测试</w:t>
      </w:r>
      <w:bookmarkEnd w:id="832"/>
      <w:bookmarkEnd w:id="833"/>
      <w:bookmarkEnd w:id="835"/>
    </w:p>
    <w:p>
      <w:pPr>
        <w:pStyle w:val="Style30"/>
        <w:keepNext w:val="0"/>
        <w:keepLines w:val="0"/>
        <w:widowControl w:val="0"/>
        <w:shd w:val="clear" w:color="auto" w:fill="auto"/>
        <w:bidi w:val="0"/>
        <w:spacing w:before="0" w:after="40" w:line="310" w:lineRule="exact"/>
        <w:ind w:left="0" w:right="0"/>
        <w:jc w:val="left"/>
      </w:pPr>
      <w:r>
        <w:rPr>
          <w:color w:val="000000"/>
          <w:spacing w:val="0"/>
          <w:w w:val="100"/>
          <w:position w:val="0"/>
        </w:rPr>
        <w:t>本集团无形资产包括土地使用权、计算机软件、自行开发软件等。</w:t>
      </w:r>
    </w:p>
    <w:p>
      <w:pPr>
        <w:pStyle w:val="Style30"/>
        <w:keepNext w:val="0"/>
        <w:keepLines w:val="0"/>
        <w:widowControl w:val="0"/>
        <w:shd w:val="clear" w:color="auto" w:fill="auto"/>
        <w:bidi w:val="0"/>
        <w:spacing w:before="0" w:after="40" w:line="310" w:lineRule="exact"/>
        <w:ind w:left="0" w:right="0"/>
        <w:jc w:val="left"/>
      </w:pPr>
      <w:r>
        <w:rPr>
          <w:color w:val="000000"/>
          <w:spacing w:val="0"/>
          <w:w w:val="100"/>
          <w:position w:val="0"/>
        </w:rPr>
        <w:t>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 式的，采用直线法摊销；使用寿命不确定的无形资产，不作摊销。</w:t>
      </w:r>
    </w:p>
    <w:p>
      <w:pPr>
        <w:pStyle w:val="Style30"/>
        <w:keepNext w:val="0"/>
        <w:keepLines w:val="0"/>
        <w:widowControl w:val="0"/>
        <w:shd w:val="clear" w:color="auto" w:fill="auto"/>
        <w:bidi w:val="0"/>
        <w:spacing w:before="0" w:after="80" w:line="310" w:lineRule="exact"/>
        <w:ind w:left="0" w:right="0"/>
        <w:jc w:val="left"/>
      </w:pPr>
      <w:r>
        <w:rPr>
          <w:color w:val="000000"/>
          <w:spacing w:val="0"/>
          <w:w w:val="100"/>
          <w:position w:val="0"/>
        </w:rPr>
        <w:t>使用寿命有限的无形资产摊销方法如下：</w:t>
      </w:r>
    </w:p>
    <w:tbl>
      <w:tblPr>
        <w:tblOverlap w:val="never"/>
        <w:jc w:val="center"/>
        <w:tblLayout w:type="fixed"/>
      </w:tblPr>
      <w:tblGrid>
        <w:gridCol w:w="2621"/>
        <w:gridCol w:w="2021"/>
        <w:gridCol w:w="2362"/>
        <w:gridCol w:w="1867"/>
      </w:tblGrid>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使用寿命</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摊销方法</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备注</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40-7</w:t>
            </w:r>
            <w:r>
              <w:rPr>
                <w:color w:val="000000"/>
                <w:spacing w:val="0"/>
                <w:w w:val="100"/>
                <w:position w:val="0"/>
              </w:rPr>
              <w:t>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自行开发软件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本集团于每年年度终了，对使用寿命有限的无形资产的使用寿命及摊销方法进行复核，与以前估计不同的，调整原先估 计数，并按会计估计变更处理。</w:t>
      </w:r>
    </w:p>
    <w:p>
      <w:pPr>
        <w:pStyle w:val="Style30"/>
        <w:keepNext w:val="0"/>
        <w:keepLines w:val="0"/>
        <w:widowControl w:val="0"/>
        <w:shd w:val="clear" w:color="auto" w:fill="auto"/>
        <w:bidi w:val="0"/>
        <w:spacing w:before="0" w:after="360" w:line="341" w:lineRule="exact"/>
        <w:ind w:left="380" w:right="0" w:firstLine="0"/>
        <w:jc w:val="both"/>
      </w:pPr>
      <w:r>
        <w:rPr>
          <w:color w:val="000000"/>
          <w:spacing w:val="0"/>
          <w:w w:val="100"/>
          <w:position w:val="0"/>
        </w:rPr>
        <w:t>资产负债表日预计某项无形资产已经不能给企业带来未来经济利益的，将该项无形资产的账面价值全部转入当期损益。 无形资产计提资产减值方法见附注三、</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44"/>
        <w:keepNext/>
        <w:keepLines/>
        <w:widowControl w:val="0"/>
        <w:numPr>
          <w:ilvl w:val="0"/>
          <w:numId w:val="29"/>
        </w:numPr>
        <w:shd w:val="clear" w:color="auto" w:fill="auto"/>
        <w:bidi w:val="0"/>
        <w:spacing w:before="0" w:after="280" w:line="240" w:lineRule="auto"/>
        <w:ind w:left="0" w:right="0" w:firstLine="0"/>
        <w:jc w:val="left"/>
      </w:pPr>
      <w:bookmarkStart w:id="836" w:name="bookmark836"/>
      <w:bookmarkStart w:id="837" w:name="bookmark837"/>
      <w:bookmarkStart w:id="838" w:name="bookmark838"/>
      <w:bookmarkStart w:id="839" w:name="bookmark839"/>
      <w:bookmarkEnd w:id="838"/>
      <w:r>
        <w:rPr>
          <w:color w:val="000000"/>
          <w:spacing w:val="0"/>
          <w:w w:val="100"/>
          <w:position w:val="0"/>
        </w:rPr>
        <w:t>内部研究开发支出会计政策</w:t>
      </w:r>
      <w:bookmarkEnd w:id="836"/>
      <w:bookmarkEnd w:id="837"/>
      <w:bookmarkEnd w:id="839"/>
    </w:p>
    <w:p>
      <w:pPr>
        <w:pStyle w:val="Style30"/>
        <w:keepNext w:val="0"/>
        <w:keepLines w:val="0"/>
        <w:widowControl w:val="0"/>
        <w:shd w:val="clear" w:color="auto" w:fill="auto"/>
        <w:bidi w:val="0"/>
        <w:spacing w:before="0" w:after="60" w:line="326" w:lineRule="exact"/>
        <w:ind w:left="0" w:right="0"/>
        <w:jc w:val="left"/>
      </w:pPr>
      <w:r>
        <w:rPr>
          <w:color w:val="000000"/>
          <w:spacing w:val="0"/>
          <w:w w:val="100"/>
          <w:position w:val="0"/>
        </w:rPr>
        <w:t>本集团将内部研究开发项目的支出，区分为研究阶段支出和开发阶段支出。</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研究阶段的支出，于发生时计入当期损益。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本集团研究开发项目在满足上述条件，通过技术可行性及经济可行性研究，形成项目立项后，进入开发阶段。</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已资本化的开发阶段的支出在资产负债表上列示为开发支出，自该项目达到预定可使用状态之日转为无形资产。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具体研发项目的资本化条件：</w:t>
      </w:r>
    </w:p>
    <w:p>
      <w:pPr>
        <w:pStyle w:val="Style30"/>
        <w:keepNext w:val="0"/>
        <w:keepLines w:val="0"/>
        <w:widowControl w:val="0"/>
        <w:numPr>
          <w:ilvl w:val="0"/>
          <w:numId w:val="31"/>
        </w:numPr>
        <w:shd w:val="clear" w:color="auto" w:fill="auto"/>
        <w:tabs>
          <w:tab w:pos="896" w:val="left"/>
        </w:tabs>
        <w:bidi w:val="0"/>
        <w:spacing w:before="0" w:after="0" w:line="298" w:lineRule="exact"/>
        <w:ind w:left="0" w:right="0"/>
        <w:jc w:val="both"/>
      </w:pPr>
      <w:bookmarkStart w:id="840" w:name="bookmark840"/>
      <w:bookmarkEnd w:id="840"/>
      <w:r>
        <w:rPr>
          <w:color w:val="000000"/>
          <w:spacing w:val="0"/>
          <w:w w:val="100"/>
          <w:position w:val="0"/>
        </w:rPr>
        <w:t>公司目前资本化的研发支出项目中，项目均在研发测试阶段，公司完成该无形资产以使其能够使用或者出售在技 术上具有可行性；</w:t>
      </w:r>
    </w:p>
    <w:p>
      <w:pPr>
        <w:pStyle w:val="Style30"/>
        <w:keepNext w:val="0"/>
        <w:keepLines w:val="0"/>
        <w:widowControl w:val="0"/>
        <w:numPr>
          <w:ilvl w:val="0"/>
          <w:numId w:val="31"/>
        </w:numPr>
        <w:shd w:val="clear" w:color="auto" w:fill="auto"/>
        <w:tabs>
          <w:tab w:pos="882" w:val="left"/>
        </w:tabs>
        <w:bidi w:val="0"/>
        <w:spacing w:before="0" w:after="0" w:line="312" w:lineRule="exact"/>
        <w:ind w:left="0" w:right="0"/>
        <w:jc w:val="both"/>
      </w:pPr>
      <w:bookmarkStart w:id="841" w:name="bookmark841"/>
      <w:bookmarkEnd w:id="841"/>
      <w:r>
        <w:rPr>
          <w:color w:val="000000"/>
          <w:spacing w:val="0"/>
          <w:w w:val="100"/>
          <w:position w:val="0"/>
        </w:rPr>
        <w:t>公司所有研发支出项目均是针对特定市场需求进行相关开发，以备将来出售，具有完成该无形资产并使用或出售 的意图；</w:t>
      </w:r>
    </w:p>
    <w:p>
      <w:pPr>
        <w:pStyle w:val="Style30"/>
        <w:keepNext w:val="0"/>
        <w:keepLines w:val="0"/>
        <w:widowControl w:val="0"/>
        <w:numPr>
          <w:ilvl w:val="0"/>
          <w:numId w:val="31"/>
        </w:numPr>
        <w:shd w:val="clear" w:color="auto" w:fill="auto"/>
        <w:tabs>
          <w:tab w:pos="891" w:val="left"/>
        </w:tabs>
        <w:bidi w:val="0"/>
        <w:spacing w:before="0" w:after="0" w:line="312" w:lineRule="exact"/>
        <w:ind w:left="0" w:right="0"/>
        <w:jc w:val="both"/>
      </w:pPr>
      <w:bookmarkStart w:id="842" w:name="bookmark842"/>
      <w:bookmarkEnd w:id="842"/>
      <w:r>
        <w:rPr>
          <w:color w:val="000000"/>
          <w:spacing w:val="0"/>
          <w:w w:val="100"/>
          <w:position w:val="0"/>
        </w:rPr>
        <w:t>公司所有研发支出资本化项目均会形成测试版软件，表明公司运用该无形资产生产的产品存在市场或无形资产自 身存在市场；</w:t>
      </w:r>
    </w:p>
    <w:p>
      <w:pPr>
        <w:pStyle w:val="Style30"/>
        <w:keepNext w:val="0"/>
        <w:keepLines w:val="0"/>
        <w:widowControl w:val="0"/>
        <w:numPr>
          <w:ilvl w:val="0"/>
          <w:numId w:val="31"/>
        </w:numPr>
        <w:shd w:val="clear" w:color="auto" w:fill="auto"/>
        <w:tabs>
          <w:tab w:pos="896" w:val="left"/>
        </w:tabs>
        <w:bidi w:val="0"/>
        <w:spacing w:before="0" w:after="0" w:line="326" w:lineRule="exact"/>
        <w:ind w:left="0" w:right="0"/>
        <w:jc w:val="both"/>
      </w:pPr>
      <w:bookmarkStart w:id="843" w:name="bookmark843"/>
      <w:bookmarkEnd w:id="843"/>
      <w:r>
        <w:rPr>
          <w:color w:val="000000"/>
          <w:spacing w:val="0"/>
          <w:w w:val="100"/>
          <w:position w:val="0"/>
        </w:rPr>
        <w:t>公司掌握研发支出资本化项目的核心技术，有能力完成相关无形资产的研发，表明公司有足够的技术、财务资源 和其他资源支持，以完成该无形资产的开发，并有能力出售该无形资产；</w:t>
      </w:r>
    </w:p>
    <w:p>
      <w:pPr>
        <w:pStyle w:val="Style30"/>
        <w:keepNext w:val="0"/>
        <w:keepLines w:val="0"/>
        <w:widowControl w:val="0"/>
        <w:numPr>
          <w:ilvl w:val="0"/>
          <w:numId w:val="31"/>
        </w:numPr>
        <w:shd w:val="clear" w:color="auto" w:fill="auto"/>
        <w:tabs>
          <w:tab w:pos="820" w:val="left"/>
        </w:tabs>
        <w:bidi w:val="0"/>
        <w:spacing w:before="0" w:after="360" w:line="326" w:lineRule="exact"/>
        <w:ind w:left="0" w:right="0"/>
        <w:jc w:val="both"/>
      </w:pPr>
      <w:bookmarkStart w:id="844" w:name="bookmark844"/>
      <w:bookmarkEnd w:id="844"/>
      <w:r>
        <w:rPr>
          <w:color w:val="000000"/>
          <w:spacing w:val="0"/>
          <w:w w:val="100"/>
          <w:position w:val="0"/>
        </w:rPr>
        <w:t>公司资本化研发支出分部门按项目统计相关支出，归属于该无形资产开发阶段的支出能够可靠地计量。</w:t>
      </w:r>
    </w:p>
    <w:p>
      <w:pPr>
        <w:pStyle w:val="Style33"/>
        <w:keepNext/>
        <w:keepLines/>
        <w:widowControl w:val="0"/>
        <w:shd w:val="clear" w:color="auto" w:fill="auto"/>
        <w:tabs>
          <w:tab w:pos="478" w:val="left"/>
        </w:tabs>
        <w:bidi w:val="0"/>
        <w:spacing w:before="0" w:after="26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45"/>
      <w:bookmarkEnd w:id="846"/>
      <w:bookmarkEnd w:id="848"/>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对子公司、联营企业的长期股权投资、采用成本模式进行后续计量的投资性房地产、固定资产、在建工程、无形资产等 (存货、递延所得税资产、金融资产除外)的资产减值，按以下方法确定：</w:t>
      </w:r>
    </w:p>
    <w:p>
      <w:pPr>
        <w:pStyle w:val="Style30"/>
        <w:keepNext w:val="0"/>
        <w:keepLines w:val="0"/>
        <w:widowControl w:val="0"/>
        <w:shd w:val="clear" w:color="auto" w:fill="auto"/>
        <w:bidi w:val="0"/>
        <w:spacing w:before="0" w:after="0" w:line="310" w:lineRule="exact"/>
        <w:ind w:left="0" w:right="0"/>
        <w:jc w:val="left"/>
      </w:pPr>
      <w:r>
        <w:rPr>
          <w:color w:val="000000"/>
          <w:spacing w:val="0"/>
          <w:w w:val="100"/>
          <w:position w:val="0"/>
        </w:rPr>
        <w:t>于资产负债表日判断资产是否存在可能发生减值的迹象，存在减值迹象的，本集团将估计其可收回金额，进行减值测试。 对因企业合并所形成的商誉、使用寿命不确定的无形资产和尚未达到可使用状态的无形资产无论是否存在减值迹象，每年都 进行减值测试。</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可收回金额根据资产的公允价值减去处置费用后的净额与资产预计未来现金流量的现值两者之间较高者确定。本集团以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rPr>
        <w:t>当资产或资产组的可收回金额低于其账面价值时，本集团将其账面价值减记至可收回金额，减记的金额计入当期损益， 同时计提相应的资产减值准备。</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资产减值损失一经确认，在以后会计期间不再转回。</w:t>
      </w:r>
    </w:p>
    <w:p>
      <w:pPr>
        <w:pStyle w:val="Style33"/>
        <w:keepNext/>
        <w:keepLines/>
        <w:widowControl w:val="0"/>
        <w:shd w:val="clear" w:color="auto" w:fill="auto"/>
        <w:tabs>
          <w:tab w:pos="478" w:val="left"/>
        </w:tabs>
        <w:bidi w:val="0"/>
        <w:spacing w:before="0" w:after="26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49"/>
      <w:bookmarkEnd w:id="850"/>
      <w:bookmarkEnd w:id="852"/>
    </w:p>
    <w:p>
      <w:pPr>
        <w:pStyle w:val="Style30"/>
        <w:keepNext w:val="0"/>
        <w:keepLines w:val="0"/>
        <w:widowControl w:val="0"/>
        <w:shd w:val="clear" w:color="auto" w:fill="auto"/>
        <w:bidi w:val="0"/>
        <w:spacing w:before="0" w:after="360" w:line="307" w:lineRule="exact"/>
        <w:ind w:left="0" w:right="0"/>
        <w:jc w:val="both"/>
      </w:pPr>
      <w:r>
        <w:rPr>
          <w:color w:val="000000"/>
          <w:spacing w:val="0"/>
          <w:w w:val="100"/>
          <w:position w:val="0"/>
        </w:rPr>
        <w:t>本集团发生的长期待摊费用按实际成本计价，并按预计受益期限平均摊销。对不能使以后会计期间受益的长期待摊费用 项目，其摊余价值全部计入当期损益。</w:t>
      </w:r>
    </w:p>
    <w:p>
      <w:pPr>
        <w:pStyle w:val="Style33"/>
        <w:keepNext/>
        <w:keepLines/>
        <w:widowControl w:val="0"/>
        <w:shd w:val="clear" w:color="auto" w:fill="auto"/>
        <w:tabs>
          <w:tab w:pos="478" w:val="left"/>
        </w:tabs>
        <w:bidi w:val="0"/>
        <w:spacing w:before="0" w:after="36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53"/>
      <w:bookmarkEnd w:id="854"/>
      <w:bookmarkEnd w:id="856"/>
    </w:p>
    <w:p>
      <w:pPr>
        <w:pStyle w:val="Style44"/>
        <w:keepNext/>
        <w:keepLines/>
        <w:widowControl w:val="0"/>
        <w:numPr>
          <w:ilvl w:val="0"/>
          <w:numId w:val="33"/>
        </w:numPr>
        <w:shd w:val="clear" w:color="auto" w:fill="auto"/>
        <w:bidi w:val="0"/>
        <w:spacing w:before="0" w:after="260" w:line="240" w:lineRule="auto"/>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短期薪酬的会计处理方法</w:t>
      </w:r>
      <w:bookmarkEnd w:id="857"/>
      <w:bookmarkEnd w:id="858"/>
      <w:bookmarkEnd w:id="860"/>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本集团在职工提供服务的会计期间，将实际发生的职工工资、奖金、按规定的基准和比例为职工缴纳的医疗保险费、工 </w:t>
      </w:r>
      <w:r>
        <w:rPr>
          <w:color w:val="000000"/>
          <w:spacing w:val="0"/>
          <w:w w:val="100"/>
          <w:position w:val="0"/>
        </w:rPr>
        <w:t>伤保险费和生育保险费等社会保险费和住房公积金，确认为负债，并计入当期损益或相关资产成本。如果该负债预期在职工 提供相关服务的年度报告期结束后十二个月内不能完全支付，且财务影响重大的，则该负债将以折现后的金额计量。</w:t>
      </w:r>
    </w:p>
    <w:p>
      <w:pPr>
        <w:pStyle w:val="Style44"/>
        <w:keepNext/>
        <w:keepLines/>
        <w:widowControl w:val="0"/>
        <w:shd w:val="clear" w:color="auto" w:fill="auto"/>
        <w:tabs>
          <w:tab w:pos="488" w:val="left"/>
        </w:tabs>
        <w:bidi w:val="0"/>
        <w:spacing w:before="0" w:after="28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1"/>
      <w:bookmarkEnd w:id="862"/>
      <w:bookmarkEnd w:id="864"/>
    </w:p>
    <w:p>
      <w:pPr>
        <w:pStyle w:val="Style30"/>
        <w:keepNext w:val="0"/>
        <w:keepLines w:val="0"/>
        <w:widowControl w:val="0"/>
        <w:shd w:val="clear" w:color="auto" w:fill="auto"/>
        <w:bidi w:val="0"/>
        <w:spacing w:before="0" w:after="60" w:line="302" w:lineRule="exact"/>
        <w:ind w:left="0" w:right="0"/>
        <w:jc w:val="both"/>
      </w:pPr>
      <w:r>
        <w:rPr>
          <w:color w:val="000000"/>
          <w:spacing w:val="0"/>
          <w:w w:val="100"/>
          <w:position w:val="0"/>
        </w:rPr>
        <w:t>离职后福利计划包括设定提存计划和设定受益计划。其中，设定提存计划，是指向独立的基金缴存固定费用后，企业不 再承担进一步支付义务的离职后福利计划；本集团无设定受益计划。</w:t>
      </w:r>
    </w:p>
    <w:p>
      <w:pPr>
        <w:pStyle w:val="Style30"/>
        <w:keepNext w:val="0"/>
        <w:keepLines w:val="0"/>
        <w:widowControl w:val="0"/>
        <w:shd w:val="clear" w:color="auto" w:fill="auto"/>
        <w:bidi w:val="0"/>
        <w:spacing w:before="0" w:after="60" w:line="311" w:lineRule="exact"/>
        <w:ind w:left="0" w:right="0"/>
        <w:jc w:val="both"/>
      </w:pPr>
      <w:r>
        <w:rPr>
          <w:color w:val="000000"/>
          <w:spacing w:val="0"/>
          <w:w w:val="100"/>
          <w:position w:val="0"/>
        </w:rPr>
        <w:t>设定提存计划</w:t>
      </w:r>
    </w:p>
    <w:p>
      <w:pPr>
        <w:pStyle w:val="Style30"/>
        <w:keepNext w:val="0"/>
        <w:keepLines w:val="0"/>
        <w:widowControl w:val="0"/>
        <w:shd w:val="clear" w:color="auto" w:fill="auto"/>
        <w:bidi w:val="0"/>
        <w:spacing w:before="0" w:after="60" w:line="311" w:lineRule="exact"/>
        <w:ind w:left="0" w:right="0"/>
        <w:jc w:val="both"/>
      </w:pPr>
      <w:r>
        <w:rPr>
          <w:color w:val="000000"/>
          <w:spacing w:val="0"/>
          <w:w w:val="100"/>
          <w:position w:val="0"/>
        </w:rPr>
        <w:t>设定提存计划包括基本养老保险、失业保险等。</w:t>
      </w:r>
    </w:p>
    <w:p>
      <w:pPr>
        <w:pStyle w:val="Style30"/>
        <w:keepNext w:val="0"/>
        <w:keepLines w:val="0"/>
        <w:widowControl w:val="0"/>
        <w:shd w:val="clear" w:color="auto" w:fill="auto"/>
        <w:bidi w:val="0"/>
        <w:spacing w:before="0" w:after="360" w:line="311" w:lineRule="exact"/>
        <w:ind w:left="0" w:right="0"/>
        <w:jc w:val="both"/>
      </w:pPr>
      <w:r>
        <w:rPr>
          <w:color w:val="000000"/>
          <w:spacing w:val="0"/>
          <w:w w:val="100"/>
          <w:position w:val="0"/>
        </w:rPr>
        <w:t>在职工提供服务的会计期间，根据设定提存计划计算的应缴存金额确认为负债，并计入当期损益或相关资产成本。</w:t>
      </w:r>
    </w:p>
    <w:p>
      <w:pPr>
        <w:pStyle w:val="Style44"/>
        <w:keepNext/>
        <w:keepLines/>
        <w:widowControl w:val="0"/>
        <w:shd w:val="clear" w:color="auto" w:fill="auto"/>
        <w:tabs>
          <w:tab w:pos="488"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65"/>
      <w:bookmarkEnd w:id="866"/>
      <w:bookmarkEnd w:id="868"/>
    </w:p>
    <w:p>
      <w:pPr>
        <w:pStyle w:val="Style30"/>
        <w:keepNext w:val="0"/>
        <w:keepLines w:val="0"/>
        <w:widowControl w:val="0"/>
        <w:shd w:val="clear" w:color="auto" w:fill="auto"/>
        <w:bidi w:val="0"/>
        <w:spacing w:before="0" w:after="60" w:line="307" w:lineRule="exact"/>
        <w:ind w:left="0" w:right="0"/>
        <w:jc w:val="both"/>
      </w:pPr>
      <w:r>
        <w:rPr>
          <w:color w:val="000000"/>
          <w:spacing w:val="0"/>
          <w:w w:val="100"/>
          <w:position w:val="0"/>
        </w:rPr>
        <w:t>本集团向职工提供辞退福利的，在下列两者孰早日确认辞退福利产生的职工薪酬负债，并计入当期损益：本集团不能单 方面撤回因解除劳动关系计划或裁减建议所提供的辞退福利时；本集团确认与涉及支付辞退福利的重组相关的成本或费用 时。</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pStyle w:val="Style44"/>
        <w:keepNext/>
        <w:keepLines/>
        <w:widowControl w:val="0"/>
        <w:shd w:val="clear" w:color="auto" w:fill="auto"/>
        <w:tabs>
          <w:tab w:pos="488" w:val="left"/>
        </w:tabs>
        <w:bidi w:val="0"/>
        <w:spacing w:before="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69"/>
      <w:bookmarkEnd w:id="870"/>
      <w:bookmarkEnd w:id="872"/>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73"/>
      <w:bookmarkEnd w:id="874"/>
      <w:bookmarkEnd w:id="876"/>
    </w:p>
    <w:p>
      <w:pPr>
        <w:pStyle w:val="Style33"/>
        <w:keepNext/>
        <w:keepLines/>
        <w:widowControl w:val="0"/>
        <w:shd w:val="clear" w:color="auto" w:fill="auto"/>
        <w:tabs>
          <w:tab w:pos="488" w:val="left"/>
        </w:tabs>
        <w:bidi w:val="0"/>
        <w:spacing w:before="0" w:after="280" w:line="240" w:lineRule="auto"/>
        <w:ind w:left="0" w:right="0" w:firstLine="0"/>
        <w:jc w:val="left"/>
      </w:pPr>
      <w:bookmarkStart w:id="873" w:name="bookmark873"/>
      <w:bookmarkStart w:id="874" w:name="bookmark874"/>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73"/>
      <w:bookmarkEnd w:id="874"/>
    </w:p>
    <w:p>
      <w:pPr>
        <w:pStyle w:val="Style30"/>
        <w:keepNext w:val="0"/>
        <w:keepLines w:val="0"/>
        <w:widowControl w:val="0"/>
        <w:shd w:val="clear" w:color="auto" w:fill="auto"/>
        <w:bidi w:val="0"/>
        <w:spacing w:before="0" w:after="60" w:line="311" w:lineRule="exact"/>
        <w:ind w:left="0" w:right="0"/>
        <w:jc w:val="both"/>
      </w:pPr>
      <w:r>
        <w:rPr>
          <w:color w:val="000000"/>
          <w:spacing w:val="0"/>
          <w:w w:val="100"/>
          <w:position w:val="0"/>
        </w:rPr>
        <w:t>如果与或有事项相关的义务同时符合以下条件，本集团将其确认为预计负债：</w:t>
      </w:r>
    </w:p>
    <w:p>
      <w:pPr>
        <w:pStyle w:val="Style30"/>
        <w:keepNext w:val="0"/>
        <w:keepLines w:val="0"/>
        <w:widowControl w:val="0"/>
        <w:shd w:val="clear" w:color="auto" w:fill="auto"/>
        <w:tabs>
          <w:tab w:pos="825" w:val="left"/>
        </w:tabs>
        <w:bidi w:val="0"/>
        <w:spacing w:before="0" w:after="60" w:line="311" w:lineRule="exact"/>
        <w:ind w:left="0" w:right="0"/>
        <w:jc w:val="both"/>
      </w:pPr>
      <w:bookmarkStart w:id="878" w:name="bookmark878"/>
      <w:r>
        <w:rPr>
          <w:color w:val="000000"/>
          <w:spacing w:val="0"/>
          <w:w w:val="100"/>
          <w:position w:val="0"/>
        </w:rPr>
        <w:t>（</w:t>
      </w:r>
      <w:bookmarkEnd w:id="878"/>
      <w:r>
        <w:rPr>
          <w:color w:val="000000"/>
          <w:spacing w:val="0"/>
          <w:w w:val="100"/>
          <w:position w:val="0"/>
          <w:sz w:val="18"/>
          <w:szCs w:val="18"/>
        </w:rPr>
        <w:t>1</w:t>
      </w:r>
      <w:r>
        <w:rPr>
          <w:color w:val="000000"/>
          <w:spacing w:val="0"/>
          <w:w w:val="100"/>
          <w:position w:val="0"/>
        </w:rPr>
        <w:t>）</w:t>
        <w:tab/>
        <w:t>该义务是本公司承担的现时义务；</w:t>
      </w:r>
    </w:p>
    <w:p>
      <w:pPr>
        <w:pStyle w:val="Style30"/>
        <w:keepNext w:val="0"/>
        <w:keepLines w:val="0"/>
        <w:widowControl w:val="0"/>
        <w:shd w:val="clear" w:color="auto" w:fill="auto"/>
        <w:tabs>
          <w:tab w:pos="825" w:val="left"/>
        </w:tabs>
        <w:bidi w:val="0"/>
        <w:spacing w:before="0" w:after="60" w:line="311" w:lineRule="exact"/>
        <w:ind w:left="0" w:right="0"/>
        <w:jc w:val="both"/>
      </w:pPr>
      <w:bookmarkStart w:id="879" w:name="bookmark879"/>
      <w:r>
        <w:rPr>
          <w:color w:val="000000"/>
          <w:spacing w:val="0"/>
          <w:w w:val="100"/>
          <w:position w:val="0"/>
        </w:rPr>
        <w:t>（</w:t>
      </w:r>
      <w:bookmarkEnd w:id="879"/>
      <w:r>
        <w:rPr>
          <w:color w:val="000000"/>
          <w:spacing w:val="0"/>
          <w:w w:val="100"/>
          <w:position w:val="0"/>
          <w:sz w:val="18"/>
          <w:szCs w:val="18"/>
        </w:rPr>
        <w:t>2</w:t>
      </w:r>
      <w:r>
        <w:rPr>
          <w:color w:val="000000"/>
          <w:spacing w:val="0"/>
          <w:w w:val="100"/>
          <w:position w:val="0"/>
        </w:rPr>
        <w:t>）</w:t>
        <w:tab/>
        <w:t>该义务的履行很可能导致经济利益流出本公司；</w:t>
      </w:r>
    </w:p>
    <w:p>
      <w:pPr>
        <w:pStyle w:val="Style30"/>
        <w:keepNext w:val="0"/>
        <w:keepLines w:val="0"/>
        <w:widowControl w:val="0"/>
        <w:shd w:val="clear" w:color="auto" w:fill="auto"/>
        <w:tabs>
          <w:tab w:pos="825" w:val="left"/>
        </w:tabs>
        <w:bidi w:val="0"/>
        <w:spacing w:before="0" w:after="360" w:line="311" w:lineRule="exact"/>
        <w:ind w:left="0" w:right="0"/>
        <w:jc w:val="both"/>
      </w:pPr>
      <w:bookmarkStart w:id="880" w:name="bookmark880"/>
      <w:r>
        <w:rPr>
          <w:color w:val="000000"/>
          <w:spacing w:val="0"/>
          <w:w w:val="100"/>
          <w:position w:val="0"/>
        </w:rPr>
        <w:t>（</w:t>
      </w:r>
      <w:bookmarkEnd w:id="880"/>
      <w:r>
        <w:rPr>
          <w:color w:val="000000"/>
          <w:spacing w:val="0"/>
          <w:w w:val="100"/>
          <w:position w:val="0"/>
          <w:sz w:val="18"/>
          <w:szCs w:val="18"/>
        </w:rPr>
        <w:t>3</w:t>
      </w:r>
      <w:r>
        <w:rPr>
          <w:color w:val="000000"/>
          <w:spacing w:val="0"/>
          <w:w w:val="100"/>
          <w:position w:val="0"/>
        </w:rPr>
        <w:t>）</w:t>
        <w:tab/>
        <w:t>该义务的金额能够可靠地计量。</w:t>
      </w:r>
    </w:p>
    <w:p>
      <w:pPr>
        <w:pStyle w:val="Style54"/>
        <w:keepNext w:val="0"/>
        <w:keepLines w:val="0"/>
        <w:widowControl w:val="0"/>
        <w:shd w:val="clear" w:color="auto" w:fill="auto"/>
        <w:tabs>
          <w:tab w:pos="488" w:val="left"/>
        </w:tabs>
        <w:bidi w:val="0"/>
        <w:spacing w:before="0" w:after="280" w:line="240" w:lineRule="auto"/>
        <w:ind w:left="0" w:right="0" w:firstLine="0"/>
        <w:jc w:val="left"/>
      </w:pPr>
      <w:bookmarkStart w:id="881" w:name="bookmark881"/>
      <w:r>
        <w:rPr>
          <w:b/>
          <w:bCs/>
          <w:color w:val="000000"/>
          <w:spacing w:val="0"/>
          <w:w w:val="100"/>
          <w:position w:val="0"/>
        </w:rPr>
        <w:t>（</w:t>
      </w:r>
      <w:bookmarkEnd w:id="88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预计负债的计量方法</w:t>
      </w:r>
    </w:p>
    <w:p>
      <w:pPr>
        <w:pStyle w:val="Style30"/>
        <w:keepNext w:val="0"/>
        <w:keepLines w:val="0"/>
        <w:widowControl w:val="0"/>
        <w:shd w:val="clear" w:color="auto" w:fill="auto"/>
        <w:bidi w:val="0"/>
        <w:spacing w:before="0" w:after="60" w:line="310"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30"/>
        <w:keepNext w:val="0"/>
        <w:keepLines w:val="0"/>
        <w:widowControl w:val="0"/>
        <w:shd w:val="clear" w:color="auto" w:fill="auto"/>
        <w:bidi w:val="0"/>
        <w:spacing w:before="0" w:after="280" w:line="312" w:lineRule="exact"/>
        <w:ind w:left="0" w:right="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3"/>
        <w:keepNext/>
        <w:keepLines/>
        <w:widowControl w:val="0"/>
        <w:shd w:val="clear" w:color="auto" w:fill="auto"/>
        <w:tabs>
          <w:tab w:pos="493"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82"/>
      <w:bookmarkEnd w:id="883"/>
      <w:bookmarkEnd w:id="885"/>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8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86"/>
      <w:bookmarkEnd w:id="887"/>
      <w:bookmarkEnd w:id="889"/>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90"/>
      <w:bookmarkEnd w:id="891"/>
      <w:bookmarkEnd w:id="893"/>
    </w:p>
    <w:p>
      <w:pPr>
        <w:pStyle w:val="Style30"/>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8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820" w:val="left"/>
        </w:tabs>
        <w:bidi w:val="0"/>
        <w:spacing w:before="0" w:after="80" w:line="312" w:lineRule="exact"/>
        <w:ind w:left="0" w:right="0"/>
        <w:jc w:val="both"/>
      </w:pPr>
      <w:bookmarkStart w:id="894" w:name="bookmark894"/>
      <w:r>
        <w:rPr>
          <w:color w:val="000000"/>
          <w:spacing w:val="0"/>
          <w:w w:val="100"/>
          <w:position w:val="0"/>
        </w:rPr>
        <w:t>（</w:t>
      </w:r>
      <w:bookmarkEnd w:id="894"/>
      <w:r>
        <w:rPr>
          <w:color w:val="000000"/>
          <w:spacing w:val="0"/>
          <w:w w:val="100"/>
          <w:position w:val="0"/>
          <w:sz w:val="18"/>
          <w:szCs w:val="18"/>
        </w:rPr>
        <w:t>1</w:t>
      </w:r>
      <w:r>
        <w:rPr>
          <w:color w:val="000000"/>
          <w:spacing w:val="0"/>
          <w:w w:val="100"/>
          <w:position w:val="0"/>
        </w:rPr>
        <w:t>）</w:t>
        <w:tab/>
        <w:t>一般原则</w:t>
      </w:r>
    </w:p>
    <w:p>
      <w:pPr>
        <w:pStyle w:val="Style30"/>
        <w:keepNext w:val="0"/>
        <w:keepLines w:val="0"/>
        <w:widowControl w:val="0"/>
        <w:numPr>
          <w:ilvl w:val="0"/>
          <w:numId w:val="35"/>
        </w:numPr>
        <w:shd w:val="clear" w:color="auto" w:fill="auto"/>
        <w:tabs>
          <w:tab w:pos="753" w:val="left"/>
        </w:tabs>
        <w:bidi w:val="0"/>
        <w:spacing w:before="0" w:after="80" w:line="312" w:lineRule="exact"/>
        <w:ind w:left="0" w:right="0"/>
        <w:jc w:val="both"/>
      </w:pPr>
      <w:bookmarkStart w:id="895" w:name="bookmark895"/>
      <w:bookmarkEnd w:id="895"/>
      <w:r>
        <w:rPr>
          <w:color w:val="000000"/>
          <w:spacing w:val="0"/>
          <w:w w:val="100"/>
          <w:position w:val="0"/>
        </w:rPr>
        <w:t>销售商品</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在已将商品所有权上的主要风险和报酬转移给购货方，既没有保留通常与所有权相联系的继续管理权，也没有对已售商 品实施有效控制，收入的金额能够可靠地计量，相关的经济利益很可能流入企业，相关的已发生或将发生的成本能够可靠地 计量时，确认商品销售收入的实现。</w:t>
      </w:r>
    </w:p>
    <w:p>
      <w:pPr>
        <w:pStyle w:val="Style30"/>
        <w:keepNext w:val="0"/>
        <w:keepLines w:val="0"/>
        <w:widowControl w:val="0"/>
        <w:numPr>
          <w:ilvl w:val="0"/>
          <w:numId w:val="35"/>
        </w:numPr>
        <w:shd w:val="clear" w:color="auto" w:fill="auto"/>
        <w:tabs>
          <w:tab w:pos="753" w:val="left"/>
        </w:tabs>
        <w:bidi w:val="0"/>
        <w:spacing w:before="0" w:after="80" w:line="312" w:lineRule="exact"/>
        <w:ind w:left="0" w:right="0"/>
        <w:jc w:val="both"/>
      </w:pPr>
      <w:bookmarkStart w:id="896" w:name="bookmark896"/>
      <w:bookmarkEnd w:id="896"/>
      <w:r>
        <w:rPr>
          <w:color w:val="000000"/>
          <w:spacing w:val="0"/>
          <w:w w:val="100"/>
          <w:position w:val="0"/>
        </w:rPr>
        <w:t>提供劳务</w:t>
      </w:r>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对在提供劳务交易的结果能够可靠估计的情况下，本集团于资产负债表日按完工百分比法确认收入。</w:t>
      </w:r>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劳务交易的完工进度按已经发生的劳务成本占估计总成本的比例确定。</w:t>
      </w:r>
    </w:p>
    <w:p>
      <w:pPr>
        <w:pStyle w:val="Style30"/>
        <w:keepNext w:val="0"/>
        <w:keepLines w:val="0"/>
        <w:widowControl w:val="0"/>
        <w:shd w:val="clear" w:color="auto" w:fill="auto"/>
        <w:bidi w:val="0"/>
        <w:spacing w:before="0" w:after="80" w:line="302" w:lineRule="exact"/>
        <w:ind w:left="0" w:right="0"/>
        <w:jc w:val="left"/>
      </w:pPr>
      <w:r>
        <w:rPr>
          <w:color w:val="000000"/>
          <w:spacing w:val="0"/>
          <w:w w:val="100"/>
          <w:position w:val="0"/>
        </w:rPr>
        <w:t>提供劳务交易的结果能够可靠估计是指同时满足：</w:t>
      </w:r>
      <w:r>
        <w:rPr>
          <w:color w:val="000000"/>
          <w:spacing w:val="0"/>
          <w:w w:val="100"/>
          <w:position w:val="0"/>
          <w:sz w:val="18"/>
          <w:szCs w:val="18"/>
        </w:rPr>
        <w:t>A</w:t>
      </w:r>
      <w:r>
        <w:rPr>
          <w:color w:val="000000"/>
          <w:spacing w:val="0"/>
          <w:w w:val="100"/>
          <w:position w:val="0"/>
        </w:rPr>
        <w:t>、</w:t>
      </w:r>
      <w:r>
        <w:rPr>
          <w:color w:val="000000"/>
          <w:spacing w:val="0"/>
          <w:w w:val="100"/>
          <w:position w:val="0"/>
        </w:rPr>
        <w:t>收入的金额能够可靠地计量；</w:t>
      </w:r>
      <w:r>
        <w:rPr>
          <w:color w:val="000000"/>
          <w:spacing w:val="0"/>
          <w:w w:val="100"/>
          <w:position w:val="0"/>
          <w:sz w:val="18"/>
          <w:szCs w:val="18"/>
        </w:rPr>
        <w:t>B</w:t>
      </w:r>
      <w:r>
        <w:rPr>
          <w:color w:val="000000"/>
          <w:spacing w:val="0"/>
          <w:w w:val="100"/>
          <w:position w:val="0"/>
        </w:rPr>
        <w:t>、</w:t>
      </w:r>
      <w:r>
        <w:rPr>
          <w:color w:val="000000"/>
          <w:spacing w:val="0"/>
          <w:w w:val="100"/>
          <w:position w:val="0"/>
        </w:rPr>
        <w:t xml:space="preserve">相关的经济利益很可能流入企业; </w:t>
      </w:r>
      <w:r>
        <w:rPr>
          <w:color w:val="000000"/>
          <w:spacing w:val="0"/>
          <w:w w:val="100"/>
          <w:position w:val="0"/>
          <w:sz w:val="18"/>
          <w:szCs w:val="18"/>
        </w:rPr>
        <w:t>C</w:t>
      </w:r>
      <w:r>
        <w:rPr>
          <w:color w:val="000000"/>
          <w:spacing w:val="0"/>
          <w:w w:val="100"/>
          <w:position w:val="0"/>
        </w:rPr>
        <w:t>、</w:t>
      </w:r>
      <w:r>
        <w:rPr>
          <w:color w:val="000000"/>
          <w:spacing w:val="0"/>
          <w:w w:val="100"/>
          <w:position w:val="0"/>
        </w:rPr>
        <w:t>交易的完工程度能够可靠地确定；</w:t>
      </w:r>
      <w:r>
        <w:rPr>
          <w:color w:val="000000"/>
          <w:spacing w:val="0"/>
          <w:w w:val="100"/>
          <w:position w:val="0"/>
          <w:sz w:val="18"/>
          <w:szCs w:val="18"/>
        </w:rPr>
        <w:t>D</w:t>
      </w:r>
      <w:r>
        <w:rPr>
          <w:color w:val="000000"/>
          <w:spacing w:val="0"/>
          <w:w w:val="100"/>
          <w:position w:val="0"/>
        </w:rPr>
        <w:t>、</w:t>
      </w:r>
      <w:r>
        <w:rPr>
          <w:color w:val="000000"/>
          <w:spacing w:val="0"/>
          <w:w w:val="100"/>
          <w:position w:val="0"/>
        </w:rPr>
        <w:t>交易中已发生和将发生的成本能够可靠地计量。</w:t>
      </w:r>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30"/>
        <w:keepNext w:val="0"/>
        <w:keepLines w:val="0"/>
        <w:widowControl w:val="0"/>
        <w:numPr>
          <w:ilvl w:val="0"/>
          <w:numId w:val="35"/>
        </w:numPr>
        <w:shd w:val="clear" w:color="auto" w:fill="auto"/>
        <w:tabs>
          <w:tab w:pos="753" w:val="left"/>
        </w:tabs>
        <w:bidi w:val="0"/>
        <w:spacing w:before="0" w:after="80" w:line="312" w:lineRule="exact"/>
        <w:ind w:left="0" w:right="0"/>
        <w:jc w:val="both"/>
      </w:pPr>
      <w:bookmarkStart w:id="897" w:name="bookmark897"/>
      <w:bookmarkEnd w:id="897"/>
      <w:r>
        <w:rPr>
          <w:color w:val="000000"/>
          <w:spacing w:val="0"/>
          <w:w w:val="100"/>
          <w:position w:val="0"/>
        </w:rPr>
        <w:t>让渡资产使用权</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与资产使用权让渡相关的经济利益能够流入及收入的金额能够可靠地计量时，本集团确认收入。</w:t>
      </w:r>
    </w:p>
    <w:p>
      <w:pPr>
        <w:pStyle w:val="Style30"/>
        <w:keepNext w:val="0"/>
        <w:keepLines w:val="0"/>
        <w:widowControl w:val="0"/>
        <w:shd w:val="clear" w:color="auto" w:fill="auto"/>
        <w:tabs>
          <w:tab w:pos="820" w:val="left"/>
        </w:tabs>
        <w:bidi w:val="0"/>
        <w:spacing w:before="0" w:after="80" w:line="312" w:lineRule="exact"/>
        <w:ind w:left="0" w:right="0"/>
        <w:jc w:val="both"/>
      </w:pPr>
      <w:bookmarkStart w:id="898" w:name="bookmark898"/>
      <w:r>
        <w:rPr>
          <w:color w:val="000000"/>
          <w:spacing w:val="0"/>
          <w:w w:val="100"/>
          <w:position w:val="0"/>
        </w:rPr>
        <w:t>（</w:t>
      </w:r>
      <w:bookmarkEnd w:id="898"/>
      <w:r>
        <w:rPr>
          <w:color w:val="000000"/>
          <w:spacing w:val="0"/>
          <w:w w:val="100"/>
          <w:position w:val="0"/>
          <w:sz w:val="18"/>
          <w:szCs w:val="18"/>
        </w:rPr>
        <w:t>2</w:t>
      </w:r>
      <w:r>
        <w:rPr>
          <w:color w:val="000000"/>
          <w:spacing w:val="0"/>
          <w:w w:val="100"/>
          <w:position w:val="0"/>
        </w:rPr>
        <w:t>）</w:t>
        <w:tab/>
        <w:t>收入确认的具体方法</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本集团软件业务收入确认的具体方法如下：</w:t>
      </w:r>
    </w:p>
    <w:p>
      <w:pPr>
        <w:pStyle w:val="Style30"/>
        <w:keepNext w:val="0"/>
        <w:keepLines w:val="0"/>
        <w:widowControl w:val="0"/>
        <w:shd w:val="clear" w:color="auto" w:fill="auto"/>
        <w:bidi w:val="0"/>
        <w:spacing w:before="0" w:after="80" w:line="312" w:lineRule="exact"/>
        <w:ind w:left="0" w:right="0"/>
        <w:jc w:val="both"/>
      </w:pPr>
      <w:bookmarkStart w:id="899" w:name="bookmark899"/>
      <w:r>
        <w:rPr>
          <w:color w:val="000000"/>
          <w:spacing w:val="0"/>
          <w:w w:val="100"/>
          <w:position w:val="0"/>
          <w:sz w:val="18"/>
          <w:szCs w:val="18"/>
        </w:rPr>
        <w:t>A</w:t>
      </w:r>
      <w:bookmarkEnd w:id="899"/>
      <w:r>
        <w:rPr>
          <w:color w:val="000000"/>
          <w:spacing w:val="0"/>
          <w:w w:val="100"/>
          <w:position w:val="0"/>
        </w:rPr>
        <w:t>、</w:t>
      </w:r>
      <w:r>
        <w:rPr>
          <w:color w:val="000000"/>
          <w:spacing w:val="0"/>
          <w:w w:val="100"/>
          <w:position w:val="0"/>
        </w:rPr>
        <w:t>自行开发软件销售收入的确认原则</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自行开发软件收入包括自制开发的软件产品收入和定制软件收入。</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自制开发的软件产品是指拥有自主知识产权，无差异化、可批量复制的软件产品，无需根据用户需求进行定制。本公司 销售的自制开发软件产品实质上就是销售不转让所有权的商品，公司在将软件产品移交给购买方时，在会计上按照销售商品 收入确认标准确认本业务的收入，即：本公司在已将自行开发的软件产品的主要风险和报酬转移给购货方；公司既没有保留 通常与之相联系的继续管理权，也没有对已售出的商品实施有效控制；与交易相关的经济利益能够流入企业；相关的收入和 成本能可靠计量时，确认收入实现。</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定制软件是指根据与客户签订的技术开发、技术转让合同，对用户的业务进行充分实地调查，并根据用户的实际需求进 行专门的软件设计与开发，由此开发出来的软件不具有通用性。定制软件业务实质上是提供劳务，公司按照劳务收入确认原 则进行确认：</w:t>
      </w:r>
    </w:p>
    <w:p>
      <w:pPr>
        <w:pStyle w:val="Style30"/>
        <w:keepNext w:val="0"/>
        <w:keepLines w:val="0"/>
        <w:widowControl w:val="0"/>
        <w:shd w:val="clear" w:color="auto" w:fill="auto"/>
        <w:bidi w:val="0"/>
        <w:spacing w:before="0" w:after="80" w:line="298" w:lineRule="exact"/>
        <w:ind w:left="0" w:right="0"/>
        <w:jc w:val="both"/>
      </w:pPr>
      <w:bookmarkStart w:id="900" w:name="bookmark900"/>
      <w:r>
        <w:rPr>
          <w:color w:val="000000"/>
          <w:spacing w:val="0"/>
          <w:w w:val="100"/>
          <w:position w:val="0"/>
          <w:sz w:val="18"/>
          <w:szCs w:val="18"/>
        </w:rPr>
        <w:t>1</w:t>
      </w:r>
      <w:bookmarkEnd w:id="900"/>
      <w:r>
        <w:rPr>
          <w:color w:val="000000"/>
          <w:spacing w:val="0"/>
          <w:w w:val="100"/>
          <w:position w:val="0"/>
        </w:rPr>
        <w:t>）软件项目在同一会计年度内开始并完成的，在软件成果的使用权已经提供，收到价款或取得收取款项的证据时，确 认收入；</w:t>
      </w:r>
    </w:p>
    <w:p>
      <w:pPr>
        <w:pStyle w:val="Style30"/>
        <w:keepNext w:val="0"/>
        <w:keepLines w:val="0"/>
        <w:widowControl w:val="0"/>
        <w:shd w:val="clear" w:color="auto" w:fill="auto"/>
        <w:tabs>
          <w:tab w:pos="718" w:val="left"/>
        </w:tabs>
        <w:bidi w:val="0"/>
        <w:spacing w:before="0" w:after="80" w:line="314" w:lineRule="exact"/>
        <w:ind w:left="0" w:right="0"/>
        <w:jc w:val="both"/>
      </w:pPr>
      <w:bookmarkStart w:id="901" w:name="bookmark901"/>
      <w:r>
        <w:rPr>
          <w:color w:val="000000"/>
          <w:spacing w:val="0"/>
          <w:w w:val="100"/>
          <w:position w:val="0"/>
          <w:sz w:val="18"/>
          <w:szCs w:val="18"/>
        </w:rPr>
        <w:t>2</w:t>
      </w:r>
      <w:bookmarkEnd w:id="901"/>
      <w:r>
        <w:rPr>
          <w:color w:val="000000"/>
          <w:spacing w:val="0"/>
          <w:w w:val="100"/>
          <w:position w:val="0"/>
        </w:rPr>
        <w:t>）</w:t>
        <w:tab/>
        <w:t>软件项目的开始和完成分属不同的会计年度的，在合同的总收入、项目的完成程度能够可靠地确定，与项目有关的 价款能够流入，已经发生的成本和完成该项软件将要发生的成本能够可靠地计量时，在资产负债表日按完工百分比法（工程 完工进度）确认软件收入；</w:t>
      </w:r>
    </w:p>
    <w:p>
      <w:pPr>
        <w:pStyle w:val="Style30"/>
        <w:keepNext w:val="0"/>
        <w:keepLines w:val="0"/>
        <w:widowControl w:val="0"/>
        <w:shd w:val="clear" w:color="auto" w:fill="auto"/>
        <w:tabs>
          <w:tab w:pos="718" w:val="left"/>
        </w:tabs>
        <w:bidi w:val="0"/>
        <w:spacing w:before="0" w:after="80" w:line="314" w:lineRule="exact"/>
        <w:ind w:left="0" w:right="0"/>
        <w:jc w:val="both"/>
      </w:pPr>
      <w:bookmarkStart w:id="902" w:name="bookmark902"/>
      <w:r>
        <w:rPr>
          <w:color w:val="000000"/>
          <w:spacing w:val="0"/>
          <w:w w:val="100"/>
          <w:position w:val="0"/>
          <w:sz w:val="18"/>
          <w:szCs w:val="18"/>
        </w:rPr>
        <w:t>3</w:t>
      </w:r>
      <w:bookmarkEnd w:id="902"/>
      <w:r>
        <w:rPr>
          <w:color w:val="000000"/>
          <w:spacing w:val="0"/>
          <w:w w:val="100"/>
          <w:position w:val="0"/>
        </w:rPr>
        <w:t>）</w:t>
        <w:tab/>
        <w:t>对在资产负债表日软件开发劳务成果不能可靠估计的定制软件项目，如果已经发生的成本预计能够得到补偿，应按 能够得到补偿的收入金额确认收入，并按相同的金额结转成本；如果已经发生的成本预计不能全部得到补偿，应按能够得到 补偿的收入金额确认收入，并按已发生的成本结转成本，确认的收入金额小于已经发生的成本的差额，确认为损失；如果已 发生的成本全部不能得到补偿，则不应确认收入，但应将已发生的成本确认为费用。</w:t>
      </w:r>
    </w:p>
    <w:p>
      <w:pPr>
        <w:pStyle w:val="Style30"/>
        <w:keepNext w:val="0"/>
        <w:keepLines w:val="0"/>
        <w:widowControl w:val="0"/>
        <w:shd w:val="clear" w:color="auto" w:fill="auto"/>
        <w:bidi w:val="0"/>
        <w:spacing w:before="0" w:after="80" w:line="312" w:lineRule="exact"/>
        <w:ind w:left="0" w:right="0" w:firstLine="360"/>
        <w:jc w:val="left"/>
      </w:pPr>
      <w:r>
        <w:rPr>
          <w:color w:val="000000"/>
          <w:spacing w:val="0"/>
          <w:w w:val="100"/>
          <w:position w:val="0"/>
        </w:rPr>
        <w:t>对系统集成中包含自行开发软件产品的销售收入，按以下系统集成的收入确认原则确认。</w:t>
      </w:r>
    </w:p>
    <w:p>
      <w:pPr>
        <w:pStyle w:val="Style30"/>
        <w:keepNext w:val="0"/>
        <w:keepLines w:val="0"/>
        <w:widowControl w:val="0"/>
        <w:shd w:val="clear" w:color="auto" w:fill="auto"/>
        <w:tabs>
          <w:tab w:pos="714" w:val="left"/>
        </w:tabs>
        <w:bidi w:val="0"/>
        <w:spacing w:before="0" w:after="80" w:line="312" w:lineRule="exact"/>
        <w:ind w:left="0" w:right="0" w:firstLine="360"/>
        <w:jc w:val="left"/>
      </w:pPr>
      <w:bookmarkStart w:id="903" w:name="bookmark903"/>
      <w:r>
        <w:rPr>
          <w:color w:val="000000"/>
          <w:spacing w:val="0"/>
          <w:w w:val="100"/>
          <w:position w:val="0"/>
          <w:sz w:val="18"/>
          <w:szCs w:val="18"/>
        </w:rPr>
        <w:t>B</w:t>
      </w:r>
      <w:bookmarkEnd w:id="903"/>
      <w:r>
        <w:rPr>
          <w:color w:val="000000"/>
          <w:spacing w:val="0"/>
          <w:w w:val="100"/>
          <w:position w:val="0"/>
        </w:rPr>
        <w:t>、</w:t>
        <w:tab/>
      </w:r>
      <w:r>
        <w:rPr>
          <w:color w:val="000000"/>
          <w:spacing w:val="0"/>
          <w:w w:val="100"/>
          <w:position w:val="0"/>
        </w:rPr>
        <w:t>系统集成收入确认原则</w:t>
      </w:r>
    </w:p>
    <w:p>
      <w:pPr>
        <w:pStyle w:val="Style30"/>
        <w:keepNext w:val="0"/>
        <w:keepLines w:val="0"/>
        <w:widowControl w:val="0"/>
        <w:shd w:val="clear" w:color="auto" w:fill="auto"/>
        <w:bidi w:val="0"/>
        <w:spacing w:before="0" w:after="80" w:line="314" w:lineRule="exact"/>
        <w:ind w:left="0" w:right="0"/>
        <w:jc w:val="both"/>
      </w:pPr>
      <w:r>
        <w:rPr>
          <w:color w:val="000000"/>
          <w:spacing w:val="0"/>
          <w:w w:val="100"/>
          <w:position w:val="0"/>
        </w:rPr>
        <w:t>系统集成包括外购商品、软件产品的销售与安装。公司在已将外购商品、软件产品所有权上的主要风险和报酬转移给购 货方；公司既没有保留通常与所有权相联系的继续管理权，也没有对已售出的商品实施有效控制；系统安装调试完毕已投入 试运行或取得购货方的初验报告；与交易相关的经济利益能够流入企业；相关的收入和成本能可靠计量时，确认收入实现。</w:t>
      </w:r>
    </w:p>
    <w:p>
      <w:pPr>
        <w:pStyle w:val="Style30"/>
        <w:keepNext w:val="0"/>
        <w:keepLines w:val="0"/>
        <w:widowControl w:val="0"/>
        <w:shd w:val="clear" w:color="auto" w:fill="auto"/>
        <w:tabs>
          <w:tab w:pos="734" w:val="left"/>
        </w:tabs>
        <w:bidi w:val="0"/>
        <w:spacing w:before="0" w:after="80" w:line="312" w:lineRule="exact"/>
        <w:ind w:left="0" w:right="0"/>
        <w:jc w:val="both"/>
      </w:pPr>
      <w:bookmarkStart w:id="904" w:name="bookmark904"/>
      <w:r>
        <w:rPr>
          <w:color w:val="000000"/>
          <w:spacing w:val="0"/>
          <w:w w:val="100"/>
          <w:position w:val="0"/>
          <w:sz w:val="18"/>
          <w:szCs w:val="18"/>
        </w:rPr>
        <w:t>C</w:t>
      </w:r>
      <w:bookmarkEnd w:id="904"/>
      <w:r>
        <w:rPr>
          <w:color w:val="000000"/>
          <w:spacing w:val="0"/>
          <w:w w:val="100"/>
          <w:position w:val="0"/>
        </w:rPr>
        <w:t>、</w:t>
        <w:tab/>
      </w:r>
      <w:r>
        <w:rPr>
          <w:color w:val="000000"/>
          <w:spacing w:val="0"/>
          <w:w w:val="100"/>
          <w:position w:val="0"/>
        </w:rPr>
        <w:t>技术支持与维护收入确认原则</w:t>
      </w:r>
    </w:p>
    <w:p>
      <w:pPr>
        <w:pStyle w:val="Style30"/>
        <w:keepNext w:val="0"/>
        <w:keepLines w:val="0"/>
        <w:widowControl w:val="0"/>
        <w:shd w:val="clear" w:color="auto" w:fill="auto"/>
        <w:bidi w:val="0"/>
        <w:spacing w:before="0" w:after="80" w:line="312" w:lineRule="exact"/>
        <w:ind w:left="0" w:right="0" w:firstLine="360"/>
        <w:jc w:val="left"/>
      </w:pPr>
      <w:r>
        <w:rPr>
          <w:color w:val="000000"/>
          <w:spacing w:val="0"/>
          <w:w w:val="100"/>
          <w:position w:val="0"/>
        </w:rPr>
        <w:t>技术支持与维护主要指根据合同规定向用户提供的有偿后续服务，包括系统维护、技术应用与支持、产品升级等。</w:t>
      </w:r>
    </w:p>
    <w:p>
      <w:pPr>
        <w:pStyle w:val="Style30"/>
        <w:keepNext w:val="0"/>
        <w:keepLines w:val="0"/>
        <w:widowControl w:val="0"/>
        <w:shd w:val="clear" w:color="auto" w:fill="auto"/>
        <w:bidi w:val="0"/>
        <w:spacing w:before="0" w:after="80" w:line="312" w:lineRule="exact"/>
        <w:ind w:left="0" w:right="0" w:firstLine="360"/>
        <w:jc w:val="left"/>
      </w:pPr>
      <w:r>
        <w:rPr>
          <w:color w:val="000000"/>
          <w:spacing w:val="0"/>
          <w:w w:val="100"/>
          <w:position w:val="0"/>
        </w:rPr>
        <w:t>本公司根据与用户签订的相关合同签订的合同总额与服务期间，按提供服务的进度确认收入。</w:t>
      </w:r>
    </w:p>
    <w:p>
      <w:pPr>
        <w:pStyle w:val="Style30"/>
        <w:keepNext w:val="0"/>
        <w:keepLines w:val="0"/>
        <w:widowControl w:val="0"/>
        <w:shd w:val="clear" w:color="auto" w:fill="auto"/>
        <w:tabs>
          <w:tab w:pos="714" w:val="left"/>
        </w:tabs>
        <w:bidi w:val="0"/>
        <w:spacing w:before="0" w:after="80" w:line="312" w:lineRule="exact"/>
        <w:ind w:left="0" w:right="0" w:firstLine="360"/>
        <w:jc w:val="left"/>
      </w:pPr>
      <w:bookmarkStart w:id="905" w:name="bookmark905"/>
      <w:r>
        <w:rPr>
          <w:color w:val="000000"/>
          <w:spacing w:val="0"/>
          <w:w w:val="100"/>
          <w:position w:val="0"/>
          <w:sz w:val="18"/>
          <w:szCs w:val="18"/>
        </w:rPr>
        <w:t>D</w:t>
      </w:r>
      <w:bookmarkEnd w:id="905"/>
      <w:r>
        <w:rPr>
          <w:color w:val="000000"/>
          <w:spacing w:val="0"/>
          <w:w w:val="100"/>
          <w:position w:val="0"/>
        </w:rPr>
        <w:t>、</w:t>
        <w:tab/>
      </w:r>
      <w:r>
        <w:rPr>
          <w:color w:val="000000"/>
          <w:spacing w:val="0"/>
          <w:w w:val="100"/>
          <w:position w:val="0"/>
        </w:rPr>
        <w:t>技术开发收入</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技术开发收入是指根据用户的需求，对自行研究开发的软件产品再次开发取得的收入。公司在劳务已经提供，收到价款 或取得收款的依据，于技术开发项目投入用户试运行或取得用户的初验报告后确认收入的实现。</w:t>
      </w:r>
    </w:p>
    <w:p>
      <w:pPr>
        <w:pStyle w:val="Style33"/>
        <w:keepNext/>
        <w:keepLines/>
        <w:widowControl w:val="0"/>
        <w:shd w:val="clear" w:color="auto" w:fill="auto"/>
        <w:bidi w:val="0"/>
        <w:spacing w:before="0" w:after="36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06"/>
      <w:bookmarkEnd w:id="907"/>
      <w:bookmarkEnd w:id="909"/>
    </w:p>
    <w:p>
      <w:pPr>
        <w:pStyle w:val="Style44"/>
        <w:keepNext/>
        <w:keepLines/>
        <w:widowControl w:val="0"/>
        <w:shd w:val="clear" w:color="auto" w:fill="auto"/>
        <w:tabs>
          <w:tab w:pos="488" w:val="left"/>
        </w:tabs>
        <w:bidi w:val="0"/>
        <w:spacing w:before="0" w:after="26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10"/>
      <w:bookmarkEnd w:id="911"/>
      <w:bookmarkEnd w:id="913"/>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政府补助在满足政府补助所附条件并能够收到时确认。</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对于货币性资产的政府补助，按照收到或应收的金额计量。其中，对期末有确凿证据表明能够符合财政扶持政策规定的 相关条件且预计能够收到财政扶持资金时，按应收金额计量；否则，按照实际收到的金额计量。对于非货币性资产的政府补 助，按照公允价值计量；公允价值不能够可靠取得的，按照名义金额</w:t>
      </w:r>
      <w:r>
        <w:rPr>
          <w:color w:val="000000"/>
          <w:spacing w:val="0"/>
          <w:w w:val="100"/>
          <w:position w:val="0"/>
          <w:sz w:val="18"/>
          <w:szCs w:val="18"/>
        </w:rPr>
        <w:t>1</w:t>
      </w:r>
      <w:r>
        <w:rPr>
          <w:color w:val="000000"/>
          <w:spacing w:val="0"/>
          <w:w w:val="100"/>
          <w:position w:val="0"/>
        </w:rPr>
        <w:t>元计量。</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与资产相关的政府补助，是指本集团取得的、用于购建或以其他方式形成长期资产的政府补助；除此之外，作为与收益 相关的政府补助。</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30"/>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与资产相关的政府补助，确认为递延收益，并在相关资产使用期限内平均分配，计入当期损益。</w:t>
      </w:r>
    </w:p>
    <w:p>
      <w:pPr>
        <w:pStyle w:val="Style44"/>
        <w:keepNext/>
        <w:keepLines/>
        <w:widowControl w:val="0"/>
        <w:shd w:val="clear" w:color="auto" w:fill="auto"/>
        <w:tabs>
          <w:tab w:pos="488" w:val="left"/>
        </w:tabs>
        <w:bidi w:val="0"/>
        <w:spacing w:before="0" w:after="26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14"/>
      <w:bookmarkEnd w:id="915"/>
      <w:bookmarkEnd w:id="917"/>
    </w:p>
    <w:p>
      <w:pPr>
        <w:pStyle w:val="Style30"/>
        <w:keepNext w:val="0"/>
        <w:keepLines w:val="0"/>
        <w:widowControl w:val="0"/>
        <w:shd w:val="clear" w:color="auto" w:fill="auto"/>
        <w:bidi w:val="0"/>
        <w:spacing w:before="0" w:after="80" w:line="307" w:lineRule="exact"/>
        <w:ind w:left="0" w:right="0"/>
        <w:jc w:val="both"/>
      </w:pPr>
      <w:r>
        <w:rPr>
          <w:color w:val="000000"/>
          <w:spacing w:val="0"/>
          <w:w w:val="100"/>
          <w:position w:val="0"/>
        </w:rPr>
        <w:t>与收益相关的政府补助，如果用于补偿已发生的相关费用或损失，则计入当期损益；如果用于补偿以后期间的相关费用 或损失，则计入递延收益，于费用确认期间计入当期损益。按照名义金额计量的政府补助，直接计入当期损益。</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3"/>
        <w:keepNext/>
        <w:keepLines/>
        <w:widowControl w:val="0"/>
        <w:shd w:val="clear" w:color="auto" w:fill="auto"/>
        <w:tabs>
          <w:tab w:pos="478"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8"/>
      <w:bookmarkEnd w:id="919"/>
      <w:bookmarkEnd w:id="921"/>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与收益相关的政府补助，如果用于补偿已发生的相关费用或损失，则计入当期损益；如果用于补偿以后期间的相关费用 或损失，则计入递延收益，于费用确认期间计入当期损益。按照名义金额计量的政府补助，直接计入当期损益。</w:t>
      </w:r>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各项应纳税暂时性差异均确认相关的递延所得税负债，除非该应纳税暂时性差异是在以下交易中产生的：</w:t>
      </w:r>
    </w:p>
    <w:p>
      <w:pPr>
        <w:pStyle w:val="Style30"/>
        <w:keepNext w:val="0"/>
        <w:keepLines w:val="0"/>
        <w:widowControl w:val="0"/>
        <w:shd w:val="clear" w:color="auto" w:fill="auto"/>
        <w:tabs>
          <w:tab w:pos="891" w:val="left"/>
        </w:tabs>
        <w:bidi w:val="0"/>
        <w:spacing w:before="0" w:after="80" w:line="312" w:lineRule="exact"/>
        <w:ind w:left="0" w:right="0"/>
        <w:jc w:val="left"/>
      </w:pPr>
      <w:bookmarkStart w:id="922" w:name="bookmark922"/>
      <w:r>
        <w:rPr>
          <w:color w:val="000000"/>
          <w:spacing w:val="0"/>
          <w:w w:val="100"/>
          <w:position w:val="0"/>
        </w:rPr>
        <w:t>（</w:t>
      </w:r>
      <w:bookmarkEnd w:id="922"/>
      <w:r>
        <w:rPr>
          <w:color w:val="000000"/>
          <w:spacing w:val="0"/>
          <w:w w:val="100"/>
          <w:position w:val="0"/>
          <w:sz w:val="18"/>
          <w:szCs w:val="18"/>
        </w:rPr>
        <w:t>1</w:t>
      </w:r>
      <w:r>
        <w:rPr>
          <w:color w:val="000000"/>
          <w:spacing w:val="0"/>
          <w:w w:val="100"/>
          <w:position w:val="0"/>
        </w:rPr>
        <w:t>）</w:t>
        <w:tab/>
        <w:t>商誉的初始确认，或者具有以下特征的交易中产生的资产或负债的初始确认：该交易不是企业合并，并且交易发 生时既不影响会计利润也不影响应纳税所得额；</w:t>
      </w:r>
    </w:p>
    <w:p>
      <w:pPr>
        <w:pStyle w:val="Style30"/>
        <w:keepNext w:val="0"/>
        <w:keepLines w:val="0"/>
        <w:widowControl w:val="0"/>
        <w:shd w:val="clear" w:color="auto" w:fill="auto"/>
        <w:tabs>
          <w:tab w:pos="891" w:val="left"/>
        </w:tabs>
        <w:bidi w:val="0"/>
        <w:spacing w:before="0" w:after="80" w:line="326" w:lineRule="exact"/>
        <w:ind w:left="0" w:right="0"/>
        <w:jc w:val="left"/>
      </w:pPr>
      <w:bookmarkStart w:id="923" w:name="bookmark923"/>
      <w:r>
        <w:rPr>
          <w:color w:val="000000"/>
          <w:spacing w:val="0"/>
          <w:w w:val="100"/>
          <w:position w:val="0"/>
        </w:rPr>
        <w:t>（</w:t>
      </w:r>
      <w:bookmarkEnd w:id="923"/>
      <w:r>
        <w:rPr>
          <w:color w:val="000000"/>
          <w:spacing w:val="0"/>
          <w:w w:val="100"/>
          <w:position w:val="0"/>
          <w:sz w:val="18"/>
          <w:szCs w:val="18"/>
        </w:rPr>
        <w:t>2</w:t>
      </w:r>
      <w:r>
        <w:rPr>
          <w:color w:val="000000"/>
          <w:spacing w:val="0"/>
          <w:w w:val="100"/>
          <w:position w:val="0"/>
        </w:rPr>
        <w:t>）</w:t>
        <w:tab/>
        <w:t>对于与子公司、合营企业及联营企业投资相关的应纳税暂时性差异，该暂时性差异转回的时间能够控制并且该暂 时性差异在可预见的未来很可能不会转回。</w:t>
      </w:r>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对于可抵扣暂时性差异、能够结转以后年度的可抵扣亏损和税款抵减，本集团以很可能取得用来抵扣可抵扣暂时性差异、 可抵扣亏损和税款抵减的未来应纳税所得额为限，确认由此产生的递延所得税资产，除非该可抵扣暂时性差异是在以下交易 中产生的：</w:t>
      </w:r>
    </w:p>
    <w:p>
      <w:pPr>
        <w:pStyle w:val="Style30"/>
        <w:keepNext w:val="0"/>
        <w:keepLines w:val="0"/>
        <w:widowControl w:val="0"/>
        <w:shd w:val="clear" w:color="auto" w:fill="auto"/>
        <w:tabs>
          <w:tab w:pos="820" w:val="left"/>
        </w:tabs>
        <w:bidi w:val="0"/>
        <w:spacing w:before="0" w:after="80" w:line="312" w:lineRule="exact"/>
        <w:ind w:left="0" w:right="0"/>
        <w:jc w:val="left"/>
      </w:pPr>
      <w:bookmarkStart w:id="924" w:name="bookmark924"/>
      <w:r>
        <w:rPr>
          <w:color w:val="000000"/>
          <w:spacing w:val="0"/>
          <w:w w:val="100"/>
          <w:position w:val="0"/>
        </w:rPr>
        <w:t>（</w:t>
      </w:r>
      <w:bookmarkEnd w:id="924"/>
      <w:r>
        <w:rPr>
          <w:color w:val="000000"/>
          <w:spacing w:val="0"/>
          <w:w w:val="100"/>
          <w:position w:val="0"/>
          <w:sz w:val="18"/>
          <w:szCs w:val="18"/>
        </w:rPr>
        <w:t>1</w:t>
      </w:r>
      <w:r>
        <w:rPr>
          <w:color w:val="000000"/>
          <w:spacing w:val="0"/>
          <w:w w:val="100"/>
          <w:position w:val="0"/>
        </w:rPr>
        <w:t>）</w:t>
        <w:tab/>
        <w:t>该交易不是企业合并，并且交易发生时既不影响会计利润也不影响应纳税所得额；</w:t>
      </w:r>
    </w:p>
    <w:p>
      <w:pPr>
        <w:pStyle w:val="Style30"/>
        <w:keepNext w:val="0"/>
        <w:keepLines w:val="0"/>
        <w:widowControl w:val="0"/>
        <w:shd w:val="clear" w:color="auto" w:fill="auto"/>
        <w:tabs>
          <w:tab w:pos="901" w:val="left"/>
        </w:tabs>
        <w:bidi w:val="0"/>
        <w:spacing w:before="0" w:after="80" w:line="331" w:lineRule="exact"/>
        <w:ind w:left="0" w:right="0"/>
        <w:jc w:val="left"/>
      </w:pPr>
      <w:bookmarkStart w:id="925" w:name="bookmark925"/>
      <w:r>
        <w:rPr>
          <w:color w:val="000000"/>
          <w:spacing w:val="0"/>
          <w:w w:val="100"/>
          <w:position w:val="0"/>
        </w:rPr>
        <w:t>（</w:t>
      </w:r>
      <w:bookmarkEnd w:id="925"/>
      <w:r>
        <w:rPr>
          <w:color w:val="000000"/>
          <w:spacing w:val="0"/>
          <w:w w:val="100"/>
          <w:position w:val="0"/>
          <w:sz w:val="18"/>
          <w:szCs w:val="18"/>
        </w:rPr>
        <w:t>2</w:t>
      </w:r>
      <w:r>
        <w:rPr>
          <w:color w:val="000000"/>
          <w:spacing w:val="0"/>
          <w:w w:val="100"/>
          <w:position w:val="0"/>
        </w:rPr>
        <w:t>）</w:t>
        <w:tab/>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Style30"/>
        <w:keepNext w:val="0"/>
        <w:keepLines w:val="0"/>
        <w:widowControl w:val="0"/>
        <w:shd w:val="clear" w:color="auto" w:fill="auto"/>
        <w:bidi w:val="0"/>
        <w:spacing w:before="0" w:after="80" w:line="307" w:lineRule="exact"/>
        <w:ind w:left="0" w:right="0"/>
        <w:jc w:val="left"/>
      </w:pPr>
      <w:r>
        <w:rPr>
          <w:color w:val="000000"/>
          <w:spacing w:val="0"/>
          <w:w w:val="100"/>
          <w:position w:val="0"/>
        </w:rPr>
        <w:t>于资产负债表日，本集团对递延所得税资产和递延所得税负债，按照预期收回该资产或清偿该负债期间的适用税率计量, 并反映资产负债表日预期收回资产或清偿负债方式的所得税影响。</w:t>
      </w:r>
    </w:p>
    <w:p>
      <w:pPr>
        <w:pStyle w:val="Style30"/>
        <w:keepNext w:val="0"/>
        <w:keepLines w:val="0"/>
        <w:widowControl w:val="0"/>
        <w:shd w:val="clear" w:color="auto" w:fill="auto"/>
        <w:bidi w:val="0"/>
        <w:spacing w:before="0" w:after="360" w:line="314" w:lineRule="exact"/>
        <w:ind w:left="0" w:right="0"/>
        <w:jc w:val="left"/>
      </w:pPr>
      <w:r>
        <w:rPr>
          <w:color w:val="000000"/>
          <w:spacing w:val="0"/>
          <w:w w:val="100"/>
          <w:position w:val="0"/>
        </w:rPr>
        <w:t>于资产负债表日，本集团对递延所得税资产的账面价值进行复核。如果未来期间很可能无法获得足够的应纳税所得额用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33"/>
        <w:keepNext/>
        <w:keepLines/>
        <w:widowControl w:val="0"/>
        <w:shd w:val="clear" w:color="auto" w:fill="auto"/>
        <w:tabs>
          <w:tab w:pos="478" w:val="left"/>
        </w:tabs>
        <w:bidi w:val="0"/>
        <w:spacing w:before="0" w:after="36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26"/>
      <w:bookmarkEnd w:id="927"/>
      <w:bookmarkEnd w:id="929"/>
    </w:p>
    <w:p>
      <w:pPr>
        <w:pStyle w:val="Style44"/>
        <w:keepNext/>
        <w:keepLines/>
        <w:widowControl w:val="0"/>
        <w:shd w:val="clear" w:color="auto" w:fill="auto"/>
        <w:tabs>
          <w:tab w:pos="488" w:val="left"/>
        </w:tabs>
        <w:bidi w:val="0"/>
        <w:spacing w:before="0" w:after="2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30"/>
      <w:bookmarkEnd w:id="931"/>
      <w:bookmarkEnd w:id="933"/>
    </w:p>
    <w:p>
      <w:pPr>
        <w:pStyle w:val="Style30"/>
        <w:keepNext w:val="0"/>
        <w:keepLines w:val="0"/>
        <w:widowControl w:val="0"/>
        <w:shd w:val="clear" w:color="auto" w:fill="auto"/>
        <w:bidi w:val="0"/>
        <w:spacing w:before="0" w:after="80" w:line="317" w:lineRule="exact"/>
        <w:ind w:left="0" w:right="0"/>
        <w:jc w:val="both"/>
      </w:pPr>
      <w:r>
        <w:rPr>
          <w:color w:val="000000"/>
          <w:spacing w:val="0"/>
          <w:w w:val="100"/>
          <w:position w:val="0"/>
        </w:rPr>
        <w:t>本集团将实质上转移了与资产所有权有关的全部风险和报酬的租赁确认为融资租赁，除融资租赁之外的其他租赁确认为 经营租赁。</w:t>
      </w:r>
    </w:p>
    <w:p>
      <w:pPr>
        <w:pStyle w:val="Style30"/>
        <w:keepNext w:val="0"/>
        <w:keepLines w:val="0"/>
        <w:widowControl w:val="0"/>
        <w:shd w:val="clear" w:color="auto" w:fill="auto"/>
        <w:tabs>
          <w:tab w:pos="825" w:val="left"/>
        </w:tabs>
        <w:bidi w:val="0"/>
        <w:spacing w:before="0" w:after="80" w:line="312" w:lineRule="exact"/>
        <w:ind w:left="0" w:right="0"/>
        <w:jc w:val="both"/>
      </w:pPr>
      <w:bookmarkStart w:id="934" w:name="bookmark934"/>
      <w:r>
        <w:rPr>
          <w:color w:val="000000"/>
          <w:spacing w:val="0"/>
          <w:w w:val="100"/>
          <w:position w:val="0"/>
        </w:rPr>
        <w:t>（</w:t>
      </w:r>
      <w:bookmarkEnd w:id="934"/>
      <w:r>
        <w:rPr>
          <w:color w:val="000000"/>
          <w:spacing w:val="0"/>
          <w:w w:val="100"/>
          <w:position w:val="0"/>
          <w:sz w:val="18"/>
          <w:szCs w:val="18"/>
        </w:rPr>
        <w:t>1</w:t>
      </w:r>
      <w:r>
        <w:rPr>
          <w:color w:val="000000"/>
          <w:spacing w:val="0"/>
          <w:w w:val="100"/>
          <w:position w:val="0"/>
        </w:rPr>
        <w:t>）</w:t>
        <w:tab/>
        <w:t>本集团作为出租人</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经营租赁中的租金，本集团在租赁期内各个期间按照直线法确认当期损益。发生的初始直接费用，计入当期损益。</w:t>
      </w:r>
    </w:p>
    <w:p>
      <w:pPr>
        <w:pStyle w:val="Style30"/>
        <w:keepNext w:val="0"/>
        <w:keepLines w:val="0"/>
        <w:widowControl w:val="0"/>
        <w:shd w:val="clear" w:color="auto" w:fill="auto"/>
        <w:tabs>
          <w:tab w:pos="825" w:val="left"/>
        </w:tabs>
        <w:bidi w:val="0"/>
        <w:spacing w:before="0" w:after="80" w:line="312" w:lineRule="exact"/>
        <w:ind w:left="0" w:right="0"/>
        <w:jc w:val="both"/>
      </w:pPr>
      <w:bookmarkStart w:id="935" w:name="bookmark935"/>
      <w:r>
        <w:rPr>
          <w:color w:val="000000"/>
          <w:spacing w:val="0"/>
          <w:w w:val="100"/>
          <w:position w:val="0"/>
        </w:rPr>
        <w:t>（</w:t>
      </w:r>
      <w:bookmarkEnd w:id="935"/>
      <w:r>
        <w:rPr>
          <w:color w:val="000000"/>
          <w:spacing w:val="0"/>
          <w:w w:val="100"/>
          <w:position w:val="0"/>
          <w:sz w:val="18"/>
          <w:szCs w:val="18"/>
        </w:rPr>
        <w:t>2</w:t>
      </w:r>
      <w:r>
        <w:rPr>
          <w:color w:val="000000"/>
          <w:spacing w:val="0"/>
          <w:w w:val="100"/>
          <w:position w:val="0"/>
        </w:rPr>
        <w:t>）</w:t>
        <w:tab/>
        <w:t>本集团作为承租人</w:t>
      </w:r>
    </w:p>
    <w:p>
      <w:pPr>
        <w:pStyle w:val="Style30"/>
        <w:keepNext w:val="0"/>
        <w:keepLines w:val="0"/>
        <w:widowControl w:val="0"/>
        <w:shd w:val="clear" w:color="auto" w:fill="auto"/>
        <w:bidi w:val="0"/>
        <w:spacing w:before="0" w:after="360" w:line="317" w:lineRule="exact"/>
        <w:ind w:left="0" w:right="0"/>
        <w:jc w:val="both"/>
      </w:pPr>
      <w:r>
        <w:rPr>
          <w:color w:val="000000"/>
          <w:spacing w:val="0"/>
          <w:w w:val="100"/>
          <w:position w:val="0"/>
        </w:rPr>
        <w:t>经营租赁中的租金，本集团在租赁期内各个期间按照直线法计入相关资产成本或当期损益；发生的初始直接费用，计入 当期损益。</w:t>
      </w:r>
    </w:p>
    <w:p>
      <w:pPr>
        <w:pStyle w:val="Style44"/>
        <w:keepNext/>
        <w:keepLines/>
        <w:widowControl w:val="0"/>
        <w:shd w:val="clear" w:color="auto" w:fill="auto"/>
        <w:tabs>
          <w:tab w:pos="488" w:val="left"/>
        </w:tabs>
        <w:bidi w:val="0"/>
        <w:spacing w:before="0" w:after="28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36"/>
      <w:bookmarkEnd w:id="937"/>
      <w:bookmarkEnd w:id="939"/>
    </w:p>
    <w:p>
      <w:pPr>
        <w:pStyle w:val="Style30"/>
        <w:keepNext w:val="0"/>
        <w:keepLines w:val="0"/>
        <w:widowControl w:val="0"/>
        <w:shd w:val="clear" w:color="auto" w:fill="auto"/>
        <w:bidi w:val="0"/>
        <w:spacing w:before="0" w:after="80" w:line="310" w:lineRule="exact"/>
        <w:ind w:left="0" w:right="0"/>
        <w:jc w:val="both"/>
      </w:pPr>
      <w:r>
        <w:rPr>
          <w:color w:val="000000"/>
          <w:spacing w:val="0"/>
          <w:w w:val="100"/>
          <w:position w:val="0"/>
        </w:rPr>
        <w:t>融资租赁中，在租赁开始日本集团按最低租赁收款额与初始直接费用之和作为应收融资租赁款的入账价值，同时记录未 担保余值；将最低租赁收款额、初始直接费用及未担保余值之和与其现值之和的差额确认为未实现融资收益。未实现融资收 益在租赁期内各个期间采用实际利率法计算确认当期的融资收入。</w:t>
      </w:r>
    </w:p>
    <w:p>
      <w:pPr>
        <w:pStyle w:val="Style33"/>
        <w:keepNext/>
        <w:keepLines/>
        <w:widowControl w:val="0"/>
        <w:shd w:val="clear" w:color="auto" w:fill="auto"/>
        <w:tabs>
          <w:tab w:pos="478"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40"/>
      <w:bookmarkEnd w:id="941"/>
      <w:bookmarkEnd w:id="943"/>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本集团根据历史经验和其它因素，包括对未来事项的合理预期，对所采用的重要会计估计和关键假设进行持续的评价。</w:t>
      </w:r>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很可能导致下一会计年度资产和负债的账面价值出现重大调整风险的重要会计估计和关键假设列示如下：</w:t>
      </w:r>
    </w:p>
    <w:p>
      <w:pPr>
        <w:pStyle w:val="Style30"/>
        <w:keepNext w:val="0"/>
        <w:keepLines w:val="0"/>
        <w:widowControl w:val="0"/>
        <w:shd w:val="clear" w:color="auto" w:fill="auto"/>
        <w:bidi w:val="0"/>
        <w:spacing w:before="0" w:after="80" w:line="312" w:lineRule="exact"/>
        <w:ind w:left="0" w:right="0"/>
        <w:jc w:val="left"/>
      </w:pPr>
      <w:r>
        <w:rPr>
          <w:color w:val="000000"/>
          <w:spacing w:val="0"/>
          <w:w w:val="100"/>
          <w:position w:val="0"/>
        </w:rPr>
        <w:t>开发支出</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确定资本化的金额时，管理层必须做出有关资产的预期未来现金的产生、应采用的折现率以及预计受益期间的假设。</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递延所得税资产</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33"/>
        <w:keepNext/>
        <w:keepLines/>
        <w:widowControl w:val="0"/>
        <w:shd w:val="clear" w:color="auto" w:fill="auto"/>
        <w:tabs>
          <w:tab w:pos="478" w:val="left"/>
        </w:tabs>
        <w:bidi w:val="0"/>
        <w:spacing w:before="0" w:after="36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44"/>
      <w:bookmarkEnd w:id="945"/>
      <w:bookmarkEnd w:id="947"/>
    </w:p>
    <w:p>
      <w:pPr>
        <w:pStyle w:val="Style44"/>
        <w:keepNext/>
        <w:keepLines/>
        <w:widowControl w:val="0"/>
        <w:shd w:val="clear" w:color="auto" w:fill="auto"/>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8"/>
      <w:bookmarkEnd w:id="949"/>
      <w:bookmarkEnd w:id="951"/>
    </w:p>
    <w:p>
      <w:pPr>
        <w:pStyle w:val="Style30"/>
        <w:keepNext w:val="0"/>
        <w:keepLines w:val="0"/>
        <w:widowControl w:val="0"/>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备注</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根据《增值税会计处理规定》（财会</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2016</w:t>
            </w:r>
            <w:r>
              <w:rPr>
                <w:rFonts w:ascii="SimSun" w:eastAsia="SimSun" w:hAnsi="SimSun" w:cs="SimSun"/>
                <w:color w:val="000000"/>
                <w:spacing w:val="0"/>
                <w:w w:val="100"/>
                <w:position w:val="0"/>
              </w:rPr>
              <w:t xml:space="preserve">〕 </w:t>
            </w:r>
            <w:r>
              <w:rPr>
                <w:color w:val="000000"/>
                <w:spacing w:val="0"/>
                <w:w w:val="100"/>
                <w:position w:val="0"/>
              </w:rPr>
              <w:t>22</w:t>
            </w:r>
            <w:r>
              <w:rPr>
                <w:rFonts w:ascii="SimSun" w:eastAsia="SimSun" w:hAnsi="SimSun" w:cs="SimSun"/>
                <w:color w:val="000000"/>
                <w:spacing w:val="0"/>
                <w:w w:val="100"/>
                <w:position w:val="0"/>
              </w:rPr>
              <w:t>号）的规定，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 xml:space="preserve">1 </w:t>
            </w:r>
            <w:r>
              <w:rPr>
                <w:rFonts w:ascii="SimSun" w:eastAsia="SimSun" w:hAnsi="SimSun" w:cs="SimSun"/>
                <w:color w:val="000000"/>
                <w:spacing w:val="0"/>
                <w:w w:val="100"/>
                <w:position w:val="0"/>
              </w:rPr>
              <w:t>日之后发生的与增值税相关交易，影响 资产、负债等金额的，按该规定调整。 利润表中的</w:t>
            </w:r>
            <w:r>
              <w:rPr>
                <w:color w:val="000000"/>
                <w:spacing w:val="0"/>
                <w:w w:val="100"/>
                <w:position w:val="0"/>
              </w:rPr>
              <w:t>“</w:t>
            </w:r>
            <w:r>
              <w:rPr>
                <w:rFonts w:ascii="SimSun" w:eastAsia="SimSun" w:hAnsi="SimSun" w:cs="SimSun"/>
                <w:color w:val="000000"/>
                <w:spacing w:val="0"/>
                <w:w w:val="100"/>
                <w:position w:val="0"/>
              </w:rPr>
              <w:t>营业税金及附加</w:t>
            </w:r>
            <w:r>
              <w:rPr>
                <w:color w:val="000000"/>
                <w:spacing w:val="0"/>
                <w:w w:val="100"/>
                <w:position w:val="0"/>
              </w:rPr>
              <w:t>”</w:t>
            </w:r>
            <w:r>
              <w:rPr>
                <w:rFonts w:ascii="SimSun" w:eastAsia="SimSun" w:hAnsi="SimSun" w:cs="SimSun"/>
                <w:color w:val="000000"/>
                <w:spacing w:val="0"/>
                <w:w w:val="100"/>
                <w:position w:val="0"/>
              </w:rPr>
              <w:t>项目调整 为</w:t>
            </w:r>
            <w:r>
              <w:rPr>
                <w:color w:val="000000"/>
                <w:spacing w:val="0"/>
                <w:w w:val="100"/>
                <w:position w:val="0"/>
              </w:rPr>
              <w:t>“</w:t>
            </w:r>
            <w:r>
              <w:rPr>
                <w:rFonts w:ascii="SimSun" w:eastAsia="SimSun" w:hAnsi="SimSun" w:cs="SimSun"/>
                <w:color w:val="000000"/>
                <w:spacing w:val="0"/>
                <w:w w:val="100"/>
                <w:position w:val="0"/>
              </w:rPr>
              <w:t>税金及附加</w:t>
            </w:r>
            <w:r>
              <w:rPr>
                <w:color w:val="000000"/>
                <w:spacing w:val="0"/>
                <w:w w:val="100"/>
                <w:position w:val="0"/>
              </w:rPr>
              <w:t>”</w:t>
            </w:r>
            <w:r>
              <w:rPr>
                <w:rFonts w:ascii="SimSun" w:eastAsia="SimSun" w:hAnsi="SimSun" w:cs="SimSun"/>
                <w:color w:val="000000"/>
                <w:spacing w:val="0"/>
                <w:w w:val="100"/>
                <w:position w:val="0"/>
              </w:rPr>
              <w:t>项目，房产税、土地使用 税、车船使用税、印花税等原计入管理 费用的相关税费，自</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 调整计入</w:t>
            </w:r>
            <w:r>
              <w:rPr>
                <w:color w:val="000000"/>
                <w:spacing w:val="0"/>
                <w:w w:val="100"/>
                <w:position w:val="0"/>
              </w:rPr>
              <w:t>“</w:t>
            </w:r>
            <w:r>
              <w:rPr>
                <w:rFonts w:ascii="SimSun" w:eastAsia="SimSun" w:hAnsi="SimSun" w:cs="SimSun"/>
                <w:color w:val="000000"/>
                <w:spacing w:val="0"/>
                <w:w w:val="100"/>
                <w:position w:val="0"/>
              </w:rPr>
              <w:t>税金及附加</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日召开第四届董 事会第三次会议审议通过。公司独立董 事对该事项发表了独立意见，监事会发 表了审核意见。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7190" w:right="0" w:firstLine="0"/>
        <w:jc w:val="lef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2827"/>
        <w:gridCol w:w="3984"/>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受影响的报表项目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影响金额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3,404,503.85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管理费用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-3,404,503.85</w:t>
            </w:r>
          </w:p>
        </w:tc>
      </w:tr>
    </w:tbl>
    <w:p>
      <w:pPr>
        <w:widowControl w:val="0"/>
        <w:spacing w:after="279" w:line="1" w:lineRule="exact"/>
      </w:pPr>
    </w:p>
    <w:p>
      <w:pPr>
        <w:pStyle w:val="Style44"/>
        <w:keepNext/>
        <w:keepLines/>
        <w:widowControl w:val="0"/>
        <w:shd w:val="clear" w:color="auto" w:fill="auto"/>
        <w:bidi w:val="0"/>
        <w:spacing w:before="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52"/>
      <w:bookmarkEnd w:id="953"/>
      <w:bookmarkEnd w:id="95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956"/>
      <w:bookmarkEnd w:id="957"/>
      <w:bookmarkEnd w:id="959"/>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r>
        <w:br w:type="page"/>
      </w:r>
    </w:p>
    <w:p>
      <w:pPr>
        <w:pStyle w:val="Style26"/>
        <w:keepNext/>
        <w:keepLines/>
        <w:widowControl w:val="0"/>
        <w:shd w:val="clear" w:color="auto" w:fill="auto"/>
        <w:bidi w:val="0"/>
        <w:spacing w:before="0" w:after="32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sz w:val="24"/>
          <w:szCs w:val="24"/>
        </w:rPr>
        <w:t>六</w:t>
      </w:r>
      <w:bookmarkEnd w:id="962"/>
      <w:r>
        <w:rPr>
          <w:color w:val="000000"/>
          <w:spacing w:val="0"/>
          <w:w w:val="100"/>
          <w:position w:val="0"/>
          <w:sz w:val="24"/>
          <w:szCs w:val="24"/>
        </w:rPr>
        <w:t>、税项</w:t>
      </w:r>
      <w:bookmarkEnd w:id="960"/>
      <w:bookmarkEnd w:id="961"/>
      <w:bookmarkEnd w:id="963"/>
    </w:p>
    <w:p>
      <w:pPr>
        <w:pStyle w:val="Style33"/>
        <w:keepNext/>
        <w:keepLines/>
        <w:widowControl w:val="0"/>
        <w:shd w:val="clear" w:color="auto" w:fill="auto"/>
        <w:bidi w:val="0"/>
        <w:spacing w:before="0" w:after="32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color w:val="000000"/>
          <w:spacing w:val="0"/>
          <w:w w:val="100"/>
          <w:position w:val="0"/>
        </w:rPr>
        <w:t>、主要税种及税率</w:t>
      </w:r>
      <w:bookmarkEnd w:id="964"/>
      <w:bookmarkEnd w:id="965"/>
      <w:bookmarkEnd w:id="967"/>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 xml:space="preserve">、 </w:t>
            </w:r>
            <w:r>
              <w:rPr>
                <w:color w:val="000000"/>
                <w:spacing w:val="0"/>
                <w:w w:val="100"/>
                <w:position w:val="0"/>
              </w:rPr>
              <w:t>11</w:t>
            </w:r>
            <w:r>
              <w:rPr>
                <w:rFonts w:ascii="SimSun" w:eastAsia="SimSun" w:hAnsi="SimSun" w:cs="SimSun"/>
                <w:color w:val="000000"/>
                <w:spacing w:val="0"/>
                <w:w w:val="100"/>
                <w:position w:val="0"/>
              </w:rPr>
              <w:t xml:space="preserve">、 </w:t>
            </w:r>
            <w:r>
              <w:rPr>
                <w:color w:val="000000"/>
                <w:spacing w:val="0"/>
                <w:w w:val="100"/>
                <w:position w:val="0"/>
              </w:rPr>
              <w:t>6</w:t>
            </w:r>
            <w:r>
              <w:rPr>
                <w:rFonts w:ascii="SimSun" w:eastAsia="SimSun" w:hAnsi="SimSun" w:cs="SimSun"/>
                <w:color w:val="000000"/>
                <w:spacing w:val="0"/>
                <w:w w:val="100"/>
                <w:position w:val="0"/>
              </w:rPr>
              <w:t xml:space="preserve">、 </w:t>
            </w: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w:t>
            </w:r>
            <w:r>
              <w:rPr>
                <w:color w:val="000000"/>
                <w:spacing w:val="0"/>
                <w:w w:val="100"/>
                <w:position w:val="0"/>
              </w:rPr>
              <w:t>0%</w:t>
            </w:r>
            <w:r>
              <w:rPr>
                <w:rFonts w:ascii="SimSun" w:eastAsia="SimSun" w:hAnsi="SimSun" w:cs="SimSun"/>
                <w:color w:val="000000"/>
                <w:spacing w:val="0"/>
                <w:w w:val="100"/>
                <w:position w:val="0"/>
              </w:rPr>
              <w:t>、</w:t>
            </w:r>
            <w:r>
              <w:rPr>
                <w:color w:val="000000"/>
                <w:spacing w:val="0"/>
                <w:w w:val="100"/>
                <w:position w:val="0"/>
              </w:rPr>
              <w:t>12.5%</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16.5%</w:t>
            </w:r>
            <w:r>
              <w:rPr>
                <w:rFonts w:ascii="SimSun" w:eastAsia="SimSun" w:hAnsi="SimSun" w:cs="SimSun"/>
                <w:color w:val="000000"/>
                <w:spacing w:val="0"/>
                <w:w w:val="100"/>
                <w:position w:val="0"/>
              </w:rPr>
              <w:t>、</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福建榕基软件股份有限公司（以下简称榕基软件公司）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上海榕基软件开发有限公司（以下简称上海榕基公司）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福州创华电气自动化系统有限公司（以下简称福州创华公司）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浙江榕基信息技术有限公司（以下简称浙江榕基公司）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榕基五一（北京）信息技术有限公司（以下简称榕基五一公 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福建榕基软件工程有限公司（以下简称榕基软件工程公司）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河南榕基信息技术有限公司（以下简称河南榕基公司）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北京中榕基信息技术有限公司（以下简称北京中榕基公司）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马鞍山榕基软件信息科技有限公司（以下简称马鞍山软件信 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福建榕基投资有限公司（以下简称榕基投资公司）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马鞍山榕基置业投资有限公司（以下简称榕基置业公司）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信阳榕基信息技术有限公司（以下简称信阳榕基公司）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榕基国际控股有限公司（以下简称榕基国际公司）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河南豫础置业有限公司（以下简称豫础置业公司）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沈阳榕基信息技术有限公司（以下简称沈阳榕基公司）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河南裕信德置业有限公司（以下简称裕信德公司）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浙江检榕网络科技有限公司（以下简称浙江检榕公司）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福建榕易付网络科技有限公司（以下简称福建榕易付公司）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福建星榕基信息科技有限责任公司（以下简称福建星榕基公 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榕基国计（北京）信息技术有限公司（以下简称榕基国计公 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pStyle w:val="Style33"/>
        <w:keepNext/>
        <w:keepLines/>
        <w:widowControl w:val="0"/>
        <w:shd w:val="clear" w:color="auto" w:fill="auto"/>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color w:val="000000"/>
          <w:spacing w:val="0"/>
          <w:w w:val="100"/>
          <w:position w:val="0"/>
        </w:rPr>
        <w:t>、税收优惠</w:t>
      </w:r>
      <w:bookmarkEnd w:id="968"/>
      <w:bookmarkEnd w:id="969"/>
      <w:bookmarkEnd w:id="971"/>
    </w:p>
    <w:p>
      <w:pPr>
        <w:pStyle w:val="Style30"/>
        <w:keepNext w:val="0"/>
        <w:keepLines w:val="0"/>
        <w:widowControl w:val="0"/>
        <w:shd w:val="clear" w:color="auto" w:fill="auto"/>
        <w:tabs>
          <w:tab w:pos="780" w:val="left"/>
        </w:tabs>
        <w:bidi w:val="0"/>
        <w:spacing w:before="0" w:after="80" w:line="312" w:lineRule="exact"/>
        <w:ind w:left="0" w:right="0"/>
        <w:jc w:val="both"/>
      </w:pPr>
      <w:bookmarkStart w:id="972" w:name="bookmark972"/>
      <w:r>
        <w:rPr>
          <w:color w:val="000000"/>
          <w:spacing w:val="0"/>
          <w:w w:val="100"/>
          <w:position w:val="0"/>
        </w:rPr>
        <w:t>（</w:t>
      </w:r>
      <w:bookmarkEnd w:id="972"/>
      <w:r>
        <w:rPr>
          <w:color w:val="000000"/>
          <w:spacing w:val="0"/>
          <w:w w:val="100"/>
          <w:position w:val="0"/>
          <w:sz w:val="18"/>
          <w:szCs w:val="18"/>
        </w:rPr>
        <w:t>1</w:t>
      </w:r>
      <w:r>
        <w:rPr>
          <w:color w:val="000000"/>
          <w:spacing w:val="0"/>
          <w:w w:val="100"/>
          <w:position w:val="0"/>
        </w:rPr>
        <w:t>）</w:t>
        <w:tab/>
        <w:t>增值税</w:t>
      </w:r>
    </w:p>
    <w:p>
      <w:pPr>
        <w:pStyle w:val="Style30"/>
        <w:keepNext w:val="0"/>
        <w:keepLines w:val="0"/>
        <w:widowControl w:val="0"/>
        <w:shd w:val="clear" w:color="auto" w:fill="auto"/>
        <w:bidi w:val="0"/>
        <w:spacing w:before="0" w:after="80" w:line="307" w:lineRule="exact"/>
        <w:ind w:left="0" w:right="0"/>
        <w:jc w:val="both"/>
      </w:pPr>
      <w:r>
        <w:rPr>
          <w:color w:val="000000"/>
          <w:spacing w:val="0"/>
          <w:w w:val="100"/>
          <w:position w:val="0"/>
        </w:rPr>
        <w:t>根据《财政部、国家税务总局关于软件产品增值税政策的通知》（财税</w:t>
      </w:r>
      <w:r>
        <w:rPr>
          <w:color w:val="000000"/>
          <w:spacing w:val="0"/>
          <w:w w:val="100"/>
          <w:position w:val="0"/>
          <w:sz w:val="18"/>
          <w:szCs w:val="18"/>
        </w:rPr>
        <w:t xml:space="preserve">[2011] </w:t>
      </w:r>
      <w:r>
        <w:rPr>
          <w:color w:val="000000"/>
          <w:spacing w:val="0"/>
          <w:w w:val="100"/>
          <w:position w:val="0"/>
          <w:sz w:val="18"/>
          <w:szCs w:val="18"/>
        </w:rPr>
        <w:t>100</w:t>
      </w:r>
      <w:r>
        <w:rPr>
          <w:color w:val="000000"/>
          <w:spacing w:val="0"/>
          <w:w w:val="100"/>
          <w:position w:val="0"/>
        </w:rPr>
        <w:t>号），增值税一般纳税人销售其自 行开发生产的软件产品，按</w:t>
      </w:r>
      <w:r>
        <w:rPr>
          <w:color w:val="000000"/>
          <w:spacing w:val="0"/>
          <w:w w:val="100"/>
          <w:position w:val="0"/>
          <w:sz w:val="18"/>
          <w:szCs w:val="18"/>
        </w:rPr>
        <w:t>17%</w:t>
      </w:r>
      <w:r>
        <w:rPr>
          <w:color w:val="000000"/>
          <w:spacing w:val="0"/>
          <w:w w:val="100"/>
          <w:position w:val="0"/>
        </w:rPr>
        <w:t>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30"/>
        <w:keepNext w:val="0"/>
        <w:keepLines w:val="0"/>
        <w:widowControl w:val="0"/>
        <w:shd w:val="clear" w:color="auto" w:fill="auto"/>
        <w:tabs>
          <w:tab w:pos="780" w:val="left"/>
        </w:tabs>
        <w:bidi w:val="0"/>
        <w:spacing w:before="0" w:after="80" w:line="312" w:lineRule="exact"/>
        <w:ind w:left="0" w:right="0"/>
        <w:jc w:val="both"/>
      </w:pPr>
      <w:bookmarkStart w:id="973" w:name="bookmark973"/>
      <w:r>
        <w:rPr>
          <w:color w:val="000000"/>
          <w:spacing w:val="0"/>
          <w:w w:val="100"/>
          <w:position w:val="0"/>
        </w:rPr>
        <w:t>（</w:t>
      </w:r>
      <w:bookmarkEnd w:id="973"/>
      <w:r>
        <w:rPr>
          <w:color w:val="000000"/>
          <w:spacing w:val="0"/>
          <w:w w:val="100"/>
          <w:position w:val="0"/>
          <w:sz w:val="18"/>
          <w:szCs w:val="18"/>
        </w:rPr>
        <w:t>2</w:t>
      </w:r>
      <w:r>
        <w:rPr>
          <w:color w:val="000000"/>
          <w:spacing w:val="0"/>
          <w:w w:val="100"/>
          <w:position w:val="0"/>
        </w:rPr>
        <w:t>）</w:t>
        <w:tab/>
        <w:t>企业所得税</w:t>
      </w:r>
    </w:p>
    <w:p>
      <w:pPr>
        <w:pStyle w:val="Style30"/>
        <w:keepNext w:val="0"/>
        <w:keepLines w:val="0"/>
        <w:widowControl w:val="0"/>
        <w:numPr>
          <w:ilvl w:val="0"/>
          <w:numId w:val="37"/>
        </w:numPr>
        <w:shd w:val="clear" w:color="auto" w:fill="auto"/>
        <w:tabs>
          <w:tab w:pos="708" w:val="left"/>
        </w:tabs>
        <w:bidi w:val="0"/>
        <w:spacing w:before="0" w:after="80" w:line="312" w:lineRule="exact"/>
        <w:ind w:left="0" w:right="0"/>
        <w:jc w:val="both"/>
      </w:pPr>
      <w:bookmarkStart w:id="974" w:name="bookmark974"/>
      <w:bookmarkEnd w:id="974"/>
      <w:r>
        <w:rPr>
          <w:color w:val="000000"/>
          <w:spacing w:val="0"/>
          <w:w w:val="100"/>
          <w:position w:val="0"/>
        </w:rPr>
        <w:t>高新技术企业所得税优惠</w:t>
      </w:r>
    </w:p>
    <w:p>
      <w:pPr>
        <w:pStyle w:val="Style30"/>
        <w:keepNext w:val="0"/>
        <w:keepLines w:val="0"/>
        <w:widowControl w:val="0"/>
        <w:shd w:val="clear" w:color="auto" w:fill="auto"/>
        <w:bidi w:val="0"/>
        <w:spacing w:before="0" w:after="80" w:line="322" w:lineRule="exact"/>
        <w:ind w:left="0" w:right="0"/>
        <w:jc w:val="both"/>
      </w:pPr>
      <w:r>
        <w:rPr>
          <w:color w:val="000000"/>
          <w:spacing w:val="0"/>
          <w:w w:val="100"/>
          <w:position w:val="0"/>
        </w:rPr>
        <w:t>根据《中华人民共和国企业所得税法》（主席令第</w:t>
      </w:r>
      <w:r>
        <w:rPr>
          <w:color w:val="000000"/>
          <w:spacing w:val="0"/>
          <w:w w:val="100"/>
          <w:position w:val="0"/>
          <w:sz w:val="18"/>
          <w:szCs w:val="18"/>
        </w:rPr>
        <w:t>63</w:t>
      </w:r>
      <w:r>
        <w:rPr>
          <w:color w:val="000000"/>
          <w:spacing w:val="0"/>
          <w:w w:val="100"/>
          <w:position w:val="0"/>
        </w:rPr>
        <w:t>号），科技部、财政部、国家税务总局下发的《高新技术企业认定 管理办法（</w:t>
      </w:r>
      <w:r>
        <w:rPr>
          <w:color w:val="000000"/>
          <w:spacing w:val="0"/>
          <w:w w:val="100"/>
          <w:position w:val="0"/>
          <w:sz w:val="18"/>
          <w:szCs w:val="18"/>
        </w:rPr>
        <w:t>2016</w:t>
      </w:r>
      <w:r>
        <w:rPr>
          <w:color w:val="000000"/>
          <w:spacing w:val="0"/>
          <w:w w:val="100"/>
          <w:position w:val="0"/>
        </w:rPr>
        <w:t>修订）》（国科发</w:t>
      </w:r>
      <w:r>
        <w:rPr>
          <w:color w:val="000000"/>
          <w:spacing w:val="0"/>
          <w:w w:val="100"/>
          <w:position w:val="0"/>
          <w:sz w:val="18"/>
          <w:szCs w:val="18"/>
        </w:rPr>
        <w:t xml:space="preserve">[2016] </w:t>
      </w:r>
      <w:r>
        <w:rPr>
          <w:color w:val="000000"/>
          <w:spacing w:val="0"/>
          <w:w w:val="100"/>
          <w:position w:val="0"/>
          <w:sz w:val="18"/>
          <w:szCs w:val="18"/>
        </w:rPr>
        <w:t>32</w:t>
      </w:r>
      <w:r>
        <w:rPr>
          <w:color w:val="000000"/>
          <w:spacing w:val="0"/>
          <w:w w:val="100"/>
          <w:position w:val="0"/>
        </w:rPr>
        <w:t>号）的规定，国家需要重点扶持的高新技术企业，减按</w:t>
      </w:r>
      <w:r>
        <w:rPr>
          <w:color w:val="000000"/>
          <w:spacing w:val="0"/>
          <w:w w:val="100"/>
          <w:position w:val="0"/>
          <w:sz w:val="18"/>
          <w:szCs w:val="18"/>
        </w:rPr>
        <w:t>15%</w:t>
      </w:r>
      <w:r>
        <w:rPr>
          <w:color w:val="000000"/>
          <w:spacing w:val="0"/>
          <w:w w:val="100"/>
          <w:position w:val="0"/>
        </w:rPr>
        <w:t>的税率征收企业所 得税。</w:t>
      </w:r>
    </w:p>
    <w:p>
      <w:pPr>
        <w:pStyle w:val="Style30"/>
        <w:keepNext w:val="0"/>
        <w:keepLines w:val="0"/>
        <w:widowControl w:val="0"/>
        <w:shd w:val="clear" w:color="auto" w:fill="auto"/>
        <w:bidi w:val="0"/>
        <w:spacing w:before="0" w:after="80" w:line="317"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日，榕基软件公司取得由福建省科学技术厅、福建省财政厅、福建省国家税务局、福建省地方税务局颁发 的《高新技术企业证书》，证书编号</w:t>
      </w:r>
      <w:r>
        <w:rPr>
          <w:color w:val="000000"/>
          <w:spacing w:val="0"/>
          <w:w w:val="100"/>
          <w:position w:val="0"/>
          <w:sz w:val="18"/>
          <w:szCs w:val="18"/>
        </w:rPr>
        <w:t>GR201435000128</w:t>
      </w:r>
      <w:r>
        <w:rPr>
          <w:color w:val="000000"/>
          <w:spacing w:val="0"/>
          <w:w w:val="100"/>
          <w:position w:val="0"/>
        </w:rPr>
        <w:t>，该证书的有效期从</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w:t>
      </w:r>
    </w:p>
    <w:p>
      <w:pPr>
        <w:pStyle w:val="Style30"/>
        <w:keepNext w:val="0"/>
        <w:keepLines w:val="0"/>
        <w:widowControl w:val="0"/>
        <w:shd w:val="clear" w:color="auto" w:fill="auto"/>
        <w:bidi w:val="0"/>
        <w:spacing w:before="0" w:after="80" w:line="317"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日，浙江榕基公司取得由浙江省科学技术厅、浙江省财政厅、浙江省国家税务局、浙江省地方税务局颁发 的《高新技术企业证书》，证书编号</w:t>
      </w:r>
      <w:r>
        <w:rPr>
          <w:color w:val="000000"/>
          <w:spacing w:val="0"/>
          <w:w w:val="100"/>
          <w:position w:val="0"/>
          <w:sz w:val="18"/>
          <w:szCs w:val="18"/>
        </w:rPr>
        <w:t>GR201433000349</w:t>
      </w:r>
      <w:r>
        <w:rPr>
          <w:color w:val="000000"/>
          <w:spacing w:val="0"/>
          <w:w w:val="100"/>
          <w:position w:val="0"/>
        </w:rPr>
        <w:t>，该证书的有效期从</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w:t>
      </w:r>
    </w:p>
    <w:p>
      <w:pPr>
        <w:pStyle w:val="Style30"/>
        <w:keepNext w:val="0"/>
        <w:keepLines w:val="0"/>
        <w:widowControl w:val="0"/>
        <w:shd w:val="clear" w:color="auto" w:fill="auto"/>
        <w:bidi w:val="0"/>
        <w:spacing w:before="0" w:after="80" w:line="317"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日，榕基软件工程公司取得由福建省科学技术厅、福建省财政厅、福建省国家税务局、福建省地方税务局 颁发的《高新技术企业证书》，证书编号</w:t>
      </w:r>
      <w:r>
        <w:rPr>
          <w:color w:val="000000"/>
          <w:spacing w:val="0"/>
          <w:w w:val="100"/>
          <w:position w:val="0"/>
          <w:sz w:val="18"/>
          <w:szCs w:val="18"/>
        </w:rPr>
        <w:t>GR201535000144</w:t>
      </w:r>
      <w:r>
        <w:rPr>
          <w:color w:val="000000"/>
          <w:spacing w:val="0"/>
          <w:w w:val="100"/>
          <w:position w:val="0"/>
        </w:rPr>
        <w:t>，该证书的有效期从</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w:t>
      </w:r>
    </w:p>
    <w:p>
      <w:pPr>
        <w:pStyle w:val="Style30"/>
        <w:keepNext w:val="0"/>
        <w:keepLines w:val="0"/>
        <w:widowControl w:val="0"/>
        <w:numPr>
          <w:ilvl w:val="0"/>
          <w:numId w:val="37"/>
        </w:numPr>
        <w:shd w:val="clear" w:color="auto" w:fill="auto"/>
        <w:tabs>
          <w:tab w:pos="708" w:val="left"/>
        </w:tabs>
        <w:bidi w:val="0"/>
        <w:spacing w:before="0" w:after="80" w:line="312" w:lineRule="exact"/>
        <w:ind w:left="0" w:right="0"/>
        <w:jc w:val="both"/>
      </w:pPr>
      <w:bookmarkStart w:id="975" w:name="bookmark975"/>
      <w:bookmarkEnd w:id="975"/>
      <w:r>
        <w:rPr>
          <w:color w:val="000000"/>
          <w:spacing w:val="0"/>
          <w:w w:val="100"/>
          <w:position w:val="0"/>
        </w:rPr>
        <w:t>重点软件企业所得税优惠</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根据《关于进一步鼓励软件产业和集成电路产业发展企业所得税政策的通知》（财税</w:t>
      </w:r>
      <w:r>
        <w:rPr>
          <w:color w:val="000000"/>
          <w:spacing w:val="0"/>
          <w:w w:val="100"/>
          <w:position w:val="0"/>
          <w:sz w:val="18"/>
          <w:szCs w:val="18"/>
        </w:rPr>
        <w:t xml:space="preserve">[2012] </w:t>
      </w:r>
      <w:r>
        <w:rPr>
          <w:color w:val="000000"/>
          <w:spacing w:val="0"/>
          <w:w w:val="100"/>
          <w:position w:val="0"/>
          <w:sz w:val="18"/>
          <w:szCs w:val="18"/>
        </w:rPr>
        <w:t>27</w:t>
      </w:r>
      <w:r>
        <w:rPr>
          <w:color w:val="000000"/>
          <w:spacing w:val="0"/>
          <w:w w:val="100"/>
          <w:position w:val="0"/>
        </w:rPr>
        <w:t>号）的有关规定，国家 规划布局内的重点软件企业，如当年未享受免税优惠的，可减按</w:t>
      </w:r>
      <w:r>
        <w:rPr>
          <w:color w:val="000000"/>
          <w:spacing w:val="0"/>
          <w:w w:val="100"/>
          <w:position w:val="0"/>
          <w:sz w:val="18"/>
          <w:szCs w:val="18"/>
        </w:rPr>
        <w:t>10.00%</w:t>
      </w:r>
      <w:r>
        <w:rPr>
          <w:color w:val="000000"/>
          <w:spacing w:val="0"/>
          <w:w w:val="100"/>
          <w:position w:val="0"/>
        </w:rPr>
        <w:t>的税率征收企业所得税。</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根据《财政部、国家税务总局、发展改革委、工业化信息部关于软件和集成电路产业企业所得税优惠政策有关问题的通 知》（财税</w:t>
      </w:r>
      <w:r>
        <w:rPr>
          <w:color w:val="000000"/>
          <w:spacing w:val="0"/>
          <w:w w:val="100"/>
          <w:position w:val="0"/>
          <w:sz w:val="18"/>
          <w:szCs w:val="18"/>
        </w:rPr>
        <w:t xml:space="preserve">[2016] </w:t>
      </w:r>
      <w:r>
        <w:rPr>
          <w:color w:val="000000"/>
          <w:spacing w:val="0"/>
          <w:w w:val="100"/>
          <w:position w:val="0"/>
          <w:sz w:val="18"/>
          <w:szCs w:val="18"/>
        </w:rPr>
        <w:t>49</w:t>
      </w:r>
      <w:r>
        <w:rPr>
          <w:color w:val="000000"/>
          <w:spacing w:val="0"/>
          <w:w w:val="100"/>
          <w:position w:val="0"/>
        </w:rPr>
        <w:t>号）以及《国家发展改革委、工业化信息部、财政部、税务总局关于印发国家规划布局内重点软件和 集成电路设计领域的通知》（发改高技</w:t>
      </w:r>
      <w:r>
        <w:rPr>
          <w:color w:val="000000"/>
          <w:spacing w:val="0"/>
          <w:w w:val="100"/>
          <w:position w:val="0"/>
          <w:sz w:val="18"/>
          <w:szCs w:val="18"/>
        </w:rPr>
        <w:t xml:space="preserve">[2016] </w:t>
      </w:r>
      <w:r>
        <w:rPr>
          <w:color w:val="000000"/>
          <w:spacing w:val="0"/>
          <w:w w:val="100"/>
          <w:position w:val="0"/>
          <w:sz w:val="18"/>
          <w:szCs w:val="18"/>
        </w:rPr>
        <w:t>1056</w:t>
      </w:r>
      <w:r>
        <w:rPr>
          <w:color w:val="000000"/>
          <w:spacing w:val="0"/>
          <w:w w:val="100"/>
          <w:position w:val="0"/>
        </w:rPr>
        <w:t>号）的有关规定，享受财税</w:t>
      </w:r>
      <w:r>
        <w:rPr>
          <w:color w:val="000000"/>
          <w:spacing w:val="0"/>
          <w:w w:val="100"/>
          <w:position w:val="0"/>
          <w:sz w:val="18"/>
          <w:szCs w:val="18"/>
        </w:rPr>
        <w:t xml:space="preserve">[2012] </w:t>
      </w:r>
      <w:r>
        <w:rPr>
          <w:color w:val="000000"/>
          <w:spacing w:val="0"/>
          <w:w w:val="100"/>
          <w:position w:val="0"/>
          <w:sz w:val="18"/>
          <w:szCs w:val="18"/>
        </w:rPr>
        <w:t>27</w:t>
      </w:r>
      <w:r>
        <w:rPr>
          <w:color w:val="000000"/>
          <w:spacing w:val="0"/>
          <w:w w:val="100"/>
          <w:position w:val="0"/>
        </w:rPr>
        <w:t>号文件规定的税收优惠政策的软 件、集成电路企业，每年汇算清缴时应按照《国家税务总局关于发布〈企业所得税优惠政策事项办理办法〉的公告》（国家 税务总局公告</w:t>
      </w:r>
      <w:r>
        <w:rPr>
          <w:color w:val="000000"/>
          <w:spacing w:val="0"/>
          <w:w w:val="100"/>
          <w:position w:val="0"/>
          <w:sz w:val="18"/>
          <w:szCs w:val="18"/>
        </w:rPr>
        <w:t>2015</w:t>
      </w:r>
      <w:r>
        <w:rPr>
          <w:color w:val="000000"/>
          <w:spacing w:val="0"/>
          <w:w w:val="100"/>
          <w:position w:val="0"/>
        </w:rPr>
        <w:t>年第</w:t>
      </w:r>
      <w:r>
        <w:rPr>
          <w:color w:val="000000"/>
          <w:spacing w:val="0"/>
          <w:w w:val="100"/>
          <w:position w:val="0"/>
          <w:sz w:val="18"/>
          <w:szCs w:val="18"/>
        </w:rPr>
        <w:t>76</w:t>
      </w:r>
      <w:r>
        <w:rPr>
          <w:color w:val="000000"/>
          <w:spacing w:val="0"/>
          <w:w w:val="100"/>
          <w:position w:val="0"/>
        </w:rPr>
        <w:t>号）规定向税务机关备案，同时提交《享受企业所得税优惠政策的软件和集成电路企业备案资料明 细表》规定的备案资料；在软件、集成电路企业享受优惠政策后，税务部门转请发展改革、工业和信息化部门进行核查；对 经核查不符合软件、集成电路企业条件的，由税务部门追缴其已经享受的企业所得税优惠，并按照税收征管法的规定进行处 理。</w:t>
      </w:r>
    </w:p>
    <w:p>
      <w:pPr>
        <w:pStyle w:val="Style30"/>
        <w:keepNext w:val="0"/>
        <w:keepLines w:val="0"/>
        <w:widowControl w:val="0"/>
        <w:shd w:val="clear" w:color="auto" w:fill="auto"/>
        <w:bidi w:val="0"/>
        <w:spacing w:before="0" w:after="80" w:line="307" w:lineRule="exact"/>
        <w:ind w:left="0" w:right="0"/>
        <w:jc w:val="both"/>
      </w:pPr>
      <w:r>
        <w:rPr>
          <w:color w:val="000000"/>
          <w:spacing w:val="0"/>
          <w:w w:val="100"/>
          <w:position w:val="0"/>
        </w:rPr>
        <w:t>榕基软件公司</w:t>
      </w:r>
      <w:r>
        <w:rPr>
          <w:color w:val="000000"/>
          <w:spacing w:val="0"/>
          <w:w w:val="100"/>
          <w:position w:val="0"/>
          <w:sz w:val="18"/>
          <w:szCs w:val="18"/>
        </w:rPr>
        <w:t>2016</w:t>
      </w:r>
      <w:r>
        <w:rPr>
          <w:color w:val="000000"/>
          <w:spacing w:val="0"/>
          <w:w w:val="100"/>
          <w:position w:val="0"/>
        </w:rPr>
        <w:t>年度经逐条对照，符合国家规划布局内重点软件企业的条件，经备案后可享受</w:t>
      </w: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rPr>
        <w:t>企业所得税优惠 税率，故</w:t>
      </w:r>
      <w:r>
        <w:rPr>
          <w:color w:val="000000"/>
          <w:spacing w:val="0"/>
          <w:w w:val="100"/>
          <w:position w:val="0"/>
          <w:sz w:val="18"/>
          <w:szCs w:val="18"/>
        </w:rPr>
        <w:t>2016</w:t>
      </w:r>
      <w:r>
        <w:rPr>
          <w:color w:val="000000"/>
          <w:spacing w:val="0"/>
          <w:w w:val="100"/>
          <w:position w:val="0"/>
        </w:rPr>
        <w:t>年度按</w:t>
      </w:r>
      <w:r>
        <w:rPr>
          <w:color w:val="000000"/>
          <w:spacing w:val="0"/>
          <w:w w:val="100"/>
          <w:position w:val="0"/>
          <w:sz w:val="18"/>
          <w:szCs w:val="18"/>
        </w:rPr>
        <w:t>10.00%</w:t>
      </w:r>
      <w:r>
        <w:rPr>
          <w:color w:val="000000"/>
          <w:spacing w:val="0"/>
          <w:w w:val="100"/>
          <w:position w:val="0"/>
        </w:rPr>
        <w:t>税率计提企业所得税。</w:t>
      </w:r>
    </w:p>
    <w:p>
      <w:pPr>
        <w:pStyle w:val="Style30"/>
        <w:keepNext w:val="0"/>
        <w:keepLines w:val="0"/>
        <w:widowControl w:val="0"/>
        <w:numPr>
          <w:ilvl w:val="0"/>
          <w:numId w:val="37"/>
        </w:numPr>
        <w:shd w:val="clear" w:color="auto" w:fill="auto"/>
        <w:tabs>
          <w:tab w:pos="708" w:val="left"/>
        </w:tabs>
        <w:bidi w:val="0"/>
        <w:spacing w:before="0" w:after="80" w:line="312" w:lineRule="exact"/>
        <w:ind w:left="0" w:right="0"/>
        <w:jc w:val="both"/>
      </w:pPr>
      <w:bookmarkStart w:id="976" w:name="bookmark976"/>
      <w:bookmarkEnd w:id="976"/>
      <w:r>
        <w:rPr>
          <w:color w:val="000000"/>
          <w:spacing w:val="0"/>
          <w:w w:val="100"/>
          <w:position w:val="0"/>
        </w:rPr>
        <w:t>新办软件企业所得税优惠</w:t>
      </w:r>
    </w:p>
    <w:p>
      <w:pPr>
        <w:pStyle w:val="Style30"/>
        <w:keepNext w:val="0"/>
        <w:keepLines w:val="0"/>
        <w:widowControl w:val="0"/>
        <w:shd w:val="clear" w:color="auto" w:fill="auto"/>
        <w:bidi w:val="0"/>
        <w:spacing w:before="0" w:after="80" w:line="322" w:lineRule="exact"/>
        <w:ind w:left="0" w:right="0"/>
        <w:jc w:val="both"/>
      </w:pPr>
      <w:r>
        <w:rPr>
          <w:color w:val="000000"/>
          <w:spacing w:val="0"/>
          <w:w w:val="100"/>
          <w:position w:val="0"/>
        </w:rPr>
        <w:t>根据财政部、国家税务总局《关于企业所得税若干优惠政策》（财税</w:t>
      </w:r>
      <w:r>
        <w:rPr>
          <w:color w:val="000000"/>
          <w:spacing w:val="0"/>
          <w:w w:val="100"/>
          <w:position w:val="0"/>
          <w:sz w:val="18"/>
          <w:szCs w:val="18"/>
        </w:rPr>
        <w:t xml:space="preserve">[2008] </w:t>
      </w:r>
      <w:r>
        <w:rPr>
          <w:color w:val="000000"/>
          <w:spacing w:val="0"/>
          <w:w w:val="100"/>
          <w:position w:val="0"/>
          <w:sz w:val="18"/>
          <w:szCs w:val="18"/>
        </w:rPr>
        <w:t>1</w:t>
      </w:r>
      <w:r>
        <w:rPr>
          <w:color w:val="000000"/>
          <w:spacing w:val="0"/>
          <w:w w:val="100"/>
          <w:position w:val="0"/>
        </w:rPr>
        <w:t>号）规定：我国境内新办软件生产企业 经认定后，自获利年度起，第一年和第二年免征企业所得税，第三年至第五年减半征收企业所得税。</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月，河南榕基公司被认定为软件企业，自</w:t>
      </w:r>
      <w:r>
        <w:rPr>
          <w:color w:val="000000"/>
          <w:spacing w:val="0"/>
          <w:w w:val="100"/>
          <w:position w:val="0"/>
          <w:sz w:val="18"/>
          <w:szCs w:val="18"/>
        </w:rPr>
        <w:t>2012</w:t>
      </w:r>
      <w:r>
        <w:rPr>
          <w:color w:val="000000"/>
          <w:spacing w:val="0"/>
          <w:w w:val="100"/>
          <w:position w:val="0"/>
        </w:rPr>
        <w:t>年起享受</w:t>
      </w:r>
      <w:r>
        <w:rPr>
          <w:color w:val="000000"/>
          <w:spacing w:val="0"/>
          <w:w w:val="100"/>
          <w:position w:val="0"/>
          <w:sz w:val="18"/>
          <w:szCs w:val="18"/>
        </w:rPr>
        <w:t>“</w:t>
      </w:r>
      <w:r>
        <w:rPr>
          <w:color w:val="000000"/>
          <w:spacing w:val="0"/>
          <w:w w:val="100"/>
          <w:position w:val="0"/>
        </w:rPr>
        <w:t>免二减三</w:t>
      </w:r>
      <w:r>
        <w:rPr>
          <w:color w:val="000000"/>
          <w:spacing w:val="0"/>
          <w:w w:val="100"/>
          <w:position w:val="0"/>
          <w:sz w:val="18"/>
          <w:szCs w:val="18"/>
        </w:rPr>
        <w:t>”</w:t>
      </w:r>
      <w:r>
        <w:rPr>
          <w:color w:val="000000"/>
          <w:spacing w:val="0"/>
          <w:w w:val="100"/>
          <w:position w:val="0"/>
        </w:rPr>
        <w:t>的税收优惠，</w:t>
      </w:r>
      <w:r>
        <w:rPr>
          <w:color w:val="000000"/>
          <w:spacing w:val="0"/>
          <w:w w:val="100"/>
          <w:position w:val="0"/>
          <w:sz w:val="18"/>
          <w:szCs w:val="18"/>
        </w:rPr>
        <w:t>2016</w:t>
      </w:r>
      <w:r>
        <w:rPr>
          <w:color w:val="000000"/>
          <w:spacing w:val="0"/>
          <w:w w:val="100"/>
          <w:position w:val="0"/>
        </w:rPr>
        <w:t xml:space="preserve">年享受所得税优惠税率 </w:t>
      </w:r>
      <w:r>
        <w:rPr>
          <w:color w:val="000000"/>
          <w:spacing w:val="0"/>
          <w:w w:val="100"/>
          <w:position w:val="0"/>
          <w:sz w:val="18"/>
          <w:szCs w:val="18"/>
        </w:rPr>
        <w:t xml:space="preserve">12. </w:t>
      </w:r>
      <w:r>
        <w:rPr>
          <w:color w:val="000000"/>
          <w:spacing w:val="0"/>
          <w:w w:val="100"/>
          <w:position w:val="0"/>
          <w:sz w:val="18"/>
          <w:szCs w:val="18"/>
        </w:rPr>
        <w:t>50%</w:t>
      </w:r>
      <w:r>
        <w:rPr>
          <w:color w:val="000000"/>
          <w:spacing w:val="0"/>
          <w:w w:val="100"/>
          <w:position w:val="0"/>
        </w:rPr>
        <w:t>。</w:t>
      </w:r>
    </w:p>
    <w:p>
      <w:pPr>
        <w:pStyle w:val="Style30"/>
        <w:keepNext w:val="0"/>
        <w:keepLines w:val="0"/>
        <w:widowControl w:val="0"/>
        <w:shd w:val="clear" w:color="auto" w:fill="auto"/>
        <w:bidi w:val="0"/>
        <w:spacing w:before="0" w:after="80" w:line="317" w:lineRule="exact"/>
        <w:ind w:left="0" w:right="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月，马鞍山软件信息公司被认定为软件企业，自</w:t>
      </w:r>
      <w:r>
        <w:rPr>
          <w:color w:val="000000"/>
          <w:spacing w:val="0"/>
          <w:w w:val="100"/>
          <w:position w:val="0"/>
          <w:sz w:val="18"/>
          <w:szCs w:val="18"/>
        </w:rPr>
        <w:t>2012</w:t>
      </w:r>
      <w:r>
        <w:rPr>
          <w:color w:val="000000"/>
          <w:spacing w:val="0"/>
          <w:w w:val="100"/>
          <w:position w:val="0"/>
        </w:rPr>
        <w:t>年起享受</w:t>
      </w:r>
      <w:r>
        <w:rPr>
          <w:color w:val="000000"/>
          <w:spacing w:val="0"/>
          <w:w w:val="100"/>
          <w:position w:val="0"/>
          <w:sz w:val="18"/>
          <w:szCs w:val="18"/>
        </w:rPr>
        <w:t>“</w:t>
      </w:r>
      <w:r>
        <w:rPr>
          <w:color w:val="000000"/>
          <w:spacing w:val="0"/>
          <w:w w:val="100"/>
          <w:position w:val="0"/>
        </w:rPr>
        <w:t>免二减三</w:t>
      </w:r>
      <w:r>
        <w:rPr>
          <w:color w:val="000000"/>
          <w:spacing w:val="0"/>
          <w:w w:val="100"/>
          <w:position w:val="0"/>
          <w:sz w:val="18"/>
          <w:szCs w:val="18"/>
        </w:rPr>
        <w:t>”</w:t>
      </w:r>
      <w:r>
        <w:rPr>
          <w:color w:val="000000"/>
          <w:spacing w:val="0"/>
          <w:w w:val="100"/>
          <w:position w:val="0"/>
        </w:rPr>
        <w:t>的税收优惠；其自成立以来尚未盈 利，未享受过</w:t>
      </w:r>
      <w:r>
        <w:rPr>
          <w:color w:val="000000"/>
          <w:spacing w:val="0"/>
          <w:w w:val="100"/>
          <w:position w:val="0"/>
          <w:sz w:val="18"/>
          <w:szCs w:val="18"/>
        </w:rPr>
        <w:t>“</w:t>
      </w:r>
      <w:r>
        <w:rPr>
          <w:color w:val="000000"/>
          <w:spacing w:val="0"/>
          <w:w w:val="100"/>
          <w:position w:val="0"/>
        </w:rPr>
        <w:t>免二减三</w:t>
      </w:r>
      <w:r>
        <w:rPr>
          <w:color w:val="000000"/>
          <w:spacing w:val="0"/>
          <w:w w:val="100"/>
          <w:position w:val="0"/>
          <w:sz w:val="18"/>
          <w:szCs w:val="18"/>
        </w:rPr>
        <w:t>”</w:t>
      </w:r>
      <w:r>
        <w:rPr>
          <w:color w:val="000000"/>
          <w:spacing w:val="0"/>
          <w:w w:val="100"/>
          <w:position w:val="0"/>
        </w:rPr>
        <w:t>税收优惠，故</w:t>
      </w:r>
      <w:r>
        <w:rPr>
          <w:color w:val="000000"/>
          <w:spacing w:val="0"/>
          <w:w w:val="100"/>
          <w:position w:val="0"/>
          <w:sz w:val="18"/>
          <w:szCs w:val="18"/>
        </w:rPr>
        <w:t>2016</w:t>
      </w:r>
      <w:r>
        <w:rPr>
          <w:color w:val="000000"/>
          <w:spacing w:val="0"/>
          <w:w w:val="100"/>
          <w:position w:val="0"/>
        </w:rPr>
        <w:t>年度该公司企业所得税税率为</w:t>
      </w:r>
      <w:r>
        <w:rPr>
          <w:color w:val="000000"/>
          <w:spacing w:val="0"/>
          <w:w w:val="100"/>
          <w:position w:val="0"/>
          <w:sz w:val="18"/>
          <w:szCs w:val="18"/>
        </w:rPr>
        <w:t>0.00%</w:t>
      </w:r>
      <w:r>
        <w:rPr>
          <w:color w:val="000000"/>
          <w:spacing w:val="0"/>
          <w:w w:val="100"/>
          <w:position w:val="0"/>
        </w:rPr>
        <w:t>。</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福建星榕基公司</w:t>
      </w:r>
      <w:r>
        <w:rPr>
          <w:color w:val="000000"/>
          <w:spacing w:val="0"/>
          <w:w w:val="100"/>
          <w:position w:val="0"/>
          <w:sz w:val="18"/>
          <w:szCs w:val="18"/>
        </w:rPr>
        <w:t>2015</w:t>
      </w:r>
      <w:r>
        <w:rPr>
          <w:color w:val="000000"/>
          <w:spacing w:val="0"/>
          <w:w w:val="100"/>
          <w:position w:val="0"/>
        </w:rPr>
        <w:t>年成立，</w:t>
      </w:r>
      <w:r>
        <w:rPr>
          <w:color w:val="000000"/>
          <w:spacing w:val="0"/>
          <w:w w:val="100"/>
          <w:position w:val="0"/>
          <w:sz w:val="18"/>
          <w:szCs w:val="18"/>
        </w:rPr>
        <w:t>2016</w:t>
      </w:r>
      <w:r>
        <w:rPr>
          <w:color w:val="000000"/>
          <w:spacing w:val="0"/>
          <w:w w:val="100"/>
          <w:position w:val="0"/>
        </w:rPr>
        <w:t>年度经逐条对照，符合《财政部、国家税务总局、发展改革委、工业化信息部关于软 件和集成电路产业企业所得税优惠政策有关问题的通知》（财税</w:t>
      </w:r>
      <w:r>
        <w:rPr>
          <w:color w:val="000000"/>
          <w:spacing w:val="0"/>
          <w:w w:val="100"/>
          <w:position w:val="0"/>
          <w:sz w:val="18"/>
          <w:szCs w:val="18"/>
        </w:rPr>
        <w:t xml:space="preserve">[2016] </w:t>
      </w:r>
      <w:r>
        <w:rPr>
          <w:color w:val="000000"/>
          <w:spacing w:val="0"/>
          <w:w w:val="100"/>
          <w:position w:val="0"/>
          <w:sz w:val="18"/>
          <w:szCs w:val="18"/>
        </w:rPr>
        <w:t>49</w:t>
      </w:r>
      <w:r>
        <w:rPr>
          <w:color w:val="000000"/>
          <w:spacing w:val="0"/>
          <w:w w:val="100"/>
          <w:position w:val="0"/>
        </w:rPr>
        <w:t>号）规定的软件企业的条件，将按规定向税务机 关备案，故</w:t>
      </w:r>
      <w:r>
        <w:rPr>
          <w:color w:val="000000"/>
          <w:spacing w:val="0"/>
          <w:w w:val="100"/>
          <w:position w:val="0"/>
          <w:sz w:val="18"/>
          <w:szCs w:val="18"/>
        </w:rPr>
        <w:t>2016</w:t>
      </w:r>
      <w:r>
        <w:rPr>
          <w:color w:val="000000"/>
          <w:spacing w:val="0"/>
          <w:w w:val="100"/>
          <w:position w:val="0"/>
        </w:rPr>
        <w:t>年度按</w:t>
      </w:r>
      <w:r>
        <w:rPr>
          <w:color w:val="000000"/>
          <w:spacing w:val="0"/>
          <w:w w:val="100"/>
          <w:position w:val="0"/>
          <w:sz w:val="18"/>
          <w:szCs w:val="18"/>
        </w:rPr>
        <w:t>0.00%</w:t>
      </w:r>
      <w:r>
        <w:rPr>
          <w:color w:val="000000"/>
          <w:spacing w:val="0"/>
          <w:w w:val="100"/>
          <w:position w:val="0"/>
        </w:rPr>
        <w:t>的税率计提企业所得税。</w:t>
      </w:r>
    </w:p>
    <w:p>
      <w:pPr>
        <w:pStyle w:val="Style30"/>
        <w:keepNext w:val="0"/>
        <w:keepLines w:val="0"/>
        <w:widowControl w:val="0"/>
        <w:shd w:val="clear" w:color="auto" w:fill="auto"/>
        <w:bidi w:val="0"/>
        <w:spacing w:before="0" w:after="80" w:line="313" w:lineRule="exact"/>
        <w:ind w:left="0" w:right="0"/>
        <w:jc w:val="both"/>
      </w:pPr>
      <w:bookmarkStart w:id="977" w:name="bookmark977"/>
      <w:r>
        <w:rPr>
          <w:color w:val="000000"/>
          <w:spacing w:val="0"/>
          <w:w w:val="100"/>
          <w:position w:val="0"/>
        </w:rPr>
        <w:t>（</w:t>
      </w:r>
      <w:bookmarkEnd w:id="977"/>
      <w:r>
        <w:rPr>
          <w:color w:val="000000"/>
          <w:spacing w:val="0"/>
          <w:w w:val="100"/>
          <w:position w:val="0"/>
          <w:sz w:val="18"/>
          <w:szCs w:val="18"/>
        </w:rPr>
        <w:t>3</w:t>
      </w:r>
      <w:r>
        <w:rPr>
          <w:color w:val="000000"/>
          <w:spacing w:val="0"/>
          <w:w w:val="100"/>
          <w:position w:val="0"/>
        </w:rPr>
        <w:t>）其他说明</w:t>
      </w:r>
    </w:p>
    <w:p>
      <w:pPr>
        <w:pStyle w:val="Style30"/>
        <w:keepNext w:val="0"/>
        <w:keepLines w:val="0"/>
        <w:widowControl w:val="0"/>
        <w:shd w:val="clear" w:color="auto" w:fill="auto"/>
        <w:bidi w:val="0"/>
        <w:spacing w:before="0" w:after="80" w:line="311" w:lineRule="exact"/>
        <w:ind w:left="0" w:right="0"/>
        <w:jc w:val="both"/>
      </w:pPr>
      <w:r>
        <w:rPr>
          <w:color w:val="000000"/>
          <w:spacing w:val="0"/>
          <w:w w:val="100"/>
          <w:position w:val="0"/>
        </w:rPr>
        <w:t>根据《国务院关于取消和调整一批行政审批项目等事项的决定》（国发</w:t>
      </w:r>
      <w:r>
        <w:rPr>
          <w:color w:val="000000"/>
          <w:spacing w:val="0"/>
          <w:w w:val="100"/>
          <w:position w:val="0"/>
          <w:sz w:val="18"/>
          <w:szCs w:val="18"/>
        </w:rPr>
        <w:t xml:space="preserve">[2015] </w:t>
      </w:r>
      <w:r>
        <w:rPr>
          <w:color w:val="000000"/>
          <w:spacing w:val="0"/>
          <w:w w:val="100"/>
          <w:position w:val="0"/>
          <w:sz w:val="18"/>
          <w:szCs w:val="18"/>
        </w:rPr>
        <w:t>11</w:t>
      </w:r>
      <w:r>
        <w:rPr>
          <w:color w:val="000000"/>
          <w:spacing w:val="0"/>
          <w:w w:val="100"/>
          <w:position w:val="0"/>
        </w:rPr>
        <w:t>号）及《国务院关于取消非行政许可 审批事项的决定》（国发</w:t>
      </w:r>
      <w:r>
        <w:rPr>
          <w:color w:val="000000"/>
          <w:spacing w:val="0"/>
          <w:w w:val="100"/>
          <w:position w:val="0"/>
          <w:sz w:val="18"/>
          <w:szCs w:val="18"/>
        </w:rPr>
        <w:t xml:space="preserve">[2015] </w:t>
      </w:r>
      <w:r>
        <w:rPr>
          <w:color w:val="000000"/>
          <w:spacing w:val="0"/>
          <w:w w:val="100"/>
          <w:position w:val="0"/>
          <w:sz w:val="18"/>
          <w:szCs w:val="18"/>
        </w:rPr>
        <w:t>27</w:t>
      </w:r>
      <w:r>
        <w:rPr>
          <w:color w:val="000000"/>
          <w:spacing w:val="0"/>
          <w:w w:val="100"/>
          <w:position w:val="0"/>
        </w:rPr>
        <w:t>号）规定，相关部门取消了关于集成电路生产企业、集成电路设计企业、软件企业、国 家规划布局内的重点软件企业和集成电路设计企业税收优惠资格认定等的非行政许可审批。因取消上述审批后，截至</w:t>
      </w:r>
      <w:r>
        <w:rPr>
          <w:color w:val="000000"/>
          <w:spacing w:val="0"/>
          <w:w w:val="100"/>
          <w:position w:val="0"/>
          <w:sz w:val="18"/>
          <w:szCs w:val="18"/>
        </w:rPr>
        <w:t xml:space="preserve">2015 </w:t>
      </w:r>
      <w:r>
        <w:rPr>
          <w:color w:val="000000"/>
          <w:spacing w:val="0"/>
          <w:w w:val="100"/>
          <w:position w:val="0"/>
        </w:rPr>
        <w:t>年度财务报告批准报出日，相关税收优惠的管理办法尚未发布，榕基软件公司编制</w:t>
      </w:r>
      <w:r>
        <w:rPr>
          <w:color w:val="000000"/>
          <w:spacing w:val="0"/>
          <w:w w:val="100"/>
          <w:position w:val="0"/>
          <w:sz w:val="18"/>
          <w:szCs w:val="18"/>
        </w:rPr>
        <w:t>2015</w:t>
      </w:r>
      <w:r>
        <w:rPr>
          <w:color w:val="000000"/>
          <w:spacing w:val="0"/>
          <w:w w:val="100"/>
          <w:position w:val="0"/>
        </w:rPr>
        <w:t>年度财务报告时并没有任何税收文件 支持公司作出可以继续享受</w:t>
      </w:r>
      <w:r>
        <w:rPr>
          <w:color w:val="000000"/>
          <w:spacing w:val="0"/>
          <w:w w:val="100"/>
          <w:position w:val="0"/>
          <w:sz w:val="18"/>
          <w:szCs w:val="18"/>
        </w:rPr>
        <w:t>10%</w:t>
      </w:r>
      <w:r>
        <w:rPr>
          <w:color w:val="000000"/>
          <w:spacing w:val="0"/>
          <w:w w:val="100"/>
          <w:position w:val="0"/>
        </w:rPr>
        <w:t>企业所得税优惠的判断，故</w:t>
      </w:r>
      <w:r>
        <w:rPr>
          <w:color w:val="000000"/>
          <w:spacing w:val="0"/>
          <w:w w:val="100"/>
          <w:position w:val="0"/>
          <w:sz w:val="18"/>
          <w:szCs w:val="18"/>
        </w:rPr>
        <w:t>2015</w:t>
      </w:r>
      <w:r>
        <w:rPr>
          <w:color w:val="000000"/>
          <w:spacing w:val="0"/>
          <w:w w:val="100"/>
          <w:position w:val="0"/>
        </w:rPr>
        <w:t>年度按</w:t>
      </w:r>
      <w:r>
        <w:rPr>
          <w:color w:val="000000"/>
          <w:spacing w:val="0"/>
          <w:w w:val="100"/>
          <w:position w:val="0"/>
          <w:sz w:val="18"/>
          <w:szCs w:val="18"/>
        </w:rPr>
        <w:t>15%</w:t>
      </w:r>
      <w:r>
        <w:rPr>
          <w:color w:val="000000"/>
          <w:spacing w:val="0"/>
          <w:w w:val="100"/>
          <w:position w:val="0"/>
        </w:rPr>
        <w:t>的高新技术企业所得税优惠税率计提企业所得税。</w:t>
      </w:r>
    </w:p>
    <w:p>
      <w:pPr>
        <w:pStyle w:val="Style30"/>
        <w:keepNext w:val="0"/>
        <w:keepLines w:val="0"/>
        <w:widowControl w:val="0"/>
        <w:shd w:val="clear" w:color="auto" w:fill="auto"/>
        <w:bidi w:val="0"/>
        <w:spacing w:before="0" w:after="360" w:line="314" w:lineRule="exact"/>
        <w:ind w:left="0" w:right="0"/>
        <w:jc w:val="both"/>
      </w:pPr>
      <w:r>
        <w:rPr>
          <w:color w:val="000000"/>
          <w:spacing w:val="0"/>
          <w:w w:val="100"/>
          <w:position w:val="0"/>
        </w:rPr>
        <w:t>榕基软件公司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月按照《财政部、国家税务总局、发展改革委、工业化信息部关于软件和集成电路产业企业所得 税优惠政策有关问题的通知》（财税</w:t>
      </w:r>
      <w:r>
        <w:rPr>
          <w:color w:val="000000"/>
          <w:spacing w:val="0"/>
          <w:w w:val="100"/>
          <w:position w:val="0"/>
          <w:sz w:val="18"/>
          <w:szCs w:val="18"/>
        </w:rPr>
        <w:t xml:space="preserve">[2016] </w:t>
      </w:r>
      <w:r>
        <w:rPr>
          <w:color w:val="000000"/>
          <w:spacing w:val="0"/>
          <w:w w:val="100"/>
          <w:position w:val="0"/>
          <w:sz w:val="18"/>
          <w:szCs w:val="18"/>
        </w:rPr>
        <w:t>49</w:t>
      </w:r>
      <w:r>
        <w:rPr>
          <w:color w:val="000000"/>
          <w:spacing w:val="0"/>
          <w:w w:val="100"/>
          <w:position w:val="0"/>
        </w:rPr>
        <w:t>号）以及《国家发展改革委、工业化信息部、财政部、税务总局关于印发国 家规划布局内重点软件和集成电路设计领域的通知》（发改高技</w:t>
      </w:r>
      <w:r>
        <w:rPr>
          <w:color w:val="000000"/>
          <w:spacing w:val="0"/>
          <w:w w:val="100"/>
          <w:position w:val="0"/>
          <w:sz w:val="18"/>
          <w:szCs w:val="18"/>
        </w:rPr>
        <w:t xml:space="preserve">[2016] </w:t>
      </w:r>
      <w:r>
        <w:rPr>
          <w:color w:val="000000"/>
          <w:spacing w:val="0"/>
          <w:w w:val="100"/>
          <w:position w:val="0"/>
          <w:sz w:val="18"/>
          <w:szCs w:val="18"/>
        </w:rPr>
        <w:t>1056</w:t>
      </w:r>
      <w:r>
        <w:rPr>
          <w:color w:val="000000"/>
          <w:spacing w:val="0"/>
          <w:w w:val="100"/>
          <w:position w:val="0"/>
        </w:rPr>
        <w:t>号）要求，按规定向税务机关备案，</w:t>
      </w:r>
      <w:r>
        <w:rPr>
          <w:color w:val="000000"/>
          <w:spacing w:val="0"/>
          <w:w w:val="100"/>
          <w:position w:val="0"/>
          <w:sz w:val="18"/>
          <w:szCs w:val="18"/>
        </w:rPr>
        <w:t>2015</w:t>
      </w:r>
      <w:r>
        <w:rPr>
          <w:color w:val="000000"/>
          <w:spacing w:val="0"/>
          <w:w w:val="100"/>
          <w:position w:val="0"/>
        </w:rPr>
        <w:t>年度 汇算清缴时按</w:t>
      </w:r>
      <w:r>
        <w:rPr>
          <w:color w:val="000000"/>
          <w:spacing w:val="0"/>
          <w:w w:val="100"/>
          <w:position w:val="0"/>
          <w:sz w:val="18"/>
          <w:szCs w:val="18"/>
        </w:rPr>
        <w:t>10%</w:t>
      </w:r>
      <w:r>
        <w:rPr>
          <w:color w:val="000000"/>
          <w:spacing w:val="0"/>
          <w:w w:val="100"/>
          <w:position w:val="0"/>
        </w:rPr>
        <w:t>优惠税率缴纳企业所得税，享受</w:t>
      </w:r>
      <w:r>
        <w:rPr>
          <w:color w:val="000000"/>
          <w:spacing w:val="0"/>
          <w:w w:val="100"/>
          <w:position w:val="0"/>
          <w:sz w:val="18"/>
          <w:szCs w:val="18"/>
        </w:rPr>
        <w:t>2015</w:t>
      </w:r>
      <w:r>
        <w:rPr>
          <w:color w:val="000000"/>
          <w:spacing w:val="0"/>
          <w:w w:val="100"/>
          <w:position w:val="0"/>
        </w:rPr>
        <w:t>年度国家规划布局内的重点软件企业所得税优惠金额</w:t>
      </w:r>
      <w:r>
        <w:rPr>
          <w:color w:val="000000"/>
          <w:spacing w:val="0"/>
          <w:w w:val="100"/>
          <w:position w:val="0"/>
          <w:sz w:val="18"/>
          <w:szCs w:val="18"/>
        </w:rPr>
        <w:t>89.73</w:t>
      </w:r>
      <w:r>
        <w:rPr>
          <w:color w:val="000000"/>
          <w:spacing w:val="0"/>
          <w:w w:val="100"/>
          <w:position w:val="0"/>
        </w:rPr>
        <w:t>万元，该优 惠金额榕基软件公司冲减</w:t>
      </w:r>
      <w:r>
        <w:rPr>
          <w:color w:val="000000"/>
          <w:spacing w:val="0"/>
          <w:w w:val="100"/>
          <w:position w:val="0"/>
          <w:sz w:val="18"/>
          <w:szCs w:val="18"/>
        </w:rPr>
        <w:t>2016</w:t>
      </w:r>
      <w:r>
        <w:rPr>
          <w:color w:val="000000"/>
          <w:spacing w:val="0"/>
          <w:w w:val="100"/>
          <w:position w:val="0"/>
        </w:rPr>
        <w:t>年度当期所得税费用。</w:t>
      </w:r>
    </w:p>
    <w:p>
      <w:pPr>
        <w:pStyle w:val="Style33"/>
        <w:keepNext/>
        <w:keepLines/>
        <w:widowControl w:val="0"/>
        <w:shd w:val="clear" w:color="auto" w:fill="auto"/>
        <w:bidi w:val="0"/>
        <w:spacing w:before="0" w:after="36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color w:val="000000"/>
          <w:spacing w:val="0"/>
          <w:w w:val="100"/>
          <w:position w:val="0"/>
        </w:rPr>
        <w:t>、其他</w:t>
      </w:r>
      <w:bookmarkEnd w:id="978"/>
      <w:bookmarkEnd w:id="979"/>
      <w:bookmarkEnd w:id="981"/>
    </w:p>
    <w:p>
      <w:pPr>
        <w:pStyle w:val="Style30"/>
        <w:keepNext w:val="0"/>
        <w:keepLines w:val="0"/>
        <w:widowControl w:val="0"/>
        <w:shd w:val="clear" w:color="auto" w:fill="auto"/>
        <w:bidi w:val="0"/>
        <w:spacing w:before="0" w:after="700" w:line="313"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sz w:val="24"/>
          <w:szCs w:val="24"/>
        </w:rPr>
        <w:t>七</w:t>
      </w:r>
      <w:bookmarkEnd w:id="984"/>
      <w:r>
        <w:rPr>
          <w:color w:val="000000"/>
          <w:spacing w:val="0"/>
          <w:w w:val="100"/>
          <w:position w:val="0"/>
          <w:sz w:val="24"/>
          <w:szCs w:val="24"/>
        </w:rPr>
        <w:t>、合并财务报表项目注释</w:t>
      </w:r>
      <w:bookmarkEnd w:id="982"/>
      <w:bookmarkEnd w:id="983"/>
      <w:bookmarkEnd w:id="985"/>
    </w:p>
    <w:p>
      <w:pPr>
        <w:pStyle w:val="Style33"/>
        <w:keepNext/>
        <w:keepLines/>
        <w:widowControl w:val="0"/>
        <w:shd w:val="clear" w:color="auto" w:fill="auto"/>
        <w:bidi w:val="0"/>
        <w:spacing w:before="0" w:after="36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color w:val="000000"/>
          <w:spacing w:val="0"/>
          <w:w w:val="100"/>
          <w:position w:val="0"/>
        </w:rPr>
        <w:t>、货币资金</w:t>
      </w:r>
      <w:bookmarkEnd w:id="986"/>
      <w:bookmarkEnd w:id="987"/>
      <w:bookmarkEnd w:id="9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278,510.57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561,118.58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481,531,648.89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346,675,564.98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71,165,280.76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100,836,364.42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552,975,440.22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448,073,047.98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1,812,100.91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1,697,959.89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说明：</w:t>
      </w:r>
      <w:r>
        <w:rPr>
          <w:color w:val="000000"/>
          <w:spacing w:val="0"/>
          <w:w w:val="100"/>
          <w:position w:val="0"/>
          <w:sz w:val="18"/>
          <w:szCs w:val="18"/>
        </w:rPr>
        <w:t>（1）</w:t>
      </w:r>
      <w:r>
        <w:rPr>
          <w:color w:val="000000"/>
          <w:spacing w:val="0"/>
          <w:w w:val="100"/>
          <w:position w:val="0"/>
        </w:rPr>
        <w:t>期末，其他货币资金中定期存款</w:t>
      </w:r>
      <w:r>
        <w:rPr>
          <w:color w:val="000000"/>
          <w:spacing w:val="0"/>
          <w:w w:val="100"/>
          <w:position w:val="0"/>
          <w:sz w:val="18"/>
          <w:szCs w:val="18"/>
        </w:rPr>
        <w:t>39,510,908.89</w:t>
      </w:r>
      <w:r>
        <w:rPr>
          <w:color w:val="000000"/>
          <w:spacing w:val="0"/>
          <w:w w:val="100"/>
          <w:position w:val="0"/>
        </w:rPr>
        <w:t>元、保函保证金</w:t>
      </w:r>
      <w:r>
        <w:rPr>
          <w:color w:val="000000"/>
          <w:spacing w:val="0"/>
          <w:w w:val="100"/>
          <w:position w:val="0"/>
          <w:sz w:val="18"/>
          <w:szCs w:val="18"/>
        </w:rPr>
        <w:t xml:space="preserve">29, 441, </w:t>
      </w:r>
      <w:r>
        <w:rPr>
          <w:color w:val="000000"/>
          <w:spacing w:val="0"/>
          <w:w w:val="100"/>
          <w:position w:val="0"/>
          <w:sz w:val="18"/>
          <w:szCs w:val="18"/>
        </w:rPr>
        <w:t>474.8</w:t>
      </w:r>
      <w:r>
        <w:rPr>
          <w:color w:val="000000"/>
          <w:spacing w:val="0"/>
          <w:w w:val="100"/>
          <w:position w:val="0"/>
          <w:sz w:val="18"/>
          <w:szCs w:val="18"/>
        </w:rPr>
        <w:t>0</w:t>
      </w:r>
      <w:r>
        <w:rPr>
          <w:color w:val="000000"/>
          <w:spacing w:val="0"/>
          <w:w w:val="100"/>
          <w:position w:val="0"/>
        </w:rPr>
        <w:t xml:space="preserve">元及银行承兑汇票保证金 </w:t>
      </w:r>
      <w:r>
        <w:rPr>
          <w:color w:val="000000"/>
          <w:spacing w:val="0"/>
          <w:w w:val="100"/>
          <w:position w:val="0"/>
          <w:sz w:val="18"/>
          <w:szCs w:val="18"/>
        </w:rPr>
        <w:t>2,212,897.07</w:t>
      </w:r>
      <w:r>
        <w:rPr>
          <w:color w:val="000000"/>
          <w:spacing w:val="0"/>
          <w:w w:val="100"/>
          <w:position w:val="0"/>
        </w:rPr>
        <w:t>元，本集团在编制现金流量表时未将其作为现金或现金等价物。</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sz w:val="18"/>
          <w:szCs w:val="18"/>
        </w:rPr>
        <w:t>（2）</w:t>
      </w:r>
      <w:r>
        <w:rPr>
          <w:color w:val="000000"/>
          <w:spacing w:val="0"/>
          <w:w w:val="100"/>
          <w:position w:val="0"/>
        </w:rPr>
        <w:t>期末，定期存款中</w:t>
      </w:r>
      <w:r>
        <w:rPr>
          <w:color w:val="000000"/>
          <w:spacing w:val="0"/>
          <w:w w:val="100"/>
          <w:position w:val="0"/>
          <w:sz w:val="18"/>
          <w:szCs w:val="18"/>
        </w:rPr>
        <w:t>5,009,400.00</w:t>
      </w:r>
      <w:r>
        <w:rPr>
          <w:color w:val="000000"/>
          <w:spacing w:val="0"/>
          <w:w w:val="100"/>
          <w:position w:val="0"/>
        </w:rPr>
        <w:t>元被质押用于开立保函。</w:t>
      </w:r>
    </w:p>
    <w:p>
      <w:pPr>
        <w:pStyle w:val="Style33"/>
        <w:keepNext/>
        <w:keepLines/>
        <w:widowControl w:val="0"/>
        <w:shd w:val="clear" w:color="auto" w:fill="auto"/>
        <w:bidi w:val="0"/>
        <w:spacing w:before="0" w:after="26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color w:val="000000"/>
          <w:spacing w:val="0"/>
          <w:w w:val="100"/>
          <w:position w:val="0"/>
        </w:rPr>
        <w:t>、以公允价值计量且其变动计入当期损益的金融资产</w:t>
      </w:r>
      <w:bookmarkEnd w:id="990"/>
      <w:bookmarkEnd w:id="991"/>
      <w:bookmarkEnd w:id="993"/>
    </w:p>
    <w:p>
      <w:pPr>
        <w:pStyle w:val="Style30"/>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pStyle w:val="Style30"/>
        <w:keepNext w:val="0"/>
        <w:keepLines w:val="0"/>
        <w:widowControl w:val="0"/>
        <w:shd w:val="clear" w:color="auto" w:fill="auto"/>
        <w:bidi w:val="0"/>
        <w:spacing w:before="0" w:after="300" w:line="370" w:lineRule="exact"/>
        <w:ind w:left="0" w:right="0" w:firstLine="0"/>
        <w:jc w:val="left"/>
      </w:pPr>
      <w:r>
        <w:rPr>
          <w:color w:val="000000"/>
          <w:spacing w:val="0"/>
          <w:w w:val="100"/>
          <w:position w:val="0"/>
        </w:rPr>
        <w:t>其他说明： 无。</w:t>
      </w:r>
      <w:r>
        <w:br w:type="page"/>
      </w:r>
    </w:p>
    <w:p>
      <w:pPr>
        <w:pStyle w:val="Style33"/>
        <w:keepNext/>
        <w:keepLines/>
        <w:widowControl w:val="0"/>
        <w:shd w:val="clear" w:color="auto" w:fill="auto"/>
        <w:tabs>
          <w:tab w:pos="378" w:val="left"/>
        </w:tabs>
        <w:bidi w:val="0"/>
        <w:spacing w:before="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color w:val="000000"/>
          <w:spacing w:val="0"/>
          <w:w w:val="100"/>
          <w:position w:val="0"/>
        </w:rPr>
        <w:t>、</w:t>
        <w:tab/>
        <w:t>衍生金融资产</w:t>
      </w:r>
      <w:bookmarkEnd w:id="994"/>
      <w:bookmarkEnd w:id="995"/>
      <w:bookmarkEnd w:id="997"/>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4</w:t>
      </w:r>
      <w:bookmarkEnd w:id="1000"/>
      <w:r>
        <w:rPr>
          <w:color w:val="000000"/>
          <w:spacing w:val="0"/>
          <w:w w:val="100"/>
          <w:position w:val="0"/>
        </w:rPr>
        <w:t>、</w:t>
        <w:tab/>
        <w:t>应收票据</w:t>
      </w:r>
      <w:bookmarkEnd w:id="1001"/>
      <w:bookmarkEnd w:id="998"/>
      <w:bookmarkEnd w:id="999"/>
    </w:p>
    <w:p>
      <w:pPr>
        <w:pStyle w:val="Style44"/>
        <w:keepNext/>
        <w:keepLines/>
        <w:widowControl w:val="0"/>
        <w:numPr>
          <w:ilvl w:val="0"/>
          <w:numId w:val="39"/>
        </w:numPr>
        <w:shd w:val="clear" w:color="auto" w:fill="auto"/>
        <w:bidi w:val="0"/>
        <w:spacing w:before="0" w:after="34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应收票据分类列示</w:t>
      </w:r>
      <w:bookmarkEnd w:id="1002"/>
      <w:bookmarkEnd w:id="1003"/>
      <w:bookmarkEnd w:id="10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2,017,874.00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13,364,010.90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373,757.00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2,017,874.00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13,737,767.90</w:t>
            </w:r>
          </w:p>
        </w:tc>
      </w:tr>
    </w:tbl>
    <w:p>
      <w:pPr>
        <w:widowControl w:val="0"/>
        <w:spacing w:after="339" w:line="1" w:lineRule="exact"/>
      </w:pPr>
    </w:p>
    <w:p>
      <w:pPr>
        <w:pStyle w:val="Style44"/>
        <w:keepNext/>
        <w:keepLines/>
        <w:widowControl w:val="0"/>
        <w:numPr>
          <w:ilvl w:val="0"/>
          <w:numId w:val="39"/>
        </w:numPr>
        <w:shd w:val="clear" w:color="auto" w:fill="auto"/>
        <w:bidi w:val="0"/>
        <w:spacing w:before="0" w:after="340" w:line="240" w:lineRule="auto"/>
        <w:ind w:left="0" w:right="0" w:firstLine="14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期末公司已质押的应收票据</w:t>
      </w:r>
      <w:bookmarkEnd w:id="1006"/>
      <w:bookmarkEnd w:id="1007"/>
      <w:bookmarkEnd w:id="10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期末已质押金额</w:t>
            </w:r>
          </w:p>
        </w:tc>
      </w:tr>
    </w:tbl>
    <w:p>
      <w:pPr>
        <w:widowControl w:val="0"/>
        <w:spacing w:after="339" w:line="1" w:lineRule="exact"/>
      </w:pPr>
    </w:p>
    <w:p>
      <w:pPr>
        <w:pStyle w:val="Style44"/>
        <w:keepNext/>
        <w:keepLines/>
        <w:widowControl w:val="0"/>
        <w:numPr>
          <w:ilvl w:val="0"/>
          <w:numId w:val="39"/>
        </w:numPr>
        <w:shd w:val="clear" w:color="auto" w:fill="auto"/>
        <w:bidi w:val="0"/>
        <w:spacing w:before="0" w:after="340" w:line="240" w:lineRule="auto"/>
        <w:ind w:left="0" w:right="0" w:firstLine="14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期末公司已背书或贴现且在资产负债表日尚未到期的应收票据</w:t>
      </w:r>
      <w:bookmarkEnd w:id="1010"/>
      <w:bookmarkEnd w:id="1011"/>
      <w:bookmarkEnd w:id="10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4,894,050.00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4,894,050.00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numPr>
          <w:ilvl w:val="0"/>
          <w:numId w:val="39"/>
        </w:numPr>
        <w:shd w:val="clear" w:color="auto" w:fill="auto"/>
        <w:bidi w:val="0"/>
        <w:spacing w:before="0" w:after="340" w:line="240" w:lineRule="auto"/>
        <w:ind w:left="0" w:right="0" w:firstLine="14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期末公司因出票人未履约而将其转应收账款的票据</w:t>
      </w:r>
      <w:bookmarkEnd w:id="1014"/>
      <w:bookmarkEnd w:id="1015"/>
      <w:bookmarkEnd w:id="10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期末转应收账款金额</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5</w:t>
      </w:r>
      <w:bookmarkEnd w:id="1020"/>
      <w:r>
        <w:rPr>
          <w:color w:val="000000"/>
          <w:spacing w:val="0"/>
          <w:w w:val="100"/>
          <w:position w:val="0"/>
        </w:rPr>
        <w:t>、应收账款</w:t>
      </w:r>
      <w:bookmarkEnd w:id="1018"/>
      <w:bookmarkEnd w:id="1019"/>
      <w:bookmarkEnd w:id="1021"/>
    </w:p>
    <w:p>
      <w:pPr>
        <w:pStyle w:val="Style44"/>
        <w:keepNext/>
        <w:keepLines/>
        <w:widowControl w:val="0"/>
        <w:numPr>
          <w:ilvl w:val="0"/>
          <w:numId w:val="41"/>
        </w:numPr>
        <w:shd w:val="clear" w:color="auto" w:fill="auto"/>
        <w:bidi w:val="0"/>
        <w:spacing w:before="0" w:after="34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应收账款分类披露</w:t>
      </w:r>
      <w:bookmarkEnd w:id="1022"/>
      <w:bookmarkEnd w:id="1023"/>
      <w:bookmarkEnd w:id="10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56"/>
        <w:gridCol w:w="749"/>
        <w:gridCol w:w="758"/>
        <w:gridCol w:w="763"/>
        <w:gridCol w:w="768"/>
        <w:gridCol w:w="782"/>
        <w:gridCol w:w="658"/>
        <w:gridCol w:w="768"/>
        <w:gridCol w:w="80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632"/>
        <w:gridCol w:w="773"/>
        <w:gridCol w:w="758"/>
        <w:gridCol w:w="763"/>
        <w:gridCol w:w="768"/>
        <w:gridCol w:w="782"/>
        <w:gridCol w:w="658"/>
        <w:gridCol w:w="758"/>
        <w:gridCol w:w="816"/>
        <w:gridCol w:w="931"/>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130,385,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14,332,7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116,052,9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95,063,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12,436,87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82,626,850.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130,385,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14,332,7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116,052,9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95,063,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12,436,87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82,626,850.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98,861,316.03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4,943,066.41%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16,836,670.48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1,683,667.05%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8,727,064.26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1,745,412.85%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5,960,554.78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5,960,554.78%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130,385,605.55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14,332,701.09%</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44"/>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6"/>
      <w:bookmarkEnd w:id="1027"/>
      <w:bookmarkEnd w:id="102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1,895,830.83</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44"/>
        <w:keepNext/>
        <w:keepLines/>
        <w:widowControl w:val="0"/>
        <w:shd w:val="clear" w:color="auto" w:fill="auto"/>
        <w:tabs>
          <w:tab w:pos="488"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30"/>
      <w:bookmarkEnd w:id="1031"/>
      <w:bookmarkEnd w:id="103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本期无实际核销的应收账款。</w:t>
      </w:r>
    </w:p>
    <w:p>
      <w:pPr>
        <w:pStyle w:val="Style44"/>
        <w:keepNext/>
        <w:keepLines/>
        <w:widowControl w:val="0"/>
        <w:shd w:val="clear" w:color="auto" w:fill="auto"/>
        <w:tabs>
          <w:tab w:pos="488" w:val="left"/>
        </w:tabs>
        <w:bidi w:val="0"/>
        <w:spacing w:before="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34"/>
      <w:bookmarkEnd w:id="1035"/>
      <w:bookmarkEnd w:id="1037"/>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552"/>
        <w:gridCol w:w="1987"/>
        <w:gridCol w:w="2126"/>
        <w:gridCol w:w="1714"/>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 数的比例</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福建省星云大数据应用服务有限公司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16,197,890.80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809,894.54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中国联合网络通信有限公司福州市分公司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6,507,577.10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325,378.86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国务院国有资产监督管理委员会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4,446,700.00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222,335.00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中通服公众信息产业股份有限公司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4,300,881.00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215,044.05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河南信大科技有限公司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3,904,000.00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390,400.00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35,357,048.90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1,963,052.45</w:t>
            </w:r>
          </w:p>
        </w:tc>
      </w:tr>
    </w:tbl>
    <w:p>
      <w:pPr>
        <w:widowControl w:val="0"/>
        <w:spacing w:after="359" w:line="1" w:lineRule="exact"/>
      </w:pPr>
    </w:p>
    <w:p>
      <w:pPr>
        <w:pStyle w:val="Style44"/>
        <w:keepNext/>
        <w:keepLines/>
        <w:widowControl w:val="0"/>
        <w:shd w:val="clear" w:color="auto" w:fill="auto"/>
        <w:tabs>
          <w:tab w:pos="488" w:val="left"/>
        </w:tabs>
        <w:bidi w:val="0"/>
        <w:spacing w:before="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38"/>
      <w:bookmarkEnd w:id="1039"/>
      <w:bookmarkEnd w:id="104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88" w:val="left"/>
        </w:tabs>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42"/>
      <w:bookmarkEnd w:id="1043"/>
      <w:bookmarkEnd w:id="104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6</w:t>
      </w:r>
      <w:bookmarkEnd w:id="1048"/>
      <w:r>
        <w:rPr>
          <w:color w:val="000000"/>
          <w:spacing w:val="0"/>
          <w:w w:val="100"/>
          <w:position w:val="0"/>
        </w:rPr>
        <w:t>、预付款项</w:t>
      </w:r>
      <w:bookmarkEnd w:id="1046"/>
      <w:bookmarkEnd w:id="1047"/>
      <w:bookmarkEnd w:id="1049"/>
    </w:p>
    <w:p>
      <w:pPr>
        <w:pStyle w:val="Style44"/>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0"/>
      <w:bookmarkEnd w:id="1051"/>
      <w:bookmarkEnd w:id="10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8,585,808.35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29,002,535.82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1,447,728.86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8,523,080.81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1,416,875.58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810,518.38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168,886.24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11,725,236.82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38,505,021.25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44"/>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4"/>
      <w:bookmarkEnd w:id="1055"/>
      <w:bookmarkEnd w:id="1057"/>
    </w:p>
    <w:p>
      <w:pPr>
        <w:pStyle w:val="Style28"/>
        <w:keepNext w:val="0"/>
        <w:keepLines w:val="0"/>
        <w:widowControl w:val="0"/>
        <w:shd w:val="clear" w:color="auto" w:fill="auto"/>
        <w:bidi w:val="0"/>
        <w:spacing w:before="0" w:after="0" w:line="240" w:lineRule="auto"/>
        <w:ind w:left="8270" w:right="0" w:firstLine="0"/>
        <w:jc w:val="left"/>
      </w:pPr>
      <w:r>
        <w:rPr>
          <w:color w:val="000000"/>
          <w:spacing w:val="0"/>
          <w:w w:val="100"/>
          <w:position w:val="0"/>
        </w:rPr>
        <w:t>单位：元</w:t>
      </w:r>
    </w:p>
    <w:tbl>
      <w:tblPr>
        <w:tblOverlap w:val="never"/>
        <w:jc w:val="center"/>
        <w:tblLayout w:type="fixed"/>
      </w:tblPr>
      <w:tblGrid>
        <w:gridCol w:w="3998"/>
        <w:gridCol w:w="2107"/>
        <w:gridCol w:w="2990"/>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预付款项期末余额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占预付款项期末余额合计数的比例</w:t>
            </w:r>
            <w:r>
              <w:rPr>
                <w:rFonts w:ascii="SimSun" w:eastAsia="SimSun" w:hAnsi="SimSun" w:cs="SimSun"/>
                <w:color w:val="000000"/>
                <w:spacing w:val="0"/>
                <w:w w:val="100"/>
                <w:position w:val="0"/>
              </w:rPr>
              <w:t>％</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福建方圆智能科技股份有限公司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845,622.40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7.21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恒锋信息科技股份有限公司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737,712.57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6.29</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河南华胜天成科技发展有限公司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633,399.01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5.40</w:t>
            </w:r>
          </w:p>
        </w:tc>
      </w:tr>
    </w:tbl>
    <w:p>
      <w:pPr>
        <w:widowControl w:val="0"/>
        <w:spacing w:line="1" w:lineRule="exact"/>
      </w:pPr>
      <w:r>
        <w:br w:type="page"/>
      </w:r>
    </w:p>
    <w:tbl>
      <w:tblPr>
        <w:tblOverlap w:val="never"/>
        <w:jc w:val="center"/>
        <w:tblLayout w:type="fixed"/>
      </w:tblPr>
      <w:tblGrid>
        <w:gridCol w:w="3998"/>
        <w:gridCol w:w="2107"/>
        <w:gridCol w:w="299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郑州正泰电工电力设备有限公司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513,000.00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福建惠联众网络科技有限公司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482,017.49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3,211,751.47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7</w:t>
      </w:r>
      <w:bookmarkEnd w:id="1060"/>
      <w:r>
        <w:rPr>
          <w:color w:val="000000"/>
          <w:spacing w:val="0"/>
          <w:w w:val="100"/>
          <w:position w:val="0"/>
        </w:rPr>
        <w:t>、应收利息</w:t>
      </w:r>
      <w:bookmarkEnd w:id="1058"/>
      <w:bookmarkEnd w:id="1059"/>
      <w:bookmarkEnd w:id="1061"/>
    </w:p>
    <w:p>
      <w:pPr>
        <w:pStyle w:val="Style44"/>
        <w:keepNext/>
        <w:keepLines/>
        <w:widowControl w:val="0"/>
        <w:numPr>
          <w:ilvl w:val="0"/>
          <w:numId w:val="43"/>
        </w:numPr>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应收利息分类</w:t>
      </w:r>
      <w:bookmarkEnd w:id="1062"/>
      <w:bookmarkEnd w:id="1063"/>
      <w:bookmarkEnd w:id="10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1,185,696.85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2,249,919.07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1,185,696.85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2,249,919.07</w:t>
            </w:r>
          </w:p>
        </w:tc>
      </w:tr>
    </w:tbl>
    <w:p>
      <w:pPr>
        <w:widowControl w:val="0"/>
        <w:spacing w:after="339" w:line="1" w:lineRule="exact"/>
      </w:pPr>
    </w:p>
    <w:p>
      <w:pPr>
        <w:pStyle w:val="Style44"/>
        <w:keepNext/>
        <w:keepLines/>
        <w:widowControl w:val="0"/>
        <w:numPr>
          <w:ilvl w:val="0"/>
          <w:numId w:val="43"/>
        </w:numPr>
        <w:shd w:val="clear" w:color="auto" w:fill="auto"/>
        <w:bidi w:val="0"/>
        <w:spacing w:before="0" w:after="340" w:line="240" w:lineRule="auto"/>
        <w:ind w:left="0" w:right="0" w:firstLine="14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重要逾期利息</w:t>
      </w:r>
      <w:bookmarkEnd w:id="1066"/>
      <w:bookmarkEnd w:id="1067"/>
      <w:bookmarkEnd w:id="1069"/>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8</w:t>
      </w:r>
      <w:bookmarkEnd w:id="1072"/>
      <w:r>
        <w:rPr>
          <w:color w:val="000000"/>
          <w:spacing w:val="0"/>
          <w:w w:val="100"/>
          <w:position w:val="0"/>
        </w:rPr>
        <w:t>、应收股利</w:t>
      </w:r>
      <w:bookmarkEnd w:id="1070"/>
      <w:bookmarkEnd w:id="1071"/>
      <w:bookmarkEnd w:id="1073"/>
    </w:p>
    <w:p>
      <w:pPr>
        <w:pStyle w:val="Style33"/>
        <w:keepNext/>
        <w:keepLines/>
        <w:widowControl w:val="0"/>
        <w:numPr>
          <w:ilvl w:val="0"/>
          <w:numId w:val="45"/>
        </w:numPr>
        <w:shd w:val="clear" w:color="auto" w:fill="auto"/>
        <w:bidi w:val="0"/>
        <w:spacing w:before="0" w:line="240" w:lineRule="auto"/>
        <w:ind w:left="0" w:right="0" w:firstLine="0"/>
        <w:jc w:val="left"/>
      </w:pPr>
      <w:bookmarkStart w:id="1070" w:name="bookmark1070"/>
      <w:bookmarkStart w:id="1071" w:name="bookmark1071"/>
      <w:bookmarkStart w:id="1074" w:name="bookmark1074"/>
      <w:bookmarkEnd w:id="1074"/>
      <w:r>
        <w:rPr>
          <w:color w:val="000000"/>
          <w:spacing w:val="0"/>
          <w:w w:val="100"/>
          <w:position w:val="0"/>
        </w:rPr>
        <w:t>应收股利</w:t>
      </w:r>
      <w:bookmarkEnd w:id="1070"/>
      <w:bookmarkEnd w:id="1071"/>
    </w:p>
    <w:p>
      <w:pPr>
        <w:pStyle w:val="Style28"/>
        <w:keepNext w:val="0"/>
        <w:keepLines w:val="0"/>
        <w:widowControl w:val="0"/>
        <w:shd w:val="clear" w:color="auto" w:fill="auto"/>
        <w:bidi w:val="0"/>
        <w:spacing w:before="0" w:after="0" w:line="240" w:lineRule="auto"/>
        <w:ind w:left="0" w:right="0" w:firstLine="0"/>
        <w:jc w:val="right"/>
      </w:pPr>
      <w:bookmarkStart w:id="1075" w:name="bookmark1075"/>
      <w:r>
        <w:rPr>
          <w:color w:val="000000"/>
          <w:spacing w:val="0"/>
          <w:w w:val="100"/>
          <w:position w:val="0"/>
        </w:rPr>
        <w:t>单位： 元</w:t>
      </w:r>
      <w:bookmarkEnd w:id="1075"/>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15,605,000.00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厦门国际银行股份有限公司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2,182,365.92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17,787,365.92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numPr>
          <w:ilvl w:val="0"/>
          <w:numId w:val="45"/>
        </w:numPr>
        <w:shd w:val="clear" w:color="auto" w:fill="auto"/>
        <w:bidi w:val="0"/>
        <w:spacing w:before="0" w:after="340" w:line="240" w:lineRule="auto"/>
        <w:ind w:left="0" w:right="0" w:firstLine="14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76"/>
      <w:bookmarkEnd w:id="1077"/>
      <w:bookmarkEnd w:id="10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25"/>
        <w:gridCol w:w="191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9</w:t>
      </w:r>
      <w:bookmarkEnd w:id="1082"/>
      <w:r>
        <w:rPr>
          <w:color w:val="000000"/>
          <w:spacing w:val="0"/>
          <w:w w:val="100"/>
          <w:position w:val="0"/>
        </w:rPr>
        <w:t>、其他应收款</w:t>
      </w:r>
      <w:bookmarkEnd w:id="1080"/>
      <w:bookmarkEnd w:id="1081"/>
      <w:bookmarkEnd w:id="1083"/>
    </w:p>
    <w:p>
      <w:pPr>
        <w:pStyle w:val="Style44"/>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84"/>
      <w:bookmarkEnd w:id="1085"/>
      <w:bookmarkEnd w:id="10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58"/>
        <w:gridCol w:w="758"/>
        <w:gridCol w:w="763"/>
        <w:gridCol w:w="768"/>
        <w:gridCol w:w="782"/>
        <w:gridCol w:w="658"/>
        <w:gridCol w:w="763"/>
        <w:gridCol w:w="811"/>
        <w:gridCol w:w="931"/>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51,677,7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7,907,03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43,770,72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42,747,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5,309,151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37,438,083.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51,677,7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7,907,03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43,770,72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42,747,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5,309,151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37,438,083.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31,211,546.34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1,560,577.32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11,005,029.74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1,100,502.98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5,269,036.62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1,053,807.32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4,192,146.75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4,192,146.75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51,677,759.45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7,907,034.37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8"/>
      <w:bookmarkEnd w:id="1089"/>
      <w:bookmarkEnd w:id="109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2,597,882.70</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92"/>
      <w:bookmarkEnd w:id="1093"/>
      <w:bookmarkEnd w:id="10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608"/>
        <w:gridCol w:w="165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 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4"/>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96"/>
      <w:bookmarkEnd w:id="1097"/>
      <w:bookmarkEnd w:id="10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37,335,346.08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27,357,797.88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9,852,900.97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11,081,017.85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1,622,064.03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1,083,786.31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2,867,448.37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3,224,633.15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51,677,759.45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42,747,235.19</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00"/>
      <w:bookmarkEnd w:id="1101"/>
      <w:bookmarkEnd w:id="11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8"/>
        <w:gridCol w:w="1589"/>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郑州市金水区杨金 产业园区管委会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马鞍山市国库集中 支付中心往来资金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福建省闽江监狱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1,793,880.00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179,388.00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信阳市建筑节能与 墙体材料革新办公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1,787,196.00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89,359.80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福建省招标采购集</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11,786,076.00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772,747.80</w:t>
            </w:r>
          </w:p>
        </w:tc>
      </w:tr>
    </w:tbl>
    <w:p>
      <w:pPr>
        <w:spacing w:lineRule="exact" w:line="1"/>
        <w:rPr>
          <w:sz w:val="2"/>
          <w:szCs w:val="2"/>
        </w:rPr>
      </w:pPr>
      <w:r>
        <w:br w:type="page"/>
      </w:r>
    </w:p>
    <w:p>
      <w:pPr>
        <w:pStyle w:val="Style44"/>
        <w:keepNext/>
        <w:keepLines/>
        <w:widowControl w:val="0"/>
        <w:numPr>
          <w:ilvl w:val="0"/>
          <w:numId w:val="31"/>
        </w:numPr>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涉及政府补助的应收款项</w:t>
      </w:r>
      <w:bookmarkEnd w:id="1104"/>
      <w:bookmarkEnd w:id="1105"/>
      <w:bookmarkEnd w:id="1107"/>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及依据</w:t>
            </w:r>
          </w:p>
        </w:tc>
      </w:tr>
    </w:tbl>
    <w:p>
      <w:pPr>
        <w:widowControl w:val="0"/>
        <w:spacing w:after="359" w:line="1" w:lineRule="exact"/>
      </w:pPr>
    </w:p>
    <w:p>
      <w:pPr>
        <w:pStyle w:val="Style44"/>
        <w:keepNext/>
        <w:keepLines/>
        <w:widowControl w:val="0"/>
        <w:numPr>
          <w:ilvl w:val="0"/>
          <w:numId w:val="31"/>
        </w:numPr>
        <w:shd w:val="clear" w:color="auto" w:fill="auto"/>
        <w:tabs>
          <w:tab w:pos="488" w:val="left"/>
        </w:tabs>
        <w:bidi w:val="0"/>
        <w:spacing w:before="0" w:line="240" w:lineRule="auto"/>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因金融资产转移而终止确认的其他应收款</w:t>
      </w:r>
      <w:bookmarkEnd w:id="1108"/>
      <w:bookmarkEnd w:id="1109"/>
      <w:bookmarkEnd w:id="1111"/>
    </w:p>
    <w:p>
      <w:pPr>
        <w:pStyle w:val="Style44"/>
        <w:keepNext/>
        <w:keepLines/>
        <w:widowControl w:val="0"/>
        <w:numPr>
          <w:ilvl w:val="0"/>
          <w:numId w:val="31"/>
        </w:numPr>
        <w:shd w:val="clear" w:color="auto" w:fill="auto"/>
        <w:tabs>
          <w:tab w:pos="488" w:val="left"/>
        </w:tabs>
        <w:bidi w:val="0"/>
        <w:spacing w:before="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转移其他应收款且继续涉入形成的资产、负债金额</w:t>
      </w:r>
      <w:bookmarkEnd w:id="1112"/>
      <w:bookmarkEnd w:id="1113"/>
      <w:bookmarkEnd w:id="1115"/>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116"/>
      <w:bookmarkEnd w:id="1117"/>
      <w:bookmarkEnd w:id="1119"/>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是</w:t>
      </w:r>
    </w:p>
    <w:p>
      <w:pPr>
        <w:pStyle w:val="Style44"/>
        <w:keepNext/>
        <w:keepLines/>
        <w:widowControl w:val="0"/>
        <w:numPr>
          <w:ilvl w:val="0"/>
          <w:numId w:val="47"/>
        </w:numPr>
        <w:shd w:val="clear" w:color="auto" w:fill="auto"/>
        <w:bidi w:val="0"/>
        <w:spacing w:before="0" w:line="240" w:lineRule="auto"/>
        <w:ind w:left="0" w:right="0" w:firstLine="0"/>
        <w:jc w:val="both"/>
      </w:pPr>
      <w:bookmarkStart w:id="1120" w:name="bookmark1120"/>
      <w:bookmarkStart w:id="1121" w:name="bookmark1121"/>
      <w:bookmarkStart w:id="1122" w:name="bookmark1122"/>
      <w:bookmarkStart w:id="1123" w:name="bookmark1123"/>
      <w:bookmarkEnd w:id="1122"/>
      <w:r>
        <w:rPr>
          <w:color w:val="000000"/>
          <w:spacing w:val="0"/>
          <w:w w:val="100"/>
          <w:position w:val="0"/>
        </w:rPr>
        <w:t>存货分类</w:t>
      </w:r>
      <w:bookmarkEnd w:id="1120"/>
      <w:bookmarkEnd w:id="1121"/>
      <w:bookmarkEnd w:id="1123"/>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w:t>
      </w:r>
      <w:r>
        <w:rPr>
          <w:color w:val="000000"/>
          <w:spacing w:val="0"/>
          <w:w w:val="100"/>
          <w:position w:val="0"/>
        </w:rPr>
        <w:t>上市公司从事房地产业务》的披露要求</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按性质分类：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393,705,127.28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393,705,127.28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314,727,758.07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314,727,758.07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110,348,985.85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110,348,985.85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18,244,469.98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589,193.05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17,655,276.93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17,363,319.96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514,586.04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16,848,733.92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198,187,442.77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198,187,442.77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127,423,851.40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127,423,851.40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37,912,530.95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37,912,530.95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27,756,047.79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27,756,047.79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758,398,556.83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589,193.05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757,809,363.78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487,270,977.22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514,586.04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486,756,391.18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rPr>
        <w:t>“</w:t>
      </w:r>
      <w:r>
        <w:rPr>
          <w:color w:val="000000"/>
          <w:spacing w:val="0"/>
          <w:w w:val="100"/>
          <w:position w:val="0"/>
        </w:rPr>
        <w:t>开发成本</w:t>
      </w:r>
      <w:r>
        <w:rPr>
          <w:rFonts w:ascii="Times New Roman" w:eastAsia="Times New Roman" w:hAnsi="Times New Roman" w:cs="Times New Roman"/>
          <w:color w:val="000000"/>
          <w:spacing w:val="0"/>
          <w:w w:val="100"/>
          <w:position w:val="0"/>
        </w:rPr>
        <w:t>”</w:t>
      </w:r>
      <w:r>
        <w:rPr>
          <w:color w:val="000000"/>
          <w:spacing w:val="0"/>
          <w:w w:val="100"/>
          <w:position w:val="0"/>
        </w:rPr>
        <w:t>及其利息资本化率情况:</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开工时间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预计竣工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预计总投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本期转入 开发产品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本期其他</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减少金额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利息资本</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化累计金</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其中：本期 利息资本 化金额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资金来源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马鞍山智 慧园项目 一期工程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150,000,00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143,305,48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110,348,98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32,956,496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17,890,280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慧园项目 二、三期 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信阳榕基 软件园项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600,000,00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171,334,27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196,331,48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郑州市金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水区科教</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新城项目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600,000,00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179,483,36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1,350,000,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314,727,75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110,348,98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32,956,496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393,705,12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rPr>
        <w:t>“</w:t>
      </w:r>
      <w:r>
        <w:rPr>
          <w:color w:val="000000"/>
          <w:spacing w:val="0"/>
          <w:w w:val="100"/>
          <w:position w:val="0"/>
        </w:rPr>
        <w:t>开发产品</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4"/>
        <w:gridCol w:w="1325"/>
        <w:gridCol w:w="1618"/>
        <w:gridCol w:w="1656"/>
        <w:gridCol w:w="1656"/>
        <w:gridCol w:w="19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竣工时间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马鞍山智慧园项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目一期工程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110,348,985.85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110,348,985.85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110,348,985.85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110,348,985.85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rPr>
        <w:t>“</w:t>
      </w:r>
      <w:r>
        <w:rPr>
          <w:color w:val="000000"/>
          <w:spacing w:val="0"/>
          <w:w w:val="100"/>
          <w:position w:val="0"/>
        </w:rPr>
        <w:t>分期收款开发产品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出租开发产品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周转房</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34"/>
        <w:gridCol w:w="1786"/>
        <w:gridCol w:w="2150"/>
        <w:gridCol w:w="1670"/>
        <w:gridCol w:w="264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24"/>
      <w:bookmarkEnd w:id="1125"/>
      <w:bookmarkEnd w:id="1127"/>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按下列格式披露存货跌价准备金计提情况:</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按性质分类：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68"/>
        <w:gridCol w:w="898"/>
        <w:gridCol w:w="1195"/>
        <w:gridCol w:w="1070"/>
        <w:gridCol w:w="1325"/>
        <w:gridCol w:w="1459"/>
        <w:gridCol w:w="1195"/>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514,586.04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74,607.01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589,193.05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514,586.04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74,607.01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589,193.05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按项目分类：</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68"/>
        <w:gridCol w:w="898"/>
        <w:gridCol w:w="1195"/>
        <w:gridCol w:w="1075"/>
        <w:gridCol w:w="1320"/>
        <w:gridCol w:w="1459"/>
        <w:gridCol w:w="1195"/>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）存货期末余额中借款费用资本化率的情况</w:t>
      </w:r>
      <w:bookmarkEnd w:id="1128"/>
      <w:bookmarkEnd w:id="1129"/>
      <w:bookmarkEnd w:id="1131"/>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存货期末余额中无借款费用资本化金额。</w:t>
      </w:r>
    </w:p>
    <w:p>
      <w:pPr>
        <w:pStyle w:val="Style44"/>
        <w:keepNext/>
        <w:keepLines/>
        <w:widowControl w:val="0"/>
        <w:numPr>
          <w:ilvl w:val="0"/>
          <w:numId w:val="27"/>
        </w:numPr>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存货受限情况</w:t>
      </w:r>
      <w:bookmarkEnd w:id="1132"/>
      <w:bookmarkEnd w:id="1133"/>
      <w:bookmarkEnd w:id="113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按项目披露受限存货情况：</w:t>
      </w:r>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746"/>
        <w:gridCol w:w="1819"/>
        <w:gridCol w:w="2506"/>
        <w:gridCol w:w="2510"/>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bl>
    <w:p>
      <w:pPr>
        <w:widowControl w:val="0"/>
        <w:spacing w:after="359" w:line="1" w:lineRule="exact"/>
      </w:pPr>
    </w:p>
    <w:p>
      <w:pPr>
        <w:pStyle w:val="Style44"/>
        <w:keepNext/>
        <w:keepLines/>
        <w:widowControl w:val="0"/>
        <w:numPr>
          <w:ilvl w:val="0"/>
          <w:numId w:val="27"/>
        </w:numPr>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期末建造合同形成的已完工未结算资产情况</w:t>
      </w:r>
      <w:bookmarkEnd w:id="1136"/>
      <w:bookmarkEnd w:id="1137"/>
      <w:bookmarkEnd w:id="1139"/>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140"/>
      <w:bookmarkEnd w:id="1141"/>
      <w:bookmarkEnd w:id="1143"/>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预计处置时间</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44"/>
      <w:bookmarkEnd w:id="1145"/>
      <w:bookmarkEnd w:id="1147"/>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48"/>
      <w:bookmarkEnd w:id="1149"/>
      <w:bookmarkEnd w:id="11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33,246,349.79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15,455,298.67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3,425,259.58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银行短期理财产品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328,000,000.00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239,671,609.37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343,455,298.67</w:t>
            </w:r>
          </w:p>
        </w:tc>
      </w:tr>
    </w:tbl>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说明：期末其他流动资产主要系本集团购买的保本浮动收益理财产品，因该产品无活跃市场且期限短于</w:t>
      </w:r>
      <w:r>
        <w:rPr>
          <w:rFonts w:ascii="Times New Roman" w:eastAsia="Times New Roman" w:hAnsi="Times New Roman" w:cs="Times New Roman"/>
          <w:color w:val="000000"/>
          <w:spacing w:val="0"/>
          <w:w w:val="100"/>
          <w:position w:val="0"/>
        </w:rPr>
        <w:t>1</w:t>
      </w:r>
      <w:r>
        <w:rPr>
          <w:color w:val="000000"/>
          <w:spacing w:val="0"/>
          <w:w w:val="100"/>
          <w:position w:val="0"/>
        </w:rPr>
        <w:t>年，故列示在其他 流动资产中。</w:t>
      </w:r>
      <w:r>
        <w:br w:type="page"/>
      </w:r>
    </w:p>
    <w:p>
      <w:pPr>
        <w:pStyle w:val="Style33"/>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52"/>
      <w:bookmarkEnd w:id="1153"/>
      <w:bookmarkEnd w:id="1155"/>
    </w:p>
    <w:p>
      <w:pPr>
        <w:pStyle w:val="Style44"/>
        <w:keepNext/>
        <w:keepLines/>
        <w:widowControl w:val="0"/>
        <w:numPr>
          <w:ilvl w:val="0"/>
          <w:numId w:val="49"/>
        </w:numPr>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可供出售金融资产情况</w:t>
      </w:r>
      <w:bookmarkEnd w:id="1156"/>
      <w:bookmarkEnd w:id="1157"/>
      <w:bookmarkEnd w:id="11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0"/>
        <w:gridCol w:w="125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43,400,000.00</w:t>
            </w:r>
          </w:p>
        </w:tc>
      </w:tr>
    </w:tbl>
    <w:p>
      <w:pPr>
        <w:widowControl w:val="0"/>
        <w:spacing w:after="29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期末按公允价值计量的可供出售金融资产</w:t>
      </w:r>
      <w:bookmarkEnd w:id="1160"/>
      <w:bookmarkEnd w:id="1161"/>
      <w:bookmarkEnd w:id="11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widowControl w:val="0"/>
        <w:spacing w:after="29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期末按成本计量的可供出售金融资产</w:t>
      </w:r>
      <w:bookmarkEnd w:id="1164"/>
      <w:bookmarkEnd w:id="1165"/>
      <w:bookmarkEnd w:id="11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74"/>
        <w:gridCol w:w="869"/>
        <w:gridCol w:w="869"/>
        <w:gridCol w:w="869"/>
        <w:gridCol w:w="874"/>
        <w:gridCol w:w="869"/>
        <w:gridCol w:w="869"/>
        <w:gridCol w:w="869"/>
        <w:gridCol w:w="88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厦门国际 银行股份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43,400,000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43,400,000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2,182,365.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43,400,000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43,400,000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2,182,365.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r>
    </w:tbl>
    <w:p>
      <w:pPr>
        <w:widowControl w:val="0"/>
        <w:spacing w:after="29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报告期内可供出售金融资产减值的变动情况</w:t>
      </w:r>
      <w:bookmarkEnd w:id="1168"/>
      <w:bookmarkEnd w:id="1169"/>
      <w:bookmarkEnd w:id="11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widowControl w:val="0"/>
        <w:spacing w:after="29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可供出售权益工具期末公允价值严重下跌或非暂时性下跌但未计提减值准备的相关说明</w:t>
      </w:r>
      <w:bookmarkEnd w:id="1172"/>
      <w:bookmarkEnd w:id="1173"/>
      <w:bookmarkEnd w:id="117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未计提减值原因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76"/>
      <w:bookmarkEnd w:id="1177"/>
      <w:bookmarkEnd w:id="1179"/>
    </w:p>
    <w:p>
      <w:pPr>
        <w:pStyle w:val="Style44"/>
        <w:keepNext/>
        <w:keepLines/>
        <w:widowControl w:val="0"/>
        <w:numPr>
          <w:ilvl w:val="0"/>
          <w:numId w:val="51"/>
        </w:numPr>
        <w:shd w:val="clear" w:color="auto" w:fill="auto"/>
        <w:bidi w:val="0"/>
        <w:spacing w:before="0" w:after="34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持有至到期投资情况</w:t>
      </w:r>
      <w:bookmarkEnd w:id="1180"/>
      <w:bookmarkEnd w:id="1181"/>
      <w:bookmarkEnd w:id="11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339" w:line="1" w:lineRule="exact"/>
      </w:pPr>
    </w:p>
    <w:p>
      <w:pPr>
        <w:pStyle w:val="Style44"/>
        <w:keepNext/>
        <w:keepLines/>
        <w:widowControl w:val="0"/>
        <w:numPr>
          <w:ilvl w:val="0"/>
          <w:numId w:val="51"/>
        </w:numPr>
        <w:shd w:val="clear" w:color="auto" w:fill="auto"/>
        <w:bidi w:val="0"/>
        <w:spacing w:before="0" w:after="34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期末重要的持有至到期投资</w:t>
      </w:r>
      <w:bookmarkEnd w:id="1184"/>
      <w:bookmarkEnd w:id="1185"/>
      <w:bookmarkEnd w:id="11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r>
    </w:tbl>
    <w:p>
      <w:pPr>
        <w:widowControl w:val="0"/>
        <w:spacing w:after="339" w:line="1" w:lineRule="exact"/>
      </w:pPr>
    </w:p>
    <w:p>
      <w:pPr>
        <w:pStyle w:val="Style44"/>
        <w:keepNext/>
        <w:keepLines/>
        <w:widowControl w:val="0"/>
        <w:numPr>
          <w:ilvl w:val="0"/>
          <w:numId w:val="51"/>
        </w:numPr>
        <w:shd w:val="clear" w:color="auto" w:fill="auto"/>
        <w:bidi w:val="0"/>
        <w:spacing w:before="0" w:after="34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本期重分类的持有至到期投资</w:t>
      </w:r>
      <w:bookmarkEnd w:id="1188"/>
      <w:bookmarkEnd w:id="1189"/>
      <w:bookmarkEnd w:id="1191"/>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92"/>
      <w:bookmarkEnd w:id="1193"/>
      <w:bookmarkEnd w:id="1195"/>
    </w:p>
    <w:p>
      <w:pPr>
        <w:pStyle w:val="Style44"/>
        <w:keepNext/>
        <w:keepLines/>
        <w:widowControl w:val="0"/>
        <w:numPr>
          <w:ilvl w:val="0"/>
          <w:numId w:val="53"/>
        </w:numPr>
        <w:shd w:val="clear" w:color="auto" w:fill="auto"/>
        <w:bidi w:val="0"/>
        <w:spacing w:before="0" w:after="34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长期应收款情况</w:t>
      </w:r>
      <w:bookmarkEnd w:id="1196"/>
      <w:bookmarkEnd w:id="1197"/>
      <w:bookmarkEnd w:id="119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44"/>
        <w:keepNext/>
        <w:keepLines/>
        <w:widowControl w:val="0"/>
        <w:numPr>
          <w:ilvl w:val="0"/>
          <w:numId w:val="53"/>
        </w:numPr>
        <w:shd w:val="clear" w:color="auto" w:fill="auto"/>
        <w:tabs>
          <w:tab w:pos="488" w:val="left"/>
        </w:tabs>
        <w:bidi w:val="0"/>
        <w:spacing w:before="0" w:after="34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因金融资产转移而终止确认的长期应收款</w:t>
      </w:r>
      <w:bookmarkEnd w:id="1200"/>
      <w:bookmarkEnd w:id="1201"/>
      <w:bookmarkEnd w:id="1203"/>
    </w:p>
    <w:p>
      <w:pPr>
        <w:pStyle w:val="Style44"/>
        <w:keepNext/>
        <w:keepLines/>
        <w:widowControl w:val="0"/>
        <w:numPr>
          <w:ilvl w:val="0"/>
          <w:numId w:val="53"/>
        </w:numPr>
        <w:shd w:val="clear" w:color="auto" w:fill="auto"/>
        <w:tabs>
          <w:tab w:pos="488" w:val="left"/>
        </w:tabs>
        <w:bidi w:val="0"/>
        <w:spacing w:before="0" w:after="34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转移长期应收款且继续涉入形成的资产、负债金额</w:t>
      </w:r>
      <w:bookmarkEnd w:id="1204"/>
      <w:bookmarkEnd w:id="1205"/>
      <w:bookmarkEnd w:id="1207"/>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08"/>
      <w:bookmarkEnd w:id="1209"/>
      <w:bookmarkEnd w:id="12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减值准备 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福建亿榕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55,659,08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15,556,94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5,232,590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59,343,62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信息技术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福建文鑫</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莲业股份</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27,761,67</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396,064.1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28,157,73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建宁县日 升投资有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3,777,519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-225,478.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3,552,041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福建闽光</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软件股份</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105,349.8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3,605,349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87,198,27</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15,832,87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17,105,00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5,232,590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94,658,74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87,198,27</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15,832,87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17,105,00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5,232,590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94,658,74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说明：长期股权投资</w:t>
      </w:r>
      <w:r>
        <w:rPr>
          <w:rFonts w:ascii="Times New Roman" w:eastAsia="Times New Roman" w:hAnsi="Times New Roman" w:cs="Times New Roman"/>
          <w:color w:val="000000"/>
          <w:spacing w:val="0"/>
          <w:w w:val="100"/>
          <w:position w:val="0"/>
        </w:rPr>
        <w:t>-</w:t>
      </w:r>
      <w:r>
        <w:rPr>
          <w:color w:val="000000"/>
          <w:spacing w:val="0"/>
          <w:w w:val="100"/>
          <w:position w:val="0"/>
        </w:rPr>
        <w:t>其他本期增加</w:t>
      </w:r>
      <w:r>
        <w:rPr>
          <w:rFonts w:ascii="Times New Roman" w:eastAsia="Times New Roman" w:hAnsi="Times New Roman" w:cs="Times New Roman"/>
          <w:color w:val="000000"/>
          <w:spacing w:val="0"/>
          <w:w w:val="100"/>
          <w:position w:val="0"/>
        </w:rPr>
        <w:t>5,232,590.13</w:t>
      </w:r>
      <w:r>
        <w:rPr>
          <w:color w:val="000000"/>
          <w:spacing w:val="0"/>
          <w:w w:val="100"/>
          <w:position w:val="0"/>
        </w:rPr>
        <w:t>元，系本年联营企业福建亿榕信息技术有限公司个人股东退出导致本公司 注册资本减少，本公司持股比例发生变化，本公司在减资之后所享有的该公司的净资产份额与减资之前享有的净资产份额之 间的差额</w:t>
      </w:r>
      <w:r>
        <w:rPr>
          <w:rFonts w:ascii="Times New Roman" w:eastAsia="Times New Roman" w:hAnsi="Times New Roman" w:cs="Times New Roman"/>
          <w:color w:val="000000"/>
          <w:spacing w:val="0"/>
          <w:w w:val="100"/>
          <w:position w:val="0"/>
        </w:rPr>
        <w:t>5,232,590.13</w:t>
      </w:r>
      <w:r>
        <w:rPr>
          <w:color w:val="000000"/>
          <w:spacing w:val="0"/>
          <w:w w:val="100"/>
          <w:position w:val="0"/>
        </w:rPr>
        <w:t>元调整长期股权投资账面价值，相应调增本公司资本公积。</w:t>
      </w:r>
    </w:p>
    <w:p>
      <w:pPr>
        <w:pStyle w:val="Style33"/>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12"/>
      <w:bookmarkEnd w:id="1213"/>
      <w:bookmarkEnd w:id="1215"/>
    </w:p>
    <w:p>
      <w:pPr>
        <w:pStyle w:val="Style44"/>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16"/>
      <w:bookmarkEnd w:id="1217"/>
      <w:bookmarkEnd w:id="1219"/>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15,965,481.98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15,965,481.98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xml:space="preserve">）存货 </w:t>
            </w:r>
            <w:r>
              <w:rPr>
                <w:color w:val="000000"/>
                <w:spacing w:val="0"/>
                <w:w w:val="100"/>
                <w:position w:val="0"/>
              </w:rPr>
              <w:t>'</w:t>
            </w:r>
            <w:r>
              <w:rPr>
                <w:rFonts w:ascii="SimSun" w:eastAsia="SimSun" w:hAnsi="SimSun" w:cs="SimSun"/>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15,965,481.98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15,965,481.98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15,965,481.98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15,965,481.98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二、累计折旧和累计摊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341,075.77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341,075.77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341,075.77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341,075.77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341,075.77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341,075.77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341,075.77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341,075.77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15,624,406.21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15,624,406.21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15,624,406.21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15,624,406.21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numPr>
          <w:ilvl w:val="0"/>
          <w:numId w:val="47"/>
        </w:numPr>
        <w:shd w:val="clear" w:color="auto" w:fill="auto"/>
        <w:tabs>
          <w:tab w:pos="488" w:val="left"/>
        </w:tabs>
        <w:bidi w:val="0"/>
        <w:spacing w:before="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采用公允价值计量模式的投资性房地产</w:t>
      </w:r>
      <w:bookmarkEnd w:id="1220"/>
      <w:bookmarkEnd w:id="1221"/>
      <w:bookmarkEnd w:id="122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numPr>
          <w:ilvl w:val="0"/>
          <w:numId w:val="47"/>
        </w:numPr>
        <w:shd w:val="clear" w:color="auto" w:fill="auto"/>
        <w:tabs>
          <w:tab w:pos="488" w:val="left"/>
        </w:tabs>
        <w:bidi w:val="0"/>
        <w:spacing w:before="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未办妥产权证书的投资性房地产情况</w:t>
      </w:r>
      <w:bookmarkEnd w:id="1224"/>
      <w:bookmarkEnd w:id="1225"/>
      <w:bookmarkEnd w:id="12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马鞍山智慧园项目一期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15,624,406.21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尚在办理中</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28"/>
      <w:bookmarkEnd w:id="1229"/>
      <w:bookmarkEnd w:id="1231"/>
    </w:p>
    <w:p>
      <w:pPr>
        <w:pStyle w:val="Style44"/>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2"/>
      <w:bookmarkEnd w:id="1233"/>
      <w:bookmarkEnd w:id="12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6,442,068.00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18,261,322.10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62,458,700.63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3,750,756.57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90,912,847.30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2,416,598.88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2,488,136.47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3,324,562.13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893,252.94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9,122,550.42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2,488,136.47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3,324,562.13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893,252.94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6,705,951.54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2,416,598.88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2,416,598.88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1,218,505.00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375,287.35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793,136.73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1,579,918.74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3,966,847.82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1,218,505.00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375,287.35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793,136.73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1,579,918.74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3,966,847.82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7,640,161.88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20,374,171.22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64,990,126.03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3,064,090.77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96,068,549.90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3,966,340.12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5,870,604.32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39,977,488.02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3,151,386.94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52,965,819.40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363,392.54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2,179,612.54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8,232,292.58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220,125.80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10,995,423.46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363,392.54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2,179,612.54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8,232,292.58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220,125.80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10,995,423.46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810,305.92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167,967.44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753,553.18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1,497,708.06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3,229,534.60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810,305.92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167,967.44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753,553.18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1,497,708.06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3,229,534.60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3,519,426.74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7,882,249.42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47,456,227.42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1,873,804.68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60,731,708.26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4,120,735.14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12,491,921.80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17,533,898.61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1,190,286.09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35,336,841.64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2,475,727.88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12,390,717.78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22,481,212.61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599,369.63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37,947,027.90</w:t>
            </w:r>
          </w:p>
        </w:tc>
      </w:tr>
    </w:tbl>
    <w:p>
      <w:pPr>
        <w:widowControl w:val="0"/>
        <w:spacing w:after="299" w:line="1" w:lineRule="exact"/>
      </w:pPr>
    </w:p>
    <w:p>
      <w:pPr>
        <w:pStyle w:val="Style44"/>
        <w:keepNext/>
        <w:keepLines/>
        <w:widowControl w:val="0"/>
        <w:numPr>
          <w:ilvl w:val="0"/>
          <w:numId w:val="41"/>
        </w:numPr>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暂时闲置的固定资产情况</w:t>
      </w:r>
      <w:bookmarkEnd w:id="1236"/>
      <w:bookmarkEnd w:id="1237"/>
      <w:bookmarkEnd w:id="12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299" w:line="1" w:lineRule="exact"/>
      </w:pPr>
    </w:p>
    <w:p>
      <w:pPr>
        <w:pStyle w:val="Style44"/>
        <w:keepNext/>
        <w:keepLines/>
        <w:widowControl w:val="0"/>
        <w:numPr>
          <w:ilvl w:val="0"/>
          <w:numId w:val="41"/>
        </w:numPr>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通过融资租赁租入的固定资产情况</w:t>
      </w:r>
      <w:bookmarkEnd w:id="1240"/>
      <w:bookmarkEnd w:id="1241"/>
      <w:bookmarkEnd w:id="124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299" w:line="1" w:lineRule="exact"/>
      </w:pPr>
    </w:p>
    <w:p>
      <w:pPr>
        <w:pStyle w:val="Style44"/>
        <w:keepNext/>
        <w:keepLines/>
        <w:widowControl w:val="0"/>
        <w:numPr>
          <w:ilvl w:val="0"/>
          <w:numId w:val="41"/>
        </w:numPr>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通过经营租赁租出的固定资产</w:t>
      </w:r>
      <w:bookmarkEnd w:id="1244"/>
      <w:bookmarkEnd w:id="1245"/>
      <w:bookmarkEnd w:id="124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bl>
    <w:p>
      <w:pPr>
        <w:widowControl w:val="0"/>
        <w:spacing w:after="299" w:line="1" w:lineRule="exact"/>
      </w:pPr>
    </w:p>
    <w:p>
      <w:pPr>
        <w:pStyle w:val="Style44"/>
        <w:keepNext/>
        <w:keepLines/>
        <w:widowControl w:val="0"/>
        <w:numPr>
          <w:ilvl w:val="0"/>
          <w:numId w:val="41"/>
        </w:numPr>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未办妥产权证书的固定资产情况</w:t>
      </w:r>
      <w:bookmarkEnd w:id="1248"/>
      <w:bookmarkEnd w:id="1249"/>
      <w:bookmarkEnd w:id="12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马鞍山智慧园项目一期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2,359,204.66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尚在办理中</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52"/>
      <w:bookmarkEnd w:id="1253"/>
      <w:bookmarkEnd w:id="1255"/>
    </w:p>
    <w:p>
      <w:pPr>
        <w:pStyle w:val="Style44"/>
        <w:keepNext/>
        <w:keepLines/>
        <w:widowControl w:val="0"/>
        <w:numPr>
          <w:ilvl w:val="0"/>
          <w:numId w:val="55"/>
        </w:numPr>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在建工程情况</w:t>
      </w:r>
      <w:bookmarkEnd w:id="1256"/>
      <w:bookmarkEnd w:id="1257"/>
      <w:bookmarkEnd w:id="12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上海榕基软件园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9,305,843.61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9,305,843.61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3,766,730.33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3,766,730.33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福州软件园</w:t>
            </w:r>
            <w:r>
              <w:rPr>
                <w:color w:val="000000"/>
                <w:spacing w:val="0"/>
                <w:w w:val="100"/>
                <w:position w:val="0"/>
              </w:rPr>
              <w:t>A</w:t>
            </w:r>
            <w:r>
              <w:rPr>
                <w:rFonts w:ascii="SimSun" w:eastAsia="SimSun" w:hAnsi="SimSun" w:cs="SimSun"/>
                <w:color w:val="000000"/>
                <w:spacing w:val="0"/>
                <w:w w:val="100"/>
                <w:position w:val="0"/>
              </w:rPr>
              <w:t>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1,732,108.91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1,732,108.91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办公楼装修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11,037,952.52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11,037,952.52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3,766,730.33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3,766,730.33</w:t>
            </w:r>
          </w:p>
        </w:tc>
      </w:tr>
    </w:tbl>
    <w:p>
      <w:pPr>
        <w:widowControl w:val="0"/>
        <w:spacing w:after="319" w:line="1" w:lineRule="exact"/>
      </w:pPr>
    </w:p>
    <w:p>
      <w:pPr>
        <w:pStyle w:val="Style44"/>
        <w:keepNext/>
        <w:keepLines/>
        <w:widowControl w:val="0"/>
        <w:numPr>
          <w:ilvl w:val="0"/>
          <w:numId w:val="55"/>
        </w:numPr>
        <w:shd w:val="clear" w:color="auto" w:fill="auto"/>
        <w:bidi w:val="0"/>
        <w:spacing w:before="0" w:line="240" w:lineRule="auto"/>
        <w:ind w:left="0" w:right="0" w:firstLine="14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重要在建工程项目本期变动情况</w:t>
      </w:r>
      <w:bookmarkEnd w:id="1260"/>
      <w:bookmarkEnd w:id="1261"/>
      <w:bookmarkEnd w:id="12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9"/>
        <w:gridCol w:w="730"/>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利息资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本化累</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上海榕 基软件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317,067,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3,766,73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5,539,11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9,305,84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317,067,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3,766,73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5,539,11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9,305,84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4"/>
        <w:keepNext/>
        <w:keepLines/>
        <w:widowControl w:val="0"/>
        <w:numPr>
          <w:ilvl w:val="0"/>
          <w:numId w:val="55"/>
        </w:numPr>
        <w:shd w:val="clear" w:color="auto" w:fill="auto"/>
        <w:bidi w:val="0"/>
        <w:spacing w:before="0" w:line="240" w:lineRule="auto"/>
        <w:ind w:left="0" w:right="0" w:firstLine="14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本期计提在建工程减值准备情况</w:t>
      </w:r>
      <w:bookmarkEnd w:id="1264"/>
      <w:bookmarkEnd w:id="1265"/>
      <w:bookmarkEnd w:id="12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68"/>
      <w:bookmarkEnd w:id="1269"/>
      <w:bookmarkEnd w:id="127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72"/>
      <w:bookmarkEnd w:id="1273"/>
      <w:bookmarkEnd w:id="127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276"/>
      <w:bookmarkEnd w:id="1277"/>
      <w:bookmarkEnd w:id="1279"/>
    </w:p>
    <w:p>
      <w:pPr>
        <w:pStyle w:val="Style44"/>
        <w:keepNext/>
        <w:keepLines/>
        <w:widowControl w:val="0"/>
        <w:numPr>
          <w:ilvl w:val="0"/>
          <w:numId w:val="57"/>
        </w:numPr>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采用成本计量模式的生产性生物资产</w:t>
      </w:r>
      <w:bookmarkEnd w:id="1280"/>
      <w:bookmarkEnd w:id="1281"/>
      <w:bookmarkEnd w:id="1283"/>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4"/>
        <w:keepNext/>
        <w:keepLines/>
        <w:widowControl w:val="0"/>
        <w:numPr>
          <w:ilvl w:val="0"/>
          <w:numId w:val="57"/>
        </w:numPr>
        <w:shd w:val="clear" w:color="auto" w:fill="auto"/>
        <w:bidi w:val="0"/>
        <w:spacing w:before="0" w:line="240" w:lineRule="auto"/>
        <w:ind w:left="0" w:right="0" w:firstLine="0"/>
        <w:jc w:val="both"/>
      </w:pPr>
      <w:bookmarkStart w:id="1284" w:name="bookmark1284"/>
      <w:bookmarkStart w:id="1285" w:name="bookmark1285"/>
      <w:bookmarkStart w:id="1286" w:name="bookmark1286"/>
      <w:bookmarkStart w:id="1287" w:name="bookmark1287"/>
      <w:bookmarkEnd w:id="1286"/>
      <w:r>
        <w:rPr>
          <w:color w:val="000000"/>
          <w:spacing w:val="0"/>
          <w:w w:val="100"/>
          <w:position w:val="0"/>
        </w:rPr>
        <w:t>采用公允价值计量模式的生产性生物资产</w:t>
      </w:r>
      <w:bookmarkEnd w:id="1284"/>
      <w:bookmarkEnd w:id="1285"/>
      <w:bookmarkEnd w:id="1287"/>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360" w:line="240" w:lineRule="auto"/>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88"/>
      <w:bookmarkEnd w:id="1289"/>
      <w:bookmarkEnd w:id="1291"/>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36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92"/>
      <w:bookmarkEnd w:id="1293"/>
      <w:bookmarkEnd w:id="1295"/>
    </w:p>
    <w:p>
      <w:pPr>
        <w:pStyle w:val="Style44"/>
        <w:keepNext/>
        <w:keepLines/>
        <w:widowControl w:val="0"/>
        <w:numPr>
          <w:ilvl w:val="0"/>
          <w:numId w:val="59"/>
        </w:numPr>
        <w:shd w:val="clear" w:color="auto" w:fill="auto"/>
        <w:bidi w:val="0"/>
        <w:spacing w:before="0" w:line="240" w:lineRule="auto"/>
        <w:ind w:left="0" w:right="0" w:firstLine="0"/>
        <w:jc w:val="both"/>
      </w:pPr>
      <w:bookmarkStart w:id="1296" w:name="bookmark1296"/>
      <w:bookmarkStart w:id="1297" w:name="bookmark1297"/>
      <w:bookmarkStart w:id="1298" w:name="bookmark1298"/>
      <w:bookmarkStart w:id="1299" w:name="bookmark1299"/>
      <w:bookmarkEnd w:id="1298"/>
      <w:r>
        <w:rPr>
          <w:color w:val="000000"/>
          <w:spacing w:val="0"/>
          <w:w w:val="100"/>
          <w:position w:val="0"/>
        </w:rPr>
        <w:t>无形资产情况</w:t>
      </w:r>
      <w:bookmarkEnd w:id="1296"/>
      <w:bookmarkEnd w:id="1297"/>
      <w:bookmarkEnd w:id="12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计算机软件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自行开发软件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34,407,139.44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110,297,557.98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228,134,697.42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345,846.54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26,162,784.45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26,508,630.99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345,846.54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345,846.54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26,162,784.45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26,162,784.45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34,752,985.98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136,460,342.43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254,643,328.41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1,525,500.00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17,265,038.28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81,754,141.65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100,544,679.93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1,668,600.00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5,537,937.98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21,373,310.93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28,579,848.91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1,668,600.00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5,537,937.98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21,373,310.93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28,579,848.91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22,802,976.26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103,127,452.58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129,124,528.84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80,235,900.00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11,950,009.72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33,332,889.85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125,518,799.57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81,904,500.00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17,142,101.16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28,543,416.33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127,590,017.49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44"/>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00"/>
      <w:bookmarkEnd w:id="1301"/>
      <w:bookmarkEnd w:id="13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820" w:val="left"/>
        </w:tabs>
        <w:bidi w:val="0"/>
        <w:spacing w:before="0" w:after="120" w:line="240" w:lineRule="auto"/>
        <w:ind w:left="0" w:right="0"/>
        <w:jc w:val="left"/>
      </w:pPr>
      <w:bookmarkStart w:id="1304" w:name="bookmark1304"/>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w:t>
        <w:tab/>
        <w:t>期末，通过内部研发形成的无形资产占无形资产余额的比例为</w:t>
      </w:r>
      <w:r>
        <w:rPr>
          <w:rFonts w:ascii="Times New Roman" w:eastAsia="Times New Roman" w:hAnsi="Times New Roman" w:cs="Times New Roman"/>
          <w:color w:val="000000"/>
          <w:spacing w:val="0"/>
          <w:w w:val="100"/>
          <w:position w:val="0"/>
        </w:rPr>
        <w:t>53.59%</w:t>
      </w:r>
      <w:r>
        <w:rPr>
          <w:color w:val="000000"/>
          <w:spacing w:val="0"/>
          <w:w w:val="100"/>
          <w:position w:val="0"/>
        </w:rPr>
        <w:t>。</w:t>
      </w:r>
    </w:p>
    <w:p>
      <w:pPr>
        <w:pStyle w:val="Style30"/>
        <w:keepNext w:val="0"/>
        <w:keepLines w:val="0"/>
        <w:widowControl w:val="0"/>
        <w:shd w:val="clear" w:color="auto" w:fill="auto"/>
        <w:tabs>
          <w:tab w:pos="820" w:val="left"/>
        </w:tabs>
        <w:bidi w:val="0"/>
        <w:spacing w:before="0" w:after="120" w:line="240" w:lineRule="auto"/>
        <w:ind w:left="0" w:right="0"/>
        <w:jc w:val="left"/>
      </w:pPr>
      <w:bookmarkStart w:id="1305" w:name="bookmark1305"/>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期末，本公司无抵押、担保或未办妥产权证书的土地使用权。</w:t>
      </w:r>
    </w:p>
    <w:p>
      <w:pPr>
        <w:pStyle w:val="Style30"/>
        <w:keepNext w:val="0"/>
        <w:keepLines w:val="0"/>
        <w:widowControl w:val="0"/>
        <w:shd w:val="clear" w:color="auto" w:fill="auto"/>
        <w:tabs>
          <w:tab w:pos="820" w:val="left"/>
        </w:tabs>
        <w:bidi w:val="0"/>
        <w:spacing w:before="0" w:after="380" w:line="240" w:lineRule="auto"/>
        <w:ind w:left="0" w:right="0"/>
        <w:jc w:val="left"/>
      </w:pPr>
      <w:bookmarkStart w:id="1306" w:name="bookmark1306"/>
      <w:r>
        <w:rPr>
          <w:color w:val="000000"/>
          <w:spacing w:val="0"/>
          <w:w w:val="100"/>
          <w:position w:val="0"/>
        </w:rPr>
        <w:t>（</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w:t>
        <w:tab/>
        <w:t>期末无形资产不存在减值情形。</w:t>
      </w:r>
    </w:p>
    <w:p>
      <w:pPr>
        <w:pStyle w:val="Style33"/>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07"/>
      <w:bookmarkEnd w:id="1308"/>
      <w:bookmarkEnd w:id="13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榕基手写批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1,764,668.07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2,225,793.81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3,990,461.88</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基于任务管 理平台的手 机</w:t>
            </w:r>
            <w:r>
              <w:rPr>
                <w:color w:val="000000"/>
                <w:spacing w:val="0"/>
                <w:w w:val="100"/>
                <w:position w:val="0"/>
              </w:rPr>
              <w:t>/PAD</w:t>
            </w:r>
            <w:r>
              <w:rPr>
                <w:rFonts w:ascii="SimSun" w:eastAsia="SimSun" w:hAnsi="SimSun" w:cs="SimSun"/>
                <w:color w:val="000000"/>
                <w:spacing w:val="0"/>
                <w:w w:val="100"/>
                <w:position w:val="0"/>
              </w:rPr>
              <w:t>移动 办公应用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5,189,748.01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7,890,512.21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13,080,260.2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榕基安全云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2,049,693.59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879,790.26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2,929,483.85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榕基旅游产</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业监测调度</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3,690,279.46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4,550,914.91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8,241,194.37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榕基呼叫中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2,989,373.39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1,181,085.25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4,170,458.64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榕基数据交 换平台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1,431,545.15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424,745.56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1,856,290.71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榕基智慧旅 游目的地系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4,353,209.10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1,710,190.79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6,063,399.89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中小企业公 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1,069,223.35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841,359.07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1,910,582.42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榕基全申报</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2,419,853.63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5,481,372.21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7,901,225.84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榕基综合风 险评估与管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2,548,863.39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2,548,863.39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榕基易贸商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6,032,241.35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6,032,241.35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干部信息综</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1,608,030.61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1,608,030.61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安全可靠政</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务信息采编</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379,012.56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379,012.56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星榕基大数</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据支撑平台</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302,450.03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星榕基党政 信息化平台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196,072.10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星榕基网格 化服务管理 信息平台软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194,540.00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星榕基教育 物联网检测 管理平台软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星榕基智慧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7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校园软件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27,506,457.1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34,114,110.7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26,162,784.4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35,457,783.4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说明：期末，开发支出不存在减值情形。</w:t>
      </w:r>
    </w:p>
    <w:p>
      <w:pPr>
        <w:pStyle w:val="Style33"/>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311"/>
      <w:bookmarkEnd w:id="1312"/>
      <w:bookmarkEnd w:id="1314"/>
    </w:p>
    <w:p>
      <w:pPr>
        <w:pStyle w:val="Style44"/>
        <w:keepNext/>
        <w:keepLines/>
        <w:widowControl w:val="0"/>
        <w:numPr>
          <w:ilvl w:val="0"/>
          <w:numId w:val="61"/>
        </w:numPr>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商誉账面原值</w:t>
      </w:r>
      <w:bookmarkEnd w:id="1315"/>
      <w:bookmarkEnd w:id="1316"/>
      <w:bookmarkEnd w:id="13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43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1272"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1319" w:name="bookmark1319"/>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)商誉减值准备</w:t>
            </w:r>
            <w:bookmarkEnd w:id="1319"/>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 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说明商誉减值测试过程、参数及商誉减值损失的确认方法:</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20"/>
      <w:bookmarkEnd w:id="1321"/>
      <w:bookmarkEnd w:id="13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794,343.73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198,815.40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595,528.33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794,343.73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198,815.40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595,528.33</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4"/>
      <w:bookmarkEnd w:id="1325"/>
      <w:bookmarkEnd w:id="1327"/>
    </w:p>
    <w:p>
      <w:pPr>
        <w:pStyle w:val="Style44"/>
        <w:keepNext/>
        <w:keepLines/>
        <w:widowControl w:val="0"/>
        <w:numPr>
          <w:ilvl w:val="0"/>
          <w:numId w:val="63"/>
        </w:numPr>
        <w:shd w:val="clear" w:color="auto" w:fill="auto"/>
        <w:bidi w:val="0"/>
        <w:spacing w:before="0" w:line="240" w:lineRule="auto"/>
        <w:ind w:left="0" w:right="0" w:firstLine="14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未经抵销的递延所得税资产</w:t>
      </w:r>
      <w:bookmarkEnd w:id="1328"/>
      <w:bookmarkEnd w:id="1329"/>
      <w:bookmarkEnd w:id="13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22,046,991.27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2,871,144.29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17,501,526.02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3,011,502.60</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71,260,678.64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17,076,029.34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68,469,258.12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14,439,447.98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2,904,551.26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7,024,923.06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1,086,538.46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96,212,221.17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20,239,503.76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92,995,707.20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18,537,489.04</w:t>
            </w:r>
          </w:p>
        </w:tc>
      </w:tr>
    </w:tbl>
    <w:p>
      <w:pPr>
        <w:widowControl w:val="0"/>
        <w:spacing w:after="299" w:line="1" w:lineRule="exact"/>
      </w:pPr>
    </w:p>
    <w:p>
      <w:pPr>
        <w:pStyle w:val="Style44"/>
        <w:keepNext/>
        <w:keepLines/>
        <w:widowControl w:val="0"/>
        <w:numPr>
          <w:ilvl w:val="0"/>
          <w:numId w:val="63"/>
        </w:numPr>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未经抵销的递延所得税负债</w:t>
      </w:r>
      <w:bookmarkEnd w:id="1332"/>
      <w:bookmarkEnd w:id="1333"/>
      <w:bookmarkEnd w:id="13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bl>
    <w:p>
      <w:pPr>
        <w:widowControl w:val="0"/>
        <w:spacing w:after="299" w:line="1" w:lineRule="exact"/>
      </w:pPr>
    </w:p>
    <w:p>
      <w:pPr>
        <w:pStyle w:val="Style44"/>
        <w:keepNext/>
        <w:keepLines/>
        <w:widowControl w:val="0"/>
        <w:numPr>
          <w:ilvl w:val="0"/>
          <w:numId w:val="63"/>
        </w:numPr>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以抵销后净额列示的递延所得税资产或负债</w:t>
      </w:r>
      <w:bookmarkEnd w:id="1336"/>
      <w:bookmarkEnd w:id="1337"/>
      <w:bookmarkEnd w:id="13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20,239,503.76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18,537,489.04</w:t>
            </w:r>
          </w:p>
        </w:tc>
      </w:tr>
    </w:tbl>
    <w:p>
      <w:pPr>
        <w:widowControl w:val="0"/>
        <w:spacing w:after="299" w:line="1" w:lineRule="exact"/>
      </w:pPr>
    </w:p>
    <w:p>
      <w:pPr>
        <w:pStyle w:val="Style44"/>
        <w:keepNext/>
        <w:keepLines/>
        <w:widowControl w:val="0"/>
        <w:numPr>
          <w:ilvl w:val="0"/>
          <w:numId w:val="63"/>
        </w:numPr>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未确认递延所得税资产明细</w:t>
      </w:r>
      <w:bookmarkEnd w:id="1340"/>
      <w:bookmarkEnd w:id="1341"/>
      <w:bookmarkEnd w:id="13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781,937.24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759,081.95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56,463,095.32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27,183,481.15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57,245,032.56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27,942,563.10</w:t>
            </w:r>
          </w:p>
        </w:tc>
      </w:tr>
    </w:tbl>
    <w:p>
      <w:pPr>
        <w:widowControl w:val="0"/>
        <w:spacing w:after="299" w:line="1" w:lineRule="exact"/>
      </w:pPr>
    </w:p>
    <w:p>
      <w:pPr>
        <w:pStyle w:val="Style44"/>
        <w:keepNext/>
        <w:keepLines/>
        <w:widowControl w:val="0"/>
        <w:numPr>
          <w:ilvl w:val="0"/>
          <w:numId w:val="63"/>
        </w:numPr>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未确认递延所得税资产的可抵扣亏损将于以下年度到期</w:t>
      </w:r>
      <w:bookmarkEnd w:id="1344"/>
      <w:bookmarkEnd w:id="1345"/>
      <w:bookmarkEnd w:id="13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2,224,797.30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2,735,338.87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1,365,896.98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14,565,324.53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2,628,241.73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14,848,739.78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8,368,802.98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11,451,389.66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12,595,742.16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12,862,302.48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56,463,095.32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27,183,481.15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48"/>
      <w:bookmarkEnd w:id="1349"/>
      <w:bookmarkEnd w:id="13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预付土地出让金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9,471,720.10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105,991,720.10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683,920.00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预付房屋、设备款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174,700.00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1,691,108.34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10,330,340.10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107,682,828.44</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52"/>
      <w:bookmarkEnd w:id="1353"/>
      <w:bookmarkEnd w:id="1355"/>
    </w:p>
    <w:p>
      <w:pPr>
        <w:pStyle w:val="Style44"/>
        <w:keepNext/>
        <w:keepLines/>
        <w:widowControl w:val="0"/>
        <w:numPr>
          <w:ilvl w:val="0"/>
          <w:numId w:val="65"/>
        </w:numPr>
        <w:shd w:val="clear" w:color="auto" w:fill="auto"/>
        <w:bidi w:val="0"/>
        <w:spacing w:before="0" w:line="240" w:lineRule="auto"/>
        <w:ind w:left="0" w:right="0" w:firstLine="140"/>
        <w:jc w:val="both"/>
      </w:pPr>
      <w:bookmarkStart w:id="1356" w:name="bookmark1356"/>
      <w:bookmarkStart w:id="1357" w:name="bookmark1357"/>
      <w:bookmarkStart w:id="1358" w:name="bookmark1358"/>
      <w:bookmarkStart w:id="1359" w:name="bookmark1359"/>
      <w:bookmarkEnd w:id="1358"/>
      <w:r>
        <w:rPr>
          <w:color w:val="000000"/>
          <w:spacing w:val="0"/>
          <w:w w:val="100"/>
          <w:position w:val="0"/>
        </w:rPr>
        <w:t>短期借款分类</w:t>
      </w:r>
      <w:bookmarkEnd w:id="1356"/>
      <w:bookmarkEnd w:id="1357"/>
      <w:bookmarkEnd w:id="13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73,000,000.00</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44"/>
        <w:keepNext/>
        <w:keepLines/>
        <w:widowControl w:val="0"/>
        <w:numPr>
          <w:ilvl w:val="0"/>
          <w:numId w:val="65"/>
        </w:numPr>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已逾期未偿还的短期借款情况</w:t>
      </w:r>
      <w:bookmarkEnd w:id="1360"/>
      <w:bookmarkEnd w:id="1361"/>
      <w:bookmarkEnd w:id="1363"/>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逾期利率</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64"/>
      <w:bookmarkEnd w:id="1365"/>
      <w:bookmarkEnd w:id="136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68"/>
      <w:bookmarkEnd w:id="1369"/>
      <w:bookmarkEnd w:id="137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36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72"/>
      <w:bookmarkEnd w:id="1373"/>
      <w:bookmarkEnd w:id="1375"/>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10,683,069.00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7,188,470.00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10,683,069.00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7,188,470.00</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400,000.00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76"/>
      <w:bookmarkEnd w:id="1377"/>
      <w:bookmarkEnd w:id="1379"/>
    </w:p>
    <w:p>
      <w:pPr>
        <w:pStyle w:val="Style44"/>
        <w:keepNext/>
        <w:keepLines/>
        <w:widowControl w:val="0"/>
        <w:numPr>
          <w:ilvl w:val="0"/>
          <w:numId w:val="67"/>
        </w:numPr>
        <w:shd w:val="clear" w:color="auto" w:fill="auto"/>
        <w:bidi w:val="0"/>
        <w:spacing w:before="0" w:after="340" w:line="240" w:lineRule="auto"/>
        <w:ind w:left="0" w:right="0" w:firstLine="14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应付账款列示</w:t>
      </w:r>
      <w:bookmarkEnd w:id="1380"/>
      <w:bookmarkEnd w:id="1381"/>
      <w:bookmarkEnd w:id="13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173,089,876.03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106,604,529.30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42,973,843.50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31,231,371.41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216,063,719.53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137,835,900.71</w:t>
            </w:r>
          </w:p>
        </w:tc>
      </w:tr>
    </w:tbl>
    <w:p>
      <w:pPr>
        <w:widowControl w:val="0"/>
        <w:spacing w:after="339" w:line="1" w:lineRule="exact"/>
      </w:pPr>
    </w:p>
    <w:p>
      <w:pPr>
        <w:pStyle w:val="Style44"/>
        <w:keepNext/>
        <w:keepLines/>
        <w:widowControl w:val="0"/>
        <w:numPr>
          <w:ilvl w:val="0"/>
          <w:numId w:val="67"/>
        </w:numPr>
        <w:shd w:val="clear" w:color="auto" w:fill="auto"/>
        <w:bidi w:val="0"/>
        <w:spacing w:before="0" w:after="340" w:line="240" w:lineRule="auto"/>
        <w:ind w:left="0" w:right="0" w:firstLine="14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84"/>
      <w:bookmarkEnd w:id="1385"/>
      <w:bookmarkEnd w:id="13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安徽慈湖建设集团有限公司第五分公司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27,669,746.41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福建省闽保信息技术股份有限公司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8,108,638.51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福建泰安科贸有限公司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5,923,076.93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福建省邮电规划设计院有限公司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2,015,532.00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融智通科技(北京)股份有限公司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45,676,993.85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88"/>
      <w:bookmarkEnd w:id="1389"/>
      <w:bookmarkEnd w:id="1391"/>
    </w:p>
    <w:p>
      <w:pPr>
        <w:pStyle w:val="Style44"/>
        <w:keepNext/>
        <w:keepLines/>
        <w:widowControl w:val="0"/>
        <w:shd w:val="clear" w:color="auto" w:fill="auto"/>
        <w:bidi w:val="0"/>
        <w:spacing w:before="0" w:after="340" w:line="240" w:lineRule="auto"/>
        <w:ind w:left="0" w:right="0" w:firstLine="14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92"/>
      <w:bookmarkEnd w:id="1393"/>
      <w:bookmarkEnd w:id="13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215,035,250.57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183,788,689.57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215,035,250.57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183,788,689.57</w:t>
            </w:r>
          </w:p>
        </w:tc>
      </w:tr>
    </w:tbl>
    <w:p>
      <w:pPr>
        <w:widowControl w:val="0"/>
        <w:spacing w:after="339" w:line="1" w:lineRule="exact"/>
      </w:pPr>
    </w:p>
    <w:p>
      <w:pPr>
        <w:pStyle w:val="Style44"/>
        <w:keepNext/>
        <w:keepLines/>
        <w:widowControl w:val="0"/>
        <w:numPr>
          <w:ilvl w:val="0"/>
          <w:numId w:val="61"/>
        </w:numPr>
        <w:shd w:val="clear" w:color="auto" w:fill="auto"/>
        <w:bidi w:val="0"/>
        <w:spacing w:before="0" w:after="340" w:line="240" w:lineRule="auto"/>
        <w:ind w:left="0" w:right="0" w:firstLine="14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95"/>
      <w:bookmarkEnd w:id="1396"/>
      <w:bookmarkEnd w:id="1398"/>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河南省交通通信中心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6,646,762.40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未达到收入确认条件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福建省女子监狱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4,446,750.00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未达到收入确认条件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河南省中小企业发展服务中心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4,255,000.00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未达到收入确认条件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4,079,960.00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未达到收入确认条件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中国移动通信集团福建有限公司福州分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3,980,142.60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未达到收入确认条件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23,408,615.00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44"/>
        <w:keepNext/>
        <w:keepLines/>
        <w:widowControl w:val="0"/>
        <w:numPr>
          <w:ilvl w:val="0"/>
          <w:numId w:val="61"/>
        </w:numPr>
        <w:shd w:val="clear" w:color="auto" w:fill="auto"/>
        <w:bidi w:val="0"/>
        <w:spacing w:before="0" w:line="240" w:lineRule="auto"/>
        <w:ind w:left="0" w:right="0" w:firstLine="14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期末建造合同形成的已结算未完工项目情况</w:t>
      </w:r>
      <w:bookmarkEnd w:id="1399"/>
      <w:bookmarkEnd w:id="1400"/>
      <w:bookmarkEnd w:id="14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8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03"/>
      <w:bookmarkEnd w:id="1404"/>
      <w:bookmarkEnd w:id="1406"/>
    </w:p>
    <w:p>
      <w:pPr>
        <w:pStyle w:val="Style44"/>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07"/>
      <w:bookmarkEnd w:id="1408"/>
      <w:bookmarkEnd w:id="14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15,000,860.89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107,795,516.77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105,449,137.15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17,347,240.51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4,796,678.43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4,812,086.03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15,016,268.49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112,592,195.20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110,261,223.18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17,347,240.51</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14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10"/>
      <w:bookmarkEnd w:id="1411"/>
      <w:bookmarkEnd w:id="14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13,806,223.84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95,573,719.74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93,112,701.74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16,267,241.84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3,595,018.39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3,595,018.39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3,458,167.31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3,459,897.79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3,106,868.57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3,106,868.57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123,737.96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229,291.26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4,056,352.09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4,043,552.09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12,800.00</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1,192,906.57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983,619.84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1,109,327.74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1,067,198.67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128,639.40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15,000,860.89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107,795,516.77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105,449,137.15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17,347,240.51</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14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13"/>
      <w:bookmarkEnd w:id="1414"/>
      <w:bookmarkEnd w:id="14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11,235.16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4,541,254.15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4,552,489.31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259,596.72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15,407.60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4,796,678.43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4,812,086.03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17"/>
      <w:bookmarkEnd w:id="1418"/>
      <w:bookmarkEnd w:id="14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988,076.98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692,931.78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1,405,781.12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5,618,572.88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306,693.91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198,130.60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104,230.81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-33,434.36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-160,939.00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72,152.94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-26,781.99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823,277.05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防洪费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269,537.63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74,810.27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271,490.75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4,044,560.71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6,559,970.66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21"/>
      <w:bookmarkEnd w:id="1422"/>
      <w:bookmarkEnd w:id="14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65,972.22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3,107,160.00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138,355.91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94,190.00</w:t>
            </w:r>
          </w:p>
        </w:tc>
      </w:tr>
    </w:tbl>
    <w:p>
      <w:pPr>
        <w:widowControl w:val="0"/>
        <w:spacing w:line="1" w:lineRule="exact"/>
      </w:pPr>
      <w:r>
        <w:br w:type="page"/>
      </w:r>
    </w:p>
    <w:tbl>
      <w:tblPr>
        <w:tblOverlap w:val="never"/>
        <w:jc w:val="center"/>
        <w:tblLayout w:type="fixed"/>
      </w:tblPr>
      <w:tblGrid>
        <w:gridCol w:w="3216"/>
        <w:gridCol w:w="3192"/>
        <w:gridCol w:w="3293"/>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204,328.13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3,201,350.00</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 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逾期原因</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25"/>
      <w:bookmarkEnd w:id="1426"/>
      <w:bookmarkEnd w:id="14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after="3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29"/>
      <w:bookmarkEnd w:id="1430"/>
      <w:bookmarkEnd w:id="1432"/>
    </w:p>
    <w:p>
      <w:pPr>
        <w:pStyle w:val="Style44"/>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33"/>
      <w:bookmarkEnd w:id="1434"/>
      <w:bookmarkEnd w:id="14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7,279,294.33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2,947,678.40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7,894,840.80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6,893,271.27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15,174,135.13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9,840,949.67</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36"/>
      <w:bookmarkEnd w:id="1437"/>
      <w:bookmarkEnd w:id="14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马鞍山市秀山投资有限公司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福建瑞聚信息技术股份有限公司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杭州慧泉信息科技有限公司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北京元鼎时代科技股份有限公司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福建亚特科技有限公司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未达结算条件</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3,220,000.00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39"/>
      <w:bookmarkEnd w:id="1440"/>
      <w:bookmarkEnd w:id="14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43"/>
      <w:bookmarkEnd w:id="1444"/>
      <w:bookmarkEnd w:id="14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1,694,721.14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3,694,721.14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2,448,000.00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政府补助情况</w:t>
      </w:r>
    </w:p>
    <w:p>
      <w:pPr>
        <w:pStyle w:val="Style28"/>
        <w:keepNext w:val="0"/>
        <w:keepLines w:val="0"/>
        <w:widowControl w:val="0"/>
        <w:shd w:val="clear" w:color="auto" w:fill="auto"/>
        <w:bidi w:val="0"/>
        <w:spacing w:before="0" w:after="0" w:line="240" w:lineRule="auto"/>
        <w:ind w:left="8424" w:right="0" w:firstLine="0"/>
        <w:jc w:val="left"/>
      </w:pPr>
      <w:r>
        <w:rPr>
          <w:color w:val="000000"/>
          <w:spacing w:val="0"/>
          <w:w w:val="100"/>
          <w:position w:val="0"/>
        </w:rPr>
        <w:t>单位：元</w:t>
      </w:r>
    </w:p>
    <w:tbl>
      <w:tblPr>
        <w:tblOverlap w:val="never"/>
        <w:jc w:val="center"/>
        <w:tblLayout w:type="fixed"/>
      </w:tblPr>
      <w:tblGrid>
        <w:gridCol w:w="2774"/>
        <w:gridCol w:w="1138"/>
        <w:gridCol w:w="994"/>
        <w:gridCol w:w="1133"/>
        <w:gridCol w:w="1133"/>
        <w:gridCol w:w="1133"/>
        <w:gridCol w:w="1286"/>
      </w:tblGrid>
      <w:tr>
        <w:trPr>
          <w:trHeight w:val="66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本期计入营业 外收入金额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 收益相关</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榕基移动应用服务平台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年国家物联网发展专项补助金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•'榕基马鞍山智慧园</w:t>
            </w:r>
            <w:r>
              <w:rPr>
                <w:color w:val="000000"/>
                <w:spacing w:val="0"/>
                <w:w w:val="100"/>
                <w:position w:val="0"/>
              </w:rPr>
              <w:t>”</w:t>
            </w:r>
            <w:r>
              <w:rPr>
                <w:rFonts w:ascii="SimSun" w:eastAsia="SimSun" w:hAnsi="SimSun" w:cs="SimSun"/>
                <w:color w:val="000000"/>
                <w:spacing w:val="0"/>
                <w:w w:val="100"/>
                <w:position w:val="0"/>
              </w:rPr>
              <w:t>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1,168,503.24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1,168,503.24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年第一批战略性新兴产业专项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37,500.00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首届福州市政府质量奖奖励金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年重大专项榕基</w:t>
            </w:r>
            <w:r>
              <w:rPr>
                <w:color w:val="000000"/>
                <w:spacing w:val="0"/>
                <w:w w:val="100"/>
                <w:position w:val="0"/>
              </w:rPr>
              <w:t>WEB</w:t>
            </w:r>
            <w:r>
              <w:rPr>
                <w:rFonts w:ascii="SimSun" w:eastAsia="SimSun" w:hAnsi="SimSun" w:cs="SimSun"/>
                <w:color w:val="000000"/>
                <w:spacing w:val="0"/>
                <w:w w:val="100"/>
                <w:position w:val="0"/>
              </w:rPr>
              <w:t>应用安全 扫描系统专项资金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333,333.32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333,333.32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关于下达</w:t>
            </w:r>
            <w:r>
              <w:rPr>
                <w:color w:val="000000"/>
                <w:spacing w:val="0"/>
                <w:w w:val="100"/>
                <w:position w:val="0"/>
              </w:rPr>
              <w:t>2014</w:t>
            </w:r>
            <w:r>
              <w:rPr>
                <w:rFonts w:ascii="SimSun" w:eastAsia="SimSun" w:hAnsi="SimSun" w:cs="SimSun"/>
                <w:color w:val="000000"/>
                <w:spacing w:val="0"/>
                <w:w w:val="100"/>
                <w:position w:val="0"/>
              </w:rPr>
              <w:t>年第二批软件产业发 展专项资金的通知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115,384.58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115,384.58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2,448,000.00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1,694,721.14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1,694,721.14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注：本期其他变动均系从递延收益重分类至本科目。</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4</w:t>
      </w:r>
      <w:bookmarkEnd w:id="144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47"/>
      <w:bookmarkEnd w:id="1448"/>
      <w:bookmarkEnd w:id="14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18,310,356.54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18,310,356.54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福建榕基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2015/02/1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1-2016/02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392,840.0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度第一期 短期融资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392,840.0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日发行福建榕基软件股份有限公司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年度第一期短期融资券（</w:t>
      </w:r>
      <w:r>
        <w:rPr>
          <w:rFonts w:ascii="Times New Roman" w:eastAsia="Times New Roman" w:hAnsi="Times New Roman" w:cs="Times New Roman"/>
          <w:color w:val="000000"/>
          <w:spacing w:val="0"/>
          <w:w w:val="100"/>
          <w:position w:val="0"/>
        </w:rPr>
        <w:t>15</w:t>
      </w:r>
      <w:r>
        <w:rPr>
          <w:color w:val="000000"/>
          <w:spacing w:val="0"/>
          <w:w w:val="100"/>
          <w:position w:val="0"/>
        </w:rPr>
        <w:t>闽榕基</w:t>
      </w:r>
      <w:r>
        <w:rPr>
          <w:rFonts w:ascii="Times New Roman" w:eastAsia="Times New Roman" w:hAnsi="Times New Roman" w:cs="Times New Roman"/>
          <w:color w:val="000000"/>
          <w:spacing w:val="0"/>
          <w:w w:val="100"/>
          <w:position w:val="0"/>
        </w:rPr>
        <w:t>CP001</w:t>
      </w:r>
      <w:r>
        <w:rPr>
          <w:color w:val="000000"/>
          <w:spacing w:val="0"/>
          <w:w w:val="100"/>
          <w:position w:val="0"/>
        </w:rPr>
        <w:t>）</w:t>
      </w:r>
      <w:r>
        <w:rPr>
          <w:color w:val="000000"/>
          <w:spacing w:val="0"/>
          <w:w w:val="100"/>
          <w:position w:val="0"/>
        </w:rPr>
        <w:t>，发行金额人 民币</w:t>
      </w:r>
      <w:r>
        <w:rPr>
          <w:rFonts w:ascii="Times New Roman" w:eastAsia="Times New Roman" w:hAnsi="Times New Roman" w:cs="Times New Roman"/>
          <w:color w:val="000000"/>
          <w:spacing w:val="0"/>
          <w:w w:val="100"/>
          <w:position w:val="0"/>
        </w:rPr>
        <w:t>5,000.00</w:t>
      </w:r>
      <w:r>
        <w:rPr>
          <w:color w:val="000000"/>
          <w:spacing w:val="0"/>
          <w:w w:val="100"/>
          <w:position w:val="0"/>
        </w:rPr>
        <w:t>万元，期限</w:t>
      </w:r>
      <w:r>
        <w:rPr>
          <w:rFonts w:ascii="Times New Roman" w:eastAsia="Times New Roman" w:hAnsi="Times New Roman" w:cs="Times New Roman"/>
          <w:color w:val="000000"/>
          <w:spacing w:val="0"/>
          <w:w w:val="100"/>
          <w:position w:val="0"/>
        </w:rPr>
        <w:t>365</w:t>
      </w:r>
      <w:r>
        <w:rPr>
          <w:color w:val="000000"/>
          <w:spacing w:val="0"/>
          <w:w w:val="100"/>
          <w:position w:val="0"/>
        </w:rPr>
        <w:t>天，票面利率</w:t>
      </w:r>
      <w:r>
        <w:rPr>
          <w:rFonts w:ascii="Times New Roman" w:eastAsia="Times New Roman" w:hAnsi="Times New Roman" w:cs="Times New Roman"/>
          <w:color w:val="000000"/>
          <w:spacing w:val="0"/>
          <w:w w:val="100"/>
          <w:position w:val="0"/>
        </w:rPr>
        <w:t>7.00%</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日，本公司完成了该期短期融资券的兑付，本息合计人民币 </w:t>
      </w:r>
      <w:r>
        <w:rPr>
          <w:rFonts w:ascii="Times New Roman" w:eastAsia="Times New Roman" w:hAnsi="Times New Roman" w:cs="Times New Roman"/>
          <w:color w:val="000000"/>
          <w:spacing w:val="0"/>
          <w:w w:val="100"/>
          <w:position w:val="0"/>
        </w:rPr>
        <w:t>5,350.00</w:t>
      </w:r>
      <w:r>
        <w:rPr>
          <w:color w:val="000000"/>
          <w:spacing w:val="0"/>
          <w:w w:val="100"/>
          <w:position w:val="0"/>
        </w:rPr>
        <w:t>万元。</w:t>
      </w:r>
    </w:p>
    <w:p>
      <w:pPr>
        <w:pStyle w:val="Style33"/>
        <w:keepNext/>
        <w:keepLines/>
        <w:widowControl w:val="0"/>
        <w:shd w:val="clear" w:color="auto" w:fill="auto"/>
        <w:bidi w:val="0"/>
        <w:spacing w:before="0" w:after="360" w:line="240" w:lineRule="auto"/>
        <w:ind w:left="0" w:right="0" w:firstLine="0"/>
        <w:jc w:val="both"/>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51"/>
      <w:bookmarkEnd w:id="1452"/>
      <w:bookmarkEnd w:id="1454"/>
    </w:p>
    <w:p>
      <w:pPr>
        <w:pStyle w:val="Style44"/>
        <w:keepNext/>
        <w:keepLines/>
        <w:widowControl w:val="0"/>
        <w:shd w:val="clear" w:color="auto" w:fill="auto"/>
        <w:bidi w:val="0"/>
        <w:spacing w:before="0" w:line="240" w:lineRule="auto"/>
        <w:ind w:left="0" w:right="0" w:firstLine="0"/>
        <w:jc w:val="both"/>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55"/>
      <w:bookmarkEnd w:id="1456"/>
      <w:bookmarkEnd w:id="14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长期借款分类的说明：</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本次长期借款利率为</w:t>
      </w:r>
      <w:r>
        <w:rPr>
          <w:rFonts w:ascii="Times New Roman" w:eastAsia="Times New Roman" w:hAnsi="Times New Roman" w:cs="Times New Roman"/>
          <w:color w:val="000000"/>
          <w:spacing w:val="0"/>
          <w:w w:val="100"/>
          <w:position w:val="0"/>
        </w:rPr>
        <w:t>4.75%</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33"/>
        <w:keepNext/>
        <w:keepLines/>
        <w:widowControl w:val="0"/>
        <w:shd w:val="clear" w:color="auto" w:fill="auto"/>
        <w:bidi w:val="0"/>
        <w:spacing w:before="0" w:after="36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58"/>
      <w:bookmarkEnd w:id="1459"/>
      <w:bookmarkEnd w:id="1461"/>
    </w:p>
    <w:p>
      <w:pPr>
        <w:pStyle w:val="Style44"/>
        <w:keepNext/>
        <w:keepLines/>
        <w:widowControl w:val="0"/>
        <w:shd w:val="clear" w:color="auto" w:fill="auto"/>
        <w:bidi w:val="0"/>
        <w:spacing w:before="0" w:line="240" w:lineRule="auto"/>
        <w:ind w:left="0" w:right="0" w:firstLine="0"/>
        <w:jc w:val="both"/>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62"/>
      <w:bookmarkEnd w:id="1463"/>
      <w:bookmarkEnd w:id="1464"/>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59" w:line="1" w:lineRule="exact"/>
      </w:pPr>
    </w:p>
    <w:p>
      <w:pPr>
        <w:pStyle w:val="Style44"/>
        <w:keepNext/>
        <w:keepLines/>
        <w:widowControl w:val="0"/>
        <w:shd w:val="clear" w:color="auto" w:fill="auto"/>
        <w:tabs>
          <w:tab w:pos="488" w:val="left"/>
        </w:tabs>
        <w:bidi w:val="0"/>
        <w:spacing w:before="0" w:line="240" w:lineRule="auto"/>
        <w:ind w:left="0" w:right="0" w:firstLine="0"/>
        <w:jc w:val="both"/>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465"/>
      <w:bookmarkEnd w:id="1466"/>
      <w:bookmarkEnd w:id="1468"/>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pStyle w:val="Style44"/>
        <w:keepNext/>
        <w:keepLines/>
        <w:widowControl w:val="0"/>
        <w:shd w:val="clear" w:color="auto" w:fill="auto"/>
        <w:tabs>
          <w:tab w:pos="488" w:val="left"/>
        </w:tabs>
        <w:bidi w:val="0"/>
        <w:spacing w:before="0" w:line="240" w:lineRule="auto"/>
        <w:ind w:left="0" w:right="0" w:firstLine="0"/>
        <w:jc w:val="both"/>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69"/>
      <w:bookmarkEnd w:id="1470"/>
      <w:bookmarkEnd w:id="1472"/>
    </w:p>
    <w:p>
      <w:pPr>
        <w:pStyle w:val="Style44"/>
        <w:keepNext/>
        <w:keepLines/>
        <w:widowControl w:val="0"/>
        <w:shd w:val="clear" w:color="auto" w:fill="auto"/>
        <w:tabs>
          <w:tab w:pos="488" w:val="left"/>
        </w:tabs>
        <w:bidi w:val="0"/>
        <w:spacing w:before="0" w:line="240" w:lineRule="auto"/>
        <w:ind w:left="0" w:right="0" w:firstLine="0"/>
        <w:jc w:val="both"/>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73"/>
      <w:bookmarkEnd w:id="1474"/>
      <w:bookmarkEnd w:id="1476"/>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期末发行在外的优先股、永续债等其他金融工具基本情况</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期末发行在外的优先股、永续债等金融工具变动情况表</w:t>
      </w:r>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70"/>
        <w:gridCol w:w="1061"/>
        <w:gridCol w:w="1061"/>
        <w:gridCol w:w="1066"/>
        <w:gridCol w:w="1061"/>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77"/>
      <w:bookmarkEnd w:id="1478"/>
      <w:bookmarkEnd w:id="1480"/>
    </w:p>
    <w:p>
      <w:pPr>
        <w:pStyle w:val="Style44"/>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81"/>
      <w:bookmarkEnd w:id="1482"/>
      <w:bookmarkEnd w:id="1483"/>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84"/>
      <w:bookmarkEnd w:id="1485"/>
      <w:bookmarkEnd w:id="1487"/>
    </w:p>
    <w:p>
      <w:pPr>
        <w:pStyle w:val="Style44"/>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88"/>
      <w:bookmarkEnd w:id="1489"/>
      <w:bookmarkEnd w:id="1490"/>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both"/>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91"/>
      <w:bookmarkEnd w:id="1492"/>
      <w:bookmarkEnd w:id="1493"/>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49"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 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94"/>
      <w:bookmarkEnd w:id="1495"/>
      <w:bookmarkEnd w:id="1497"/>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bl>
    <w:p>
      <w:pPr>
        <w:pStyle w:val="Style2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5</w:t>
      </w:r>
      <w:bookmarkEnd w:id="150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98"/>
      <w:bookmarkEnd w:id="1499"/>
      <w:bookmarkEnd w:id="150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02"/>
      <w:bookmarkEnd w:id="1503"/>
      <w:bookmarkEnd w:id="15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35,633,423.06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3,951,344.56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59,682,078.50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35,633,423.06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3,951,344.56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59,682,078.50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本期新增补助金</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与收 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‘‘榕基马鞍山智 慧园''项目补助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31,056,500.00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584,251.62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-1,168,503.24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29,303,745.14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信阳榕基软件 园''项目补助资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年第一批战 略性新兴产业专 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首届福州市政府 质量奖奖励金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福建省战略性新 兴产业技术开发 和产业化项目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年重大专项 榕基</w:t>
            </w:r>
            <w:r>
              <w:rPr>
                <w:color w:val="000000"/>
                <w:spacing w:val="0"/>
                <w:w w:val="100"/>
                <w:position w:val="0"/>
              </w:rPr>
              <w:t>WEB</w:t>
            </w:r>
            <w:r>
              <w:rPr>
                <w:rFonts w:ascii="SimSun" w:eastAsia="SimSun" w:hAnsi="SimSun" w:cs="SimSun"/>
                <w:color w:val="000000"/>
                <w:spacing w:val="0"/>
                <w:w w:val="100"/>
                <w:position w:val="0"/>
              </w:rPr>
              <w:t>应用 安全扫描系统专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333,333.32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-333,333.32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250,000.03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关于下达</w:t>
            </w:r>
            <w:r>
              <w:rPr>
                <w:color w:val="000000"/>
                <w:spacing w:val="0"/>
                <w:w w:val="100"/>
                <w:position w:val="0"/>
              </w:rPr>
              <w:t>2014</w:t>
            </w:r>
            <w:r>
              <w:rPr>
                <w:rFonts w:ascii="SimSun" w:eastAsia="SimSun" w:hAnsi="SimSun" w:cs="SimSun"/>
                <w:color w:val="000000"/>
                <w:spacing w:val="0"/>
                <w:w w:val="100"/>
                <w:position w:val="0"/>
              </w:rPr>
              <w:t>年 第二批软件产业 发展专项资金的 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576,923.06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461,538.48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-115,384.58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35,633,423.06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1,681,623.42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-2,269,721.14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59,682,078.50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22" w:lineRule="exact"/>
        <w:ind w:left="0" w:right="0" w:firstLine="0"/>
        <w:jc w:val="both"/>
      </w:pPr>
      <w:r>
        <w:rPr>
          <w:color w:val="000000"/>
          <w:spacing w:val="0"/>
          <w:w w:val="100"/>
          <w:position w:val="0"/>
        </w:rPr>
        <w:t>说明：子公司信阳榕基公司收到</w:t>
      </w:r>
      <w:r>
        <w:rPr>
          <w:rFonts w:ascii="Times New Roman" w:eastAsia="Times New Roman" w:hAnsi="Times New Roman" w:cs="Times New Roman"/>
          <w:color w:val="000000"/>
          <w:spacing w:val="0"/>
          <w:w w:val="100"/>
          <w:position w:val="0"/>
        </w:rPr>
        <w:t>“</w:t>
      </w:r>
      <w:r>
        <w:rPr>
          <w:color w:val="000000"/>
          <w:spacing w:val="0"/>
          <w:w w:val="100"/>
          <w:position w:val="0"/>
        </w:rPr>
        <w:t>信阳榕基软件园</w:t>
      </w:r>
      <w:r>
        <w:rPr>
          <w:rFonts w:ascii="Times New Roman" w:eastAsia="Times New Roman" w:hAnsi="Times New Roman" w:cs="Times New Roman"/>
          <w:color w:val="000000"/>
          <w:spacing w:val="0"/>
          <w:w w:val="100"/>
          <w:position w:val="0"/>
        </w:rPr>
        <w:t>”</w:t>
      </w:r>
      <w:r>
        <w:rPr>
          <w:color w:val="000000"/>
          <w:spacing w:val="0"/>
          <w:w w:val="100"/>
          <w:position w:val="0"/>
        </w:rPr>
        <w:t>项目补助资金</w:t>
      </w:r>
      <w:r>
        <w:rPr>
          <w:rFonts w:ascii="Times New Roman" w:eastAsia="Times New Roman" w:hAnsi="Times New Roman" w:cs="Times New Roman"/>
          <w:color w:val="000000"/>
          <w:spacing w:val="0"/>
          <w:w w:val="100"/>
          <w:position w:val="0"/>
        </w:rPr>
        <w:t>28,000,000.00</w:t>
      </w:r>
      <w:r>
        <w:rPr>
          <w:color w:val="000000"/>
          <w:spacing w:val="0"/>
          <w:w w:val="100"/>
          <w:position w:val="0"/>
        </w:rPr>
        <w:t>元，与资产相关，其对应资产</w:t>
      </w:r>
      <w:r>
        <w:rPr>
          <w:rFonts w:ascii="Times New Roman" w:eastAsia="Times New Roman" w:hAnsi="Times New Roman" w:cs="Times New Roman"/>
          <w:color w:val="000000"/>
          <w:spacing w:val="0"/>
          <w:w w:val="100"/>
          <w:position w:val="0"/>
        </w:rPr>
        <w:t>“</w:t>
      </w:r>
      <w:r>
        <w:rPr>
          <w:color w:val="000000"/>
          <w:spacing w:val="0"/>
          <w:w w:val="100"/>
          <w:position w:val="0"/>
        </w:rPr>
        <w:t>信阳榕基软件 园</w:t>
      </w:r>
      <w:r>
        <w:rPr>
          <w:rFonts w:ascii="Times New Roman" w:eastAsia="Times New Roman" w:hAnsi="Times New Roman" w:cs="Times New Roman"/>
          <w:color w:val="000000"/>
          <w:spacing w:val="0"/>
          <w:w w:val="100"/>
          <w:position w:val="0"/>
        </w:rPr>
        <w:t>”</w:t>
      </w:r>
      <w:r>
        <w:rPr>
          <w:color w:val="000000"/>
          <w:spacing w:val="0"/>
          <w:w w:val="100"/>
          <w:position w:val="0"/>
        </w:rPr>
        <w:t>尚未建成，故递延收益尚未摊销。</w:t>
      </w:r>
    </w:p>
    <w:p>
      <w:pPr>
        <w:pStyle w:val="Style33"/>
        <w:keepNext/>
        <w:keepLines/>
        <w:widowControl w:val="0"/>
        <w:shd w:val="clear" w:color="auto" w:fill="auto"/>
        <w:bidi w:val="0"/>
        <w:spacing w:before="0" w:after="26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5</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06"/>
      <w:bookmarkEnd w:id="1507"/>
      <w:bookmarkEnd w:id="1509"/>
    </w:p>
    <w:p>
      <w:pPr>
        <w:pStyle w:val="Style30"/>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10"/>
      <w:bookmarkEnd w:id="1511"/>
      <w:bookmarkEnd w:id="15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622,200,000.00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5</w:t>
      </w:r>
      <w:bookmarkEnd w:id="151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14"/>
      <w:bookmarkEnd w:id="1515"/>
      <w:bookmarkEnd w:id="1517"/>
    </w:p>
    <w:p>
      <w:pPr>
        <w:pStyle w:val="Style44"/>
        <w:keepNext/>
        <w:keepLines/>
        <w:widowControl w:val="0"/>
        <w:shd w:val="clear" w:color="auto" w:fill="auto"/>
        <w:tabs>
          <w:tab w:pos="488" w:val="left"/>
        </w:tabs>
        <w:bidi w:val="0"/>
        <w:spacing w:before="0" w:line="240" w:lineRule="auto"/>
        <w:ind w:left="0" w:right="0" w:firstLine="0"/>
        <w:jc w:val="both"/>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18"/>
      <w:bookmarkEnd w:id="1519"/>
      <w:bookmarkEnd w:id="1521"/>
    </w:p>
    <w:p>
      <w:pPr>
        <w:pStyle w:val="Style44"/>
        <w:keepNext/>
        <w:keepLines/>
        <w:widowControl w:val="0"/>
        <w:shd w:val="clear" w:color="auto" w:fill="auto"/>
        <w:tabs>
          <w:tab w:pos="488" w:val="left"/>
        </w:tabs>
        <w:bidi w:val="0"/>
        <w:spacing w:before="0" w:line="240" w:lineRule="auto"/>
        <w:ind w:left="0" w:right="0" w:firstLine="0"/>
        <w:jc w:val="both"/>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22"/>
      <w:bookmarkEnd w:id="1523"/>
      <w:bookmarkEnd w:id="15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70"/>
        <w:gridCol w:w="1061"/>
        <w:gridCol w:w="1061"/>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其他权益工具本期增减变动情况、变动原因说明，以及相关会计处理的依据:</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26"/>
      <w:bookmarkEnd w:id="1527"/>
      <w:bookmarkEnd w:id="15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362,443,237.65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483,271.28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362,926,508.93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1,199,513.23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5,232,590.13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6,432,103.36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363,642,750.88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5,715,861.41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369,358,612.29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30"/>
        <w:keepNext w:val="0"/>
        <w:keepLines w:val="0"/>
        <w:widowControl w:val="0"/>
        <w:shd w:val="clear" w:color="auto" w:fill="auto"/>
        <w:bidi w:val="0"/>
        <w:spacing w:before="0" w:after="40" w:line="30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）股本溢价本期增加</w:t>
      </w:r>
      <w:r>
        <w:rPr>
          <w:rFonts w:ascii="Times New Roman" w:eastAsia="Times New Roman" w:hAnsi="Times New Roman" w:cs="Times New Roman"/>
          <w:color w:val="000000"/>
          <w:spacing w:val="0"/>
          <w:w w:val="100"/>
          <w:position w:val="0"/>
        </w:rPr>
        <w:t>483,271.28</w:t>
      </w:r>
      <w:r>
        <w:rPr>
          <w:color w:val="000000"/>
          <w:spacing w:val="0"/>
          <w:w w:val="100"/>
          <w:position w:val="0"/>
        </w:rPr>
        <w:t>元，系收购福建星榕基公司</w:t>
      </w:r>
      <w:r>
        <w:rPr>
          <w:rFonts w:ascii="Times New Roman" w:eastAsia="Times New Roman" w:hAnsi="Times New Roman" w:cs="Times New Roman"/>
          <w:color w:val="000000"/>
          <w:spacing w:val="0"/>
          <w:w w:val="100"/>
          <w:position w:val="0"/>
        </w:rPr>
        <w:t>10.00%</w:t>
      </w:r>
      <w:r>
        <w:rPr>
          <w:color w:val="000000"/>
          <w:spacing w:val="0"/>
          <w:w w:val="100"/>
          <w:position w:val="0"/>
        </w:rPr>
        <w:t>少数股东权益所致，详见</w:t>
      </w:r>
      <w:r>
        <w:rPr>
          <w:rFonts w:ascii="Times New Roman" w:eastAsia="Times New Roman" w:hAnsi="Times New Roman" w:cs="Times New Roman"/>
          <w:color w:val="000000"/>
          <w:spacing w:val="0"/>
          <w:w w:val="100"/>
          <w:position w:val="0"/>
        </w:rPr>
        <w:t>“</w:t>
      </w:r>
      <w:r>
        <w:rPr>
          <w:color w:val="000000"/>
          <w:spacing w:val="0"/>
          <w:w w:val="100"/>
          <w:position w:val="0"/>
        </w:rPr>
        <w:t>本附注七、在其他主 体中的权益之</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的披露。</w:t>
      </w:r>
    </w:p>
    <w:p>
      <w:pPr>
        <w:pStyle w:val="Style30"/>
        <w:keepNext w:val="0"/>
        <w:keepLines w:val="0"/>
        <w:widowControl w:val="0"/>
        <w:shd w:val="clear" w:color="auto" w:fill="auto"/>
        <w:bidi w:val="0"/>
        <w:spacing w:before="0" w:after="80" w:line="307"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）其他资本公积本期增加</w:t>
      </w:r>
      <w:r>
        <w:rPr>
          <w:rFonts w:ascii="Times New Roman" w:eastAsia="Times New Roman" w:hAnsi="Times New Roman" w:cs="Times New Roman"/>
          <w:color w:val="000000"/>
          <w:spacing w:val="0"/>
          <w:w w:val="100"/>
          <w:position w:val="0"/>
        </w:rPr>
        <w:t>5,232,590.13</w:t>
      </w:r>
      <w:r>
        <w:rPr>
          <w:color w:val="000000"/>
          <w:spacing w:val="0"/>
          <w:w w:val="100"/>
          <w:position w:val="0"/>
        </w:rPr>
        <w:t>元，系本年联营企业福建亿榕信息技术有限公司个人股东退出导致本公司注</w:t>
        <w:br w:type="page"/>
      </w:r>
      <w:r>
        <w:rPr>
          <w:color w:val="000000"/>
          <w:spacing w:val="0"/>
          <w:w w:val="100"/>
          <w:position w:val="0"/>
        </w:rPr>
        <w:t>册资本减少，本公司持股比例发生变化，本公司在减资之后所享有的该公司的净资产份额与减资之前享有的净资产份额之间</w:t>
      </w:r>
    </w:p>
    <w:p>
      <w:pPr>
        <w:pStyle w:val="Style57"/>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的差额</w:t>
      </w:r>
      <w:r>
        <w:rPr>
          <w:color w:val="000000"/>
          <w:spacing w:val="0"/>
          <w:w w:val="100"/>
          <w:position w:val="0"/>
        </w:rPr>
        <w:t>5,232,590.13</w:t>
      </w:r>
      <w:r>
        <w:rPr>
          <w:rFonts w:ascii="SimSun" w:eastAsia="SimSun" w:hAnsi="SimSun" w:cs="SimSun"/>
          <w:color w:val="000000"/>
          <w:spacing w:val="0"/>
          <w:w w:val="100"/>
          <w:position w:val="0"/>
        </w:rPr>
        <w:t>元计入资本公积。</w:t>
      </w:r>
    </w:p>
    <w:p>
      <w:pPr>
        <w:pStyle w:val="Style33"/>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30"/>
      <w:bookmarkEnd w:id="1531"/>
      <w:bookmarkEnd w:id="153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6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34"/>
      <w:bookmarkEnd w:id="1535"/>
      <w:bookmarkEnd w:id="15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360"/>
              <w:jc w:val="lef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减：前期计入</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其中：重新计算设定受益计划净负 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560"/>
              <w:jc w:val="both"/>
            </w:pPr>
            <w:r>
              <w:rPr>
                <w:rFonts w:ascii="SimSun" w:eastAsia="SimSun" w:hAnsi="SimSun" w:cs="SimSun"/>
                <w:color w:val="000000"/>
                <w:spacing w:val="0"/>
                <w:w w:val="100"/>
                <w:position w:val="0"/>
              </w:rPr>
              <w:t>权益法下在被投资单位不能 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3,462,997.72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5,788,711.0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5,788,711.0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9,251,708</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其中：权益法下在被投资单位以后 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both"/>
            </w:pPr>
            <w:r>
              <w:rPr>
                <w:rFonts w:ascii="SimSun" w:eastAsia="SimSun" w:hAnsi="SimSun" w:cs="SimSun"/>
                <w:color w:val="000000"/>
                <w:spacing w:val="0"/>
                <w:w w:val="100"/>
                <w:position w:val="0"/>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rFonts w:ascii="SimSun" w:eastAsia="SimSun" w:hAnsi="SimSun" w:cs="SimSun"/>
                <w:color w:val="000000"/>
                <w:spacing w:val="0"/>
                <w:w w:val="100"/>
                <w:position w:val="0"/>
              </w:rPr>
              <w:t>持有至到期投资重分类为可</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both"/>
            </w:pPr>
            <w:r>
              <w:rPr>
                <w:rFonts w:ascii="SimSun" w:eastAsia="SimSun" w:hAnsi="SimSun" w:cs="SimSun"/>
                <w:color w:val="000000"/>
                <w:spacing w:val="0"/>
                <w:w w:val="100"/>
                <w:position w:val="0"/>
              </w:rPr>
              <w:t>现金流量套期损益的有效部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3,462,997.72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5,788,711.0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5,788,711.0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9,251,708</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3,462,997.72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5,788,711.0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5,788,711.0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9,251,708</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79" w:line="1" w:lineRule="exact"/>
      </w:pPr>
    </w:p>
    <w:p>
      <w:pPr>
        <w:pStyle w:val="Style30"/>
        <w:keepNext w:val="0"/>
        <w:keepLines w:val="0"/>
        <w:widowControl w:val="0"/>
        <w:shd w:val="clear" w:color="auto" w:fill="auto"/>
        <w:bidi w:val="0"/>
        <w:spacing w:before="0" w:after="220" w:line="240" w:lineRule="auto"/>
        <w:ind w:left="0" w:right="0"/>
        <w:jc w:val="left"/>
      </w:pPr>
      <w:r>
        <w:rPr>
          <w:color w:val="000000"/>
          <w:spacing w:val="0"/>
          <w:w w:val="100"/>
          <w:position w:val="0"/>
        </w:rPr>
        <w:t>其他综合收益的税后净额本期发生额为</w:t>
      </w:r>
      <w:r>
        <w:rPr>
          <w:rFonts w:ascii="Times New Roman" w:eastAsia="Times New Roman" w:hAnsi="Times New Roman" w:cs="Times New Roman"/>
          <w:color w:val="000000"/>
          <w:spacing w:val="0"/>
          <w:w w:val="100"/>
          <w:position w:val="0"/>
        </w:rPr>
        <w:t>5,788,711.05</w:t>
      </w:r>
      <w:r>
        <w:rPr>
          <w:color w:val="000000"/>
          <w:spacing w:val="0"/>
          <w:w w:val="100"/>
          <w:position w:val="0"/>
        </w:rPr>
        <w:t>元。其中，归属于母公司股东的其他综合收益的税后净额本期发生</w:t>
      </w:r>
    </w:p>
    <w:p>
      <w:pPr>
        <w:pStyle w:val="Style57"/>
        <w:keepNext w:val="0"/>
        <w:keepLines w:val="0"/>
        <w:widowControl w:val="0"/>
        <w:shd w:val="clear" w:color="auto" w:fill="auto"/>
        <w:bidi w:val="0"/>
        <w:spacing w:before="0" w:after="360" w:line="240" w:lineRule="auto"/>
        <w:ind w:left="0" w:right="0" w:firstLine="0"/>
        <w:jc w:val="both"/>
      </w:pPr>
      <w:r>
        <w:rPr>
          <w:rFonts w:ascii="SimSun" w:eastAsia="SimSun" w:hAnsi="SimSun" w:cs="SimSun"/>
          <w:color w:val="000000"/>
          <w:spacing w:val="0"/>
          <w:w w:val="100"/>
          <w:position w:val="0"/>
        </w:rPr>
        <w:t xml:space="preserve">额为 </w:t>
      </w:r>
      <w:r>
        <w:rPr>
          <w:color w:val="000000"/>
          <w:spacing w:val="0"/>
          <w:w w:val="100"/>
          <w:position w:val="0"/>
        </w:rPr>
        <w:t xml:space="preserve">5,788,711.05 </w:t>
      </w:r>
      <w:r>
        <w:rPr>
          <w:rFonts w:ascii="SimSun" w:eastAsia="SimSun" w:hAnsi="SimSun" w:cs="SimSun"/>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38"/>
      <w:bookmarkEnd w:id="1539"/>
      <w:bookmarkEnd w:id="154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60" w:line="240" w:lineRule="auto"/>
        <w:ind w:left="0" w:right="0" w:firstLine="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42"/>
      <w:bookmarkEnd w:id="1543"/>
      <w:bookmarkEnd w:id="15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54,730,315.23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3,233,818.80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57,964,134.03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54,730,315.23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3,233,818.80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57,964,134.03</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720" w:line="240" w:lineRule="auto"/>
        <w:ind w:left="0" w:right="0"/>
        <w:jc w:val="left"/>
      </w:pPr>
      <w:r>
        <w:rPr>
          <w:color w:val="000000"/>
          <w:spacing w:val="0"/>
          <w:w w:val="100"/>
          <w:position w:val="0"/>
        </w:rPr>
        <w:t>本期盈余公积增加系按母公司</w:t>
      </w:r>
      <w:r>
        <w:rPr>
          <w:rFonts w:ascii="Times New Roman" w:eastAsia="Times New Roman" w:hAnsi="Times New Roman" w:cs="Times New Roman"/>
          <w:color w:val="000000"/>
          <w:spacing w:val="0"/>
          <w:w w:val="100"/>
          <w:position w:val="0"/>
        </w:rPr>
        <w:t>2016</w:t>
      </w:r>
      <w:r>
        <w:rPr>
          <w:color w:val="000000"/>
          <w:spacing w:val="0"/>
          <w:w w:val="100"/>
          <w:position w:val="0"/>
        </w:rPr>
        <w:t>年净利润的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p>
    <w:p>
      <w:pPr>
        <w:pStyle w:val="Style33"/>
        <w:keepNext/>
        <w:keepLines/>
        <w:widowControl w:val="0"/>
        <w:shd w:val="clear" w:color="auto" w:fill="auto"/>
        <w:bidi w:val="0"/>
        <w:spacing w:before="0" w:after="36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6</w:t>
      </w:r>
      <w:bookmarkEnd w:id="154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46"/>
      <w:bookmarkEnd w:id="1547"/>
      <w:bookmarkEnd w:id="15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8"/>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323,259,682.08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318,114,413.56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323,259,682.08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318,114,413.56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24,845,319.23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15,830,627.57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3,233,818.80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1,352,359.05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9,333,000.00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344,871,182.51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323,259,682.08</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调整期初未分配利润明细：</w:t>
      </w:r>
    </w:p>
    <w:p>
      <w:pPr>
        <w:pStyle w:val="Style30"/>
        <w:keepNext w:val="0"/>
        <w:keepLines w:val="0"/>
        <w:widowControl w:val="0"/>
        <w:shd w:val="clear" w:color="auto" w:fill="auto"/>
        <w:tabs>
          <w:tab w:pos="729" w:val="left"/>
        </w:tabs>
        <w:bidi w:val="0"/>
        <w:spacing w:before="0" w:after="100" w:line="240" w:lineRule="auto"/>
        <w:ind w:left="0" w:right="0"/>
        <w:jc w:val="both"/>
      </w:pPr>
      <w:bookmarkStart w:id="1550" w:name="bookmark1550"/>
      <w:r>
        <w:rPr>
          <w:rFonts w:ascii="Times New Roman" w:eastAsia="Times New Roman" w:hAnsi="Times New Roman" w:cs="Times New Roman"/>
          <w:color w:val="000000"/>
          <w:spacing w:val="0"/>
          <w:w w:val="100"/>
          <w:position w:val="0"/>
        </w:rPr>
        <w:t>1</w:t>
      </w:r>
      <w:bookmarkEnd w:id="1550"/>
      <w:r>
        <w:rPr>
          <w:color w:val="000000"/>
          <w:spacing w:val="0"/>
          <w:w w:val="100"/>
          <w:position w:val="0"/>
        </w:rPr>
        <w:t>）</w:t>
        <w:tab/>
        <w:t>由于《企业会计准则》及其相关新规定进行追溯调整，影响期初未分配利润元。</w:t>
      </w:r>
    </w:p>
    <w:p>
      <w:pPr>
        <w:pStyle w:val="Style30"/>
        <w:keepNext w:val="0"/>
        <w:keepLines w:val="0"/>
        <w:widowControl w:val="0"/>
        <w:shd w:val="clear" w:color="auto" w:fill="auto"/>
        <w:tabs>
          <w:tab w:pos="748" w:val="left"/>
        </w:tabs>
        <w:bidi w:val="0"/>
        <w:spacing w:before="0" w:after="100" w:line="240" w:lineRule="auto"/>
        <w:ind w:left="0" w:right="0"/>
        <w:jc w:val="both"/>
      </w:pPr>
      <w:bookmarkStart w:id="1551" w:name="bookmark1551"/>
      <w:r>
        <w:rPr>
          <w:rFonts w:ascii="Times New Roman" w:eastAsia="Times New Roman" w:hAnsi="Times New Roman" w:cs="Times New Roman"/>
          <w:color w:val="000000"/>
          <w:spacing w:val="0"/>
          <w:w w:val="100"/>
          <w:position w:val="0"/>
        </w:rPr>
        <w:t>2</w:t>
      </w:r>
      <w:bookmarkEnd w:id="1551"/>
      <w:r>
        <w:rPr>
          <w:color w:val="000000"/>
          <w:spacing w:val="0"/>
          <w:w w:val="100"/>
          <w:position w:val="0"/>
        </w:rPr>
        <w:t>）</w:t>
        <w:tab/>
        <w:t>由于会计政策变更，影响期初未分配利润元。</w:t>
      </w:r>
    </w:p>
    <w:p>
      <w:pPr>
        <w:pStyle w:val="Style30"/>
        <w:keepNext w:val="0"/>
        <w:keepLines w:val="0"/>
        <w:widowControl w:val="0"/>
        <w:shd w:val="clear" w:color="auto" w:fill="auto"/>
        <w:tabs>
          <w:tab w:pos="748" w:val="left"/>
        </w:tabs>
        <w:bidi w:val="0"/>
        <w:spacing w:before="0" w:after="100" w:line="240" w:lineRule="auto"/>
        <w:ind w:left="0" w:right="0"/>
        <w:jc w:val="both"/>
      </w:pPr>
      <w:bookmarkStart w:id="1552" w:name="bookmark1552"/>
      <w:r>
        <w:rPr>
          <w:rFonts w:ascii="Times New Roman" w:eastAsia="Times New Roman" w:hAnsi="Times New Roman" w:cs="Times New Roman"/>
          <w:color w:val="000000"/>
          <w:spacing w:val="0"/>
          <w:w w:val="100"/>
          <w:position w:val="0"/>
        </w:rPr>
        <w:t>3</w:t>
      </w:r>
      <w:bookmarkEnd w:id="1552"/>
      <w:r>
        <w:rPr>
          <w:color w:val="000000"/>
          <w:spacing w:val="0"/>
          <w:w w:val="100"/>
          <w:position w:val="0"/>
        </w:rPr>
        <w:t>）</w:t>
        <w:tab/>
        <w:t>由于重大会计差错更正，影响期初未分配利润元。</w:t>
      </w:r>
    </w:p>
    <w:p>
      <w:pPr>
        <w:pStyle w:val="Style30"/>
        <w:keepNext w:val="0"/>
        <w:keepLines w:val="0"/>
        <w:widowControl w:val="0"/>
        <w:shd w:val="clear" w:color="auto" w:fill="auto"/>
        <w:tabs>
          <w:tab w:pos="748" w:val="left"/>
        </w:tabs>
        <w:bidi w:val="0"/>
        <w:spacing w:before="0" w:after="100" w:line="240" w:lineRule="auto"/>
        <w:ind w:left="0" w:right="0"/>
        <w:jc w:val="both"/>
      </w:pPr>
      <w:bookmarkStart w:id="1553" w:name="bookmark1553"/>
      <w:r>
        <w:rPr>
          <w:rFonts w:ascii="Times New Roman" w:eastAsia="Times New Roman" w:hAnsi="Times New Roman" w:cs="Times New Roman"/>
          <w:color w:val="000000"/>
          <w:spacing w:val="0"/>
          <w:w w:val="100"/>
          <w:position w:val="0"/>
        </w:rPr>
        <w:t>4</w:t>
      </w:r>
      <w:bookmarkEnd w:id="1553"/>
      <w:r>
        <w:rPr>
          <w:color w:val="000000"/>
          <w:spacing w:val="0"/>
          <w:w w:val="100"/>
          <w:position w:val="0"/>
        </w:rPr>
        <w:t>）</w:t>
        <w:tab/>
        <w:t>由于同一控制导致的合并范围变更，影响期初未分配利润元。</w:t>
      </w:r>
    </w:p>
    <w:p>
      <w:pPr>
        <w:pStyle w:val="Style30"/>
        <w:keepNext w:val="0"/>
        <w:keepLines w:val="0"/>
        <w:widowControl w:val="0"/>
        <w:shd w:val="clear" w:color="auto" w:fill="auto"/>
        <w:tabs>
          <w:tab w:pos="748" w:val="left"/>
        </w:tabs>
        <w:bidi w:val="0"/>
        <w:spacing w:before="0" w:after="360" w:line="240" w:lineRule="auto"/>
        <w:ind w:left="0" w:right="0"/>
        <w:jc w:val="both"/>
      </w:pPr>
      <w:bookmarkStart w:id="1554" w:name="bookmark1554"/>
      <w:r>
        <w:rPr>
          <w:rFonts w:ascii="Times New Roman" w:eastAsia="Times New Roman" w:hAnsi="Times New Roman" w:cs="Times New Roman"/>
          <w:color w:val="000000"/>
          <w:spacing w:val="0"/>
          <w:w w:val="100"/>
          <w:position w:val="0"/>
        </w:rPr>
        <w:t>5</w:t>
      </w:r>
      <w:bookmarkEnd w:id="1554"/>
      <w:r>
        <w:rPr>
          <w:color w:val="000000"/>
          <w:spacing w:val="0"/>
          <w:w w:val="100"/>
          <w:position w:val="0"/>
        </w:rPr>
        <w:t>）</w:t>
        <w:tab/>
        <w:t>其他调整合计影响期初未分配利润元。</w:t>
      </w:r>
    </w:p>
    <w:p>
      <w:pPr>
        <w:pStyle w:val="Style33"/>
        <w:keepNext/>
        <w:keepLines/>
        <w:widowControl w:val="0"/>
        <w:shd w:val="clear" w:color="auto" w:fill="auto"/>
        <w:bidi w:val="0"/>
        <w:spacing w:before="0" w:after="36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6</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55"/>
      <w:bookmarkEnd w:id="1556"/>
      <w:bookmarkEnd w:id="155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3830"/>
        <w:gridCol w:w="383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702,592,311.90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474,390,511.41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623,602,054.84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418,038,362.25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702,592,311.90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474,390,511.41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623,602,054.84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418,038,362.25</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6</w:t>
      </w:r>
      <w:bookmarkEnd w:id="156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59"/>
      <w:bookmarkEnd w:id="1560"/>
      <w:bookmarkEnd w:id="15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637,681.72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1,241,707.76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371,936.11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925,342.59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77,693.68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2,541,342.69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15,920.00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231,170.50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452,136.49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77,315.66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残疾人就业保障金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59,709.53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防洪费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478,667.45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4,866,258.17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2,244,366.01</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6</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63"/>
      <w:bookmarkEnd w:id="1564"/>
      <w:bookmarkEnd w:id="15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18,045,994.59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16,320,902.36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7,146,377.01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8,050,525.50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4,708,093.76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5,299,843.89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2,086,748.78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2,315,333.84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5,674,628.79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4,102,222.28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642,596.32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1,451,900.99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1,771,153.69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2,990,899.87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577,037.90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631,482.03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222,184.88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276,153.65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5,137,977.97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5,482,830.88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46,012,793.69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46,922,095.29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6</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67"/>
      <w:bookmarkEnd w:id="1568"/>
      <w:bookmarkEnd w:id="15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57,765,795.98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56,763,305.03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43,017,326.35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37,657,579.44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26,180,619.99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30,326,689.68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13,627,175.03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11,223,910.86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7,430,497.27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7,849,074.20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8,895,345.81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10,326,241.09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8,231,751.58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8,140,300.38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5,384,897.80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5,440,537.31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3,715,155.80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3,483,189.05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2,003,863.59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1,516,915.33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4,659,684.06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8,201,898.88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180,912,113.26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180,929,641.25</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6</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71"/>
      <w:bookmarkEnd w:id="1572"/>
      <w:bookmarkEnd w:id="15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8,076,092.06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5,611,237.63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2,913,339.76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3,684,977.85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101,627.74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276,523.35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360,128.36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5,447,921.17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2,388,015.88</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6</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75"/>
      <w:bookmarkEnd w:id="1576"/>
      <w:bookmarkEnd w:id="15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4,493,713.53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1,396,629.22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74,607.01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4,568,320.54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1,410,756.33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6</w:t>
      </w:r>
      <w:bookmarkEnd w:id="158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79"/>
      <w:bookmarkEnd w:id="1580"/>
      <w:bookmarkEnd w:id="15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6</w:t>
      </w:r>
      <w:bookmarkEnd w:id="158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83"/>
      <w:bookmarkEnd w:id="1584"/>
      <w:bookmarkEnd w:id="15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7"/>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15,832,878.17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17,358,350.58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2,182,365.92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2,039,970.72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8,326,697.62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14,208,765.40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26,341,941.71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33,607,086.70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系购买银行短期理财产品的收益。</w:t>
      </w:r>
    </w:p>
    <w:p>
      <w:pPr>
        <w:pStyle w:val="Style33"/>
        <w:keepNext/>
        <w:keepLines/>
        <w:widowControl w:val="0"/>
        <w:shd w:val="clear" w:color="auto" w:fill="auto"/>
        <w:bidi w:val="0"/>
        <w:spacing w:before="0" w:after="36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6</w:t>
      </w:r>
      <w:bookmarkEnd w:id="1589"/>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87"/>
      <w:bookmarkEnd w:id="1588"/>
      <w:bookmarkEnd w:id="15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9,274,410.77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9,490,218.89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6,613,758.07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9,275,646.93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9,490,780.25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6,614,994.23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增值税税收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2,660,652.70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3,667,981.18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当地政府机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物联网发展 专项补助金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互联网 创业启动资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‘‘榕基马鞍山 智慧园</w:t>
            </w:r>
            <w:r>
              <w:rPr>
                <w:color w:val="000000"/>
                <w:spacing w:val="0"/>
                <w:w w:val="100"/>
                <w:position w:val="0"/>
              </w:rPr>
              <w:t>"</w:t>
            </w:r>
            <w:r>
              <w:rPr>
                <w:rFonts w:ascii="SimSun" w:eastAsia="SimSun" w:hAnsi="SimSun" w:cs="SimSun"/>
                <w:color w:val="000000"/>
                <w:spacing w:val="0"/>
                <w:w w:val="100"/>
                <w:position w:val="0"/>
              </w:rPr>
              <w:t>项目 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584,251.62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自贸专项发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关于下达</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2014</w:t>
            </w:r>
            <w:r>
              <w:rPr>
                <w:rFonts w:ascii="SimSun" w:eastAsia="SimSun" w:hAnsi="SimSun" w:cs="SimSun"/>
                <w:color w:val="000000"/>
                <w:spacing w:val="0"/>
                <w:w w:val="100"/>
                <w:position w:val="0"/>
              </w:rPr>
              <w:t>年第二 批软件产业 发展专项资 金的通知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423,076.94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年市级 科技计划项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年福建 省软件重大 专项及名牌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年第一 批战略性新 兴产业专项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高新技术企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2011</w:t>
            </w:r>
            <w:r>
              <w:rPr>
                <w:rFonts w:ascii="SimSun" w:eastAsia="SimSun" w:hAnsi="SimSun" w:cs="SimSun"/>
                <w:color w:val="000000"/>
                <w:spacing w:val="0"/>
                <w:w w:val="100"/>
                <w:position w:val="0"/>
              </w:rPr>
              <w:t>年市级 科技计划项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福建省促进 技术经纪专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51,383.00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年鼓楼 区知识产权 奖励经费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高校毕业生 就业生活补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55,583.71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省科技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三等奖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专项奖励与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首届福州市 政府质量奖 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专利奖励与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榕基移动应 用服务平台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收到创新券</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收滨江区软 件产品补助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促进马鞍山</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市软件产业</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发展奖励款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科技计划项</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目经费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444,444.44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福建省首批 海西产业人 才高地领军 人才、海西创 业英才配套 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第三批产业 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年度服 务业奖励金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年第一 批软件产业 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年福建 省专利技术 实施与产业 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促进工业经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当地政府机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济倍增人才 政策补贴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职业培训补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福州市公务 员局促进高 校毕业生就 业创业专项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关于下达</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2014</w:t>
            </w:r>
            <w:r>
              <w:rPr>
                <w:rFonts w:ascii="SimSun" w:eastAsia="SimSun" w:hAnsi="SimSun" w:cs="SimSun"/>
                <w:color w:val="000000"/>
                <w:spacing w:val="0"/>
                <w:w w:val="100"/>
                <w:position w:val="0"/>
              </w:rPr>
              <w:t>年软件 产业发展专 项等省、市两 级资金的通 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福州市人民 政府关于颁 发</w:t>
            </w:r>
            <w:r>
              <w:rPr>
                <w:color w:val="000000"/>
                <w:spacing w:val="0"/>
                <w:w w:val="100"/>
                <w:position w:val="0"/>
              </w:rPr>
              <w:t>2014</w:t>
            </w:r>
            <w:r>
              <w:rPr>
                <w:rFonts w:ascii="SimSun" w:eastAsia="SimSun" w:hAnsi="SimSun" w:cs="SimSun"/>
                <w:color w:val="000000"/>
                <w:spacing w:val="0"/>
                <w:w w:val="100"/>
                <w:position w:val="0"/>
              </w:rPr>
              <w:t>年度 福州市科学 技术奖的决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福州市对外 贸易经济合 作局服务外 包扶持资金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专利奖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w:t>
            </w:r>
            <w:r>
              <w:rPr>
                <w:color w:val="000000"/>
                <w:spacing w:val="0"/>
                <w:w w:val="100"/>
                <w:position w:val="0"/>
              </w:rPr>
              <w:t>2014</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普通高校毕 业生和中小 企业社保申 领的通知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高校毕业生</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社保补贴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当地政府机</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9,274,410.77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9,490,218.89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7</w:t>
      </w:r>
      <w:bookmarkEnd w:id="159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91"/>
      <w:bookmarkEnd w:id="1592"/>
      <w:bookmarkEnd w:id="15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529,037.33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529,037.33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529,037.33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44,268.47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575,985.80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575,985.80</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95"/>
      <w:bookmarkEnd w:id="1596"/>
      <w:bookmarkEnd w:id="1598"/>
    </w:p>
    <w:p>
      <w:pPr>
        <w:pStyle w:val="Style44"/>
        <w:keepNext/>
        <w:keepLines/>
        <w:widowControl w:val="0"/>
        <w:shd w:val="clear" w:color="auto" w:fill="auto"/>
        <w:bidi w:val="0"/>
        <w:spacing w:before="0" w:after="340" w:line="240" w:lineRule="auto"/>
        <w:ind w:left="0" w:right="0" w:firstLine="0"/>
        <w:jc w:val="left"/>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99"/>
      <w:bookmarkEnd w:id="1600"/>
      <w:bookmarkEnd w:id="16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-758,246.44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4,104,643.76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-2,782,928.18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-4,828,348.87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-3,541,174.62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-723,705.11</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02"/>
      <w:bookmarkEnd w:id="1603"/>
      <w:bookmarkEnd w:id="16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21,435,996.50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2,143,599.65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-2,706,720.14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-1,761,356.49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-3,942,417.06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2,523,620.74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-1,144,651.59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本期未确认递延所得税资产的可抵扣暂时性差异或可抵扣亏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6,716,165.30</w:t>
            </w:r>
          </w:p>
        </w:tc>
      </w:tr>
    </w:tbl>
    <w:p>
      <w:pPr>
        <w:widowControl w:val="0"/>
        <w:spacing w:line="1" w:lineRule="exact"/>
      </w:pPr>
      <w:r>
        <w:br w:type="page"/>
      </w:r>
    </w:p>
    <w:tbl>
      <w:tblPr>
        <w:tblOverlap w:val="never"/>
        <w:jc w:val="center"/>
        <w:tblLayout w:type="fixed"/>
      </w:tblPr>
      <w:tblGrid>
        <w:gridCol w:w="4786"/>
        <w:gridCol w:w="48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研究开发费加成扣除的纳税影响（以填列）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-2,703,558.17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-1,357,213.01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-3,541,174.62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after="36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7</w:t>
      </w:r>
      <w:bookmarkEnd w:id="160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05"/>
      <w:bookmarkEnd w:id="1606"/>
      <w:bookmarkEnd w:id="160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34</w:t>
      </w:r>
      <w:r>
        <w:rPr>
          <w:color w:val="000000"/>
          <w:spacing w:val="0"/>
          <w:w w:val="100"/>
          <w:position w:val="0"/>
        </w:rPr>
        <w:t>。</w:t>
      </w:r>
    </w:p>
    <w:p>
      <w:pPr>
        <w:pStyle w:val="Style33"/>
        <w:keepNext/>
        <w:keepLines/>
        <w:widowControl w:val="0"/>
        <w:shd w:val="clear" w:color="auto" w:fill="auto"/>
        <w:tabs>
          <w:tab w:pos="474" w:val="left"/>
        </w:tabs>
        <w:bidi w:val="0"/>
        <w:spacing w:before="0" w:after="3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7</w:t>
      </w:r>
      <w:bookmarkEnd w:id="1611"/>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09"/>
      <w:bookmarkEnd w:id="1610"/>
      <w:bookmarkEnd w:id="1612"/>
    </w:p>
    <w:p>
      <w:pPr>
        <w:pStyle w:val="Style44"/>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13"/>
      <w:bookmarkEnd w:id="1614"/>
      <w:bookmarkEnd w:id="16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2,484,134.65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6,593,383.00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3,977,561.98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2,226,669.57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备用金及其他单位往来款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4,759,421.62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3,813,178.52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11,221,118.25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12,633,231.09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44"/>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16"/>
      <w:bookmarkEnd w:id="1617"/>
      <w:bookmarkEnd w:id="16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销售费用付现支出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27,966,799.10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30,336,890.50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管理费用付现支出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79,805,061.20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87,794,598.43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备用金及其他单位往来款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7,689,562.98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13,266,220.92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1,906,317.65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14,109,164.72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117,367,740.93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145,506,874.57</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4"/>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19"/>
      <w:bookmarkEnd w:id="1620"/>
      <w:bookmarkEnd w:id="16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44"/>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23"/>
      <w:bookmarkEnd w:id="1624"/>
      <w:bookmarkEnd w:id="16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4"/>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27"/>
      <w:bookmarkEnd w:id="1628"/>
      <w:bookmarkEnd w:id="16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信阳榕基软件园</w:t>
            </w:r>
            <w:r>
              <w:rPr>
                <w:color w:val="000000"/>
                <w:spacing w:val="0"/>
                <w:w w:val="100"/>
                <w:position w:val="0"/>
              </w:rPr>
              <w:t>"</w:t>
            </w:r>
            <w:r>
              <w:rPr>
                <w:rFonts w:ascii="SimSun" w:eastAsia="SimSun" w:hAnsi="SimSun" w:cs="SimSun"/>
                <w:color w:val="000000"/>
                <w:spacing w:val="0"/>
                <w:w w:val="100"/>
                <w:position w:val="0"/>
              </w:rPr>
              <w:t>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44"/>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31"/>
      <w:bookmarkEnd w:id="1632"/>
      <w:bookmarkEnd w:id="16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收购福建星榕基公司</w:t>
            </w:r>
            <w:r>
              <w:rPr>
                <w:color w:val="000000"/>
                <w:spacing w:val="0"/>
                <w:w w:val="100"/>
                <w:position w:val="0"/>
              </w:rPr>
              <w:t>10%</w:t>
            </w:r>
            <w:r>
              <w:rPr>
                <w:rFonts w:ascii="SimSun" w:eastAsia="SimSun" w:hAnsi="SimSun" w:cs="SimSun"/>
                <w:color w:val="000000"/>
                <w:spacing w:val="0"/>
                <w:w w:val="100"/>
                <w:position w:val="0"/>
              </w:rPr>
              <w:t>少数股权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短期融资券承销费用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6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7</w:t>
      </w:r>
      <w:bookmarkEnd w:id="163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35"/>
      <w:bookmarkEnd w:id="1636"/>
      <w:bookmarkEnd w:id="1638"/>
    </w:p>
    <w:p>
      <w:pPr>
        <w:pStyle w:val="Style44"/>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39"/>
      <w:bookmarkEnd w:id="1640"/>
      <w:bookmarkEnd w:id="16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24,977,171.12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15,450,227.32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4,568,320.54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1,410,756.33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8,845,942.17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11,003,315.40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26,911,248.91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31,832,223.01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403,838.90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处置固定资产、无形资产和其他长期资产 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529,037.33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8,084,737.58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5,912,865.37</w:t>
            </w:r>
          </w:p>
        </w:tc>
      </w:tr>
    </w:tbl>
    <w:p>
      <w:pPr>
        <w:widowControl w:val="0"/>
        <w:spacing w:line="1" w:lineRule="exact"/>
      </w:pPr>
      <w:r>
        <w:br w:type="page"/>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-26,341,941.71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-33,607,086.70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-1,702,014.72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-5,914,887.33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-81,801,224.55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-64,016,835.85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-6,594,826.12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-58,800,505.41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99,499,643.01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114,328,251.89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57,174,908.96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18,002,162.93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481,810,159.46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347,236,683.56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347,236,683.56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301,533,250.26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134,573,475.90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45,703,433.30</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42"/>
      <w:bookmarkEnd w:id="1643"/>
      <w:bookmarkEnd w:id="16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45"/>
      <w:bookmarkEnd w:id="1646"/>
      <w:bookmarkEnd w:id="16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49"/>
      <w:bookmarkEnd w:id="1650"/>
      <w:bookmarkEnd w:id="16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481,810,159.46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347,236,683.56</w:t>
            </w:r>
          </w:p>
        </w:tc>
      </w:tr>
    </w:tbl>
    <w:p>
      <w:pPr>
        <w:widowControl w:val="0"/>
        <w:spacing w:line="1" w:lineRule="exact"/>
      </w:pPr>
      <w:r>
        <w:br w:type="page"/>
      </w:r>
    </w:p>
    <w:tbl>
      <w:tblPr>
        <w:tblOverlap w:val="never"/>
        <w:jc w:val="center"/>
        <w:tblLayout w:type="fixed"/>
      </w:tblPr>
      <w:tblGrid>
        <w:gridCol w:w="3331"/>
        <w:gridCol w:w="3058"/>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481,810,159.46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347,236,683.56</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after="36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7</w:t>
      </w:r>
      <w:bookmarkEnd w:id="1655"/>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53"/>
      <w:bookmarkEnd w:id="1654"/>
      <w:bookmarkEnd w:id="165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3"/>
        <w:keepNext/>
        <w:keepLines/>
        <w:widowControl w:val="0"/>
        <w:shd w:val="clear" w:color="auto" w:fill="auto"/>
        <w:tabs>
          <w:tab w:pos="474" w:val="left"/>
        </w:tabs>
        <w:bidi w:val="0"/>
        <w:spacing w:before="0" w:after="36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7</w:t>
      </w:r>
      <w:bookmarkEnd w:id="1659"/>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57"/>
      <w:bookmarkEnd w:id="1658"/>
      <w:bookmarkEnd w:id="16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71,165,280.76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定期存款、保函保证金等</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71,165,280.76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179" w:right="0" w:firstLine="0"/>
        <w:jc w:val="left"/>
      </w:pPr>
      <w:r>
        <w:rPr>
          <w:color w:val="000000"/>
          <w:spacing w:val="0"/>
          <w:w w:val="100"/>
          <w:position w:val="0"/>
        </w:rPr>
        <w:t>单位：元</w:t>
      </w:r>
    </w:p>
    <w:tbl>
      <w:tblPr>
        <w:tblOverlap w:val="never"/>
        <w:jc w:val="center"/>
        <w:tblLayout w:type="fixed"/>
      </w:tblPr>
      <w:tblGrid>
        <w:gridCol w:w="2990"/>
        <w:gridCol w:w="2842"/>
        <w:gridCol w:w="326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34,501,508.89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定期存款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定期存款质押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29,441,474.80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保函保证金</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2,212,897.07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银行承兑汇票保证金</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71,165,280.76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61"/>
      <w:bookmarkEnd w:id="1662"/>
      <w:bookmarkEnd w:id="1664"/>
    </w:p>
    <w:p>
      <w:pPr>
        <w:pStyle w:val="Style44"/>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65"/>
      <w:bookmarkEnd w:id="1666"/>
      <w:bookmarkEnd w:id="16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12,932,618.06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89,713,571.49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2,025,035.23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1,811,414.26</w:t>
            </w:r>
          </w:p>
        </w:tc>
      </w:tr>
    </w:tbl>
    <w:p>
      <w:pPr>
        <w:widowControl w:val="0"/>
        <w:spacing w:after="9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326" w:lineRule="exact"/>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68"/>
      <w:bookmarkEnd w:id="1669"/>
      <w:bookmarkEnd w:id="1670"/>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本公司之子公司榕基国际控股有限公司注册于香港，境外主要经营地为香港，记账本位币为港币。</w:t>
      </w:r>
    </w:p>
    <w:p>
      <w:pPr>
        <w:pStyle w:val="Style33"/>
        <w:keepNext/>
        <w:keepLines/>
        <w:widowControl w:val="0"/>
        <w:shd w:val="clear" w:color="auto" w:fill="auto"/>
        <w:bidi w:val="0"/>
        <w:spacing w:before="0" w:after="300" w:line="341"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8</w:t>
      </w:r>
      <w:r>
        <w:rPr>
          <w:color w:val="000000"/>
          <w:spacing w:val="0"/>
          <w:w w:val="100"/>
          <w:position w:val="0"/>
        </w:rPr>
        <w:t>、套期</w:t>
      </w:r>
      <w:bookmarkEnd w:id="1671"/>
      <w:bookmarkEnd w:id="1672"/>
      <w:bookmarkEnd w:id="167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675"/>
      <w:bookmarkEnd w:id="1676"/>
      <w:bookmarkEnd w:id="1678"/>
    </w:p>
    <w:p>
      <w:pPr>
        <w:pStyle w:val="Style26"/>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sz w:val="24"/>
          <w:szCs w:val="24"/>
        </w:rPr>
        <w:t>八</w:t>
      </w:r>
      <w:bookmarkEnd w:id="1681"/>
      <w:r>
        <w:rPr>
          <w:color w:val="000000"/>
          <w:spacing w:val="0"/>
          <w:w w:val="100"/>
          <w:position w:val="0"/>
          <w:sz w:val="24"/>
          <w:szCs w:val="24"/>
        </w:rPr>
        <w:t>、合并范围的变更</w:t>
      </w:r>
      <w:bookmarkEnd w:id="1679"/>
      <w:bookmarkEnd w:id="1680"/>
      <w:bookmarkEnd w:id="1682"/>
    </w:p>
    <w:p>
      <w:pPr>
        <w:pStyle w:val="Style33"/>
        <w:keepNext/>
        <w:keepLines/>
        <w:widowControl w:val="0"/>
        <w:shd w:val="clear" w:color="auto" w:fill="auto"/>
        <w:bidi w:val="0"/>
        <w:spacing w:before="0" w:after="360" w:line="240" w:lineRule="auto"/>
        <w:ind w:left="0" w:right="0" w:firstLine="0"/>
        <w:jc w:val="left"/>
      </w:pPr>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83"/>
      <w:bookmarkEnd w:id="1684"/>
      <w:bookmarkEnd w:id="1685"/>
    </w:p>
    <w:p>
      <w:pPr>
        <w:pStyle w:val="Style44"/>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86"/>
      <w:bookmarkEnd w:id="1687"/>
      <w:bookmarkEnd w:id="16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购买日至期 末被购买方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购买日至期 末被购买方 的净利润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89"/>
      <w:bookmarkEnd w:id="1690"/>
      <w:bookmarkEnd w:id="169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44"/>
        <w:keepNext/>
        <w:keepLines/>
        <w:widowControl w:val="0"/>
        <w:numPr>
          <w:ilvl w:val="0"/>
          <w:numId w:val="69"/>
        </w:numPr>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被购买方于购买日可辨认资产、负债</w:t>
      </w:r>
      <w:bookmarkEnd w:id="1692"/>
      <w:bookmarkEnd w:id="1693"/>
      <w:bookmarkEnd w:id="16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购买日账面价值</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numPr>
          <w:ilvl w:val="0"/>
          <w:numId w:val="69"/>
        </w:numPr>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购买日之前持有的股权按照公允价值重新计量产生的利得或损失</w:t>
      </w:r>
      <w:bookmarkEnd w:id="1696"/>
      <w:bookmarkEnd w:id="1697"/>
      <w:bookmarkEnd w:id="169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type w:val="continuous"/>
          <w:pgSz w:w="11900" w:h="16840"/>
          <w:pgMar w:top="1152" w:right="1065" w:bottom="1394"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4"/>
        <w:keepNext/>
        <w:keepLines/>
        <w:widowControl w:val="0"/>
        <w:shd w:val="clear" w:color="auto" w:fill="auto"/>
        <w:tabs>
          <w:tab w:pos="488" w:val="left"/>
        </w:tabs>
        <w:bidi w:val="0"/>
        <w:spacing w:before="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700"/>
      <w:bookmarkEnd w:id="1701"/>
      <w:bookmarkEnd w:id="1703"/>
    </w:p>
    <w:p>
      <w:pPr>
        <w:pStyle w:val="Style44"/>
        <w:keepNext/>
        <w:keepLines/>
        <w:widowControl w:val="0"/>
        <w:shd w:val="clear" w:color="auto" w:fill="auto"/>
        <w:tabs>
          <w:tab w:pos="488" w:val="left"/>
        </w:tabs>
        <w:bidi w:val="0"/>
        <w:spacing w:before="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04"/>
      <w:bookmarkEnd w:id="1705"/>
      <w:bookmarkEnd w:id="1707"/>
    </w:p>
    <w:p>
      <w:pPr>
        <w:pStyle w:val="Style33"/>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bookmarkEnd w:id="1710"/>
      <w:r>
        <w:rPr>
          <w:color w:val="000000"/>
          <w:spacing w:val="0"/>
          <w:w w:val="100"/>
          <w:position w:val="0"/>
        </w:rPr>
        <w:t>、同一控制下企业合并</w:t>
      </w:r>
      <w:bookmarkEnd w:id="1708"/>
      <w:bookmarkEnd w:id="1709"/>
      <w:bookmarkEnd w:id="1711"/>
    </w:p>
    <w:p>
      <w:pPr>
        <w:pStyle w:val="Style44"/>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12"/>
      <w:bookmarkEnd w:id="1713"/>
      <w:bookmarkEnd w:id="171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比较期间被 合并方的净</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利润</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15"/>
      <w:bookmarkEnd w:id="1716"/>
      <w:bookmarkEnd w:id="171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或有对价及其变动的说明：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18"/>
      <w:bookmarkEnd w:id="1719"/>
      <w:bookmarkEnd w:id="17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上期期末</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企业合并中承担的被合并方的或有负债：</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3</w:t>
      </w:r>
      <w:bookmarkEnd w:id="1724"/>
      <w:r>
        <w:rPr>
          <w:color w:val="000000"/>
          <w:spacing w:val="0"/>
          <w:w w:val="100"/>
          <w:position w:val="0"/>
        </w:rPr>
        <w:t>、</w:t>
        <w:tab/>
        <w:t>反向购买</w:t>
      </w:r>
      <w:bookmarkEnd w:id="1722"/>
      <w:bookmarkEnd w:id="1723"/>
      <w:bookmarkEnd w:id="1725"/>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4</w:t>
      </w:r>
      <w:bookmarkEnd w:id="1728"/>
      <w:r>
        <w:rPr>
          <w:color w:val="000000"/>
          <w:spacing w:val="0"/>
          <w:w w:val="100"/>
          <w:position w:val="0"/>
        </w:rPr>
        <w:t>、</w:t>
        <w:tab/>
        <w:t>处置子公司</w:t>
      </w:r>
      <w:bookmarkEnd w:id="1726"/>
      <w:bookmarkEnd w:id="1727"/>
      <w:bookmarkEnd w:id="1729"/>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3"/>
        <w:keepNext/>
        <w:keepLines/>
        <w:widowControl w:val="0"/>
        <w:shd w:val="clear" w:color="auto" w:fill="auto"/>
        <w:tabs>
          <w:tab w:pos="378" w:val="left"/>
        </w:tabs>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5</w:t>
      </w:r>
      <w:bookmarkEnd w:id="1732"/>
      <w:r>
        <w:rPr>
          <w:color w:val="000000"/>
          <w:spacing w:val="0"/>
          <w:w w:val="100"/>
          <w:position w:val="0"/>
        </w:rPr>
        <w:t>、</w:t>
        <w:tab/>
        <w:t>其他原因的合并范围变动</w:t>
      </w:r>
      <w:bookmarkEnd w:id="1730"/>
      <w:bookmarkEnd w:id="1731"/>
      <w:bookmarkEnd w:id="173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3"/>
        <w:keepNext/>
        <w:keepLines/>
        <w:widowControl w:val="0"/>
        <w:shd w:val="clear" w:color="auto" w:fill="auto"/>
        <w:tabs>
          <w:tab w:pos="378" w:val="left"/>
        </w:tabs>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color w:val="000000"/>
          <w:spacing w:val="0"/>
          <w:w w:val="100"/>
          <w:position w:val="0"/>
        </w:rPr>
        <w:t>、</w:t>
        <w:tab/>
        <w:t>其他</w:t>
      </w:r>
      <w:bookmarkEnd w:id="1734"/>
      <w:bookmarkEnd w:id="1735"/>
      <w:bookmarkEnd w:id="1737"/>
    </w:p>
    <w:p>
      <w:pPr>
        <w:pStyle w:val="Style26"/>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sz w:val="24"/>
          <w:szCs w:val="24"/>
        </w:rPr>
        <w:t>九</w:t>
      </w:r>
      <w:bookmarkEnd w:id="1740"/>
      <w:r>
        <w:rPr>
          <w:color w:val="000000"/>
          <w:spacing w:val="0"/>
          <w:w w:val="100"/>
          <w:position w:val="0"/>
          <w:sz w:val="24"/>
          <w:szCs w:val="24"/>
        </w:rPr>
        <w:t>、在其他主体中的权益</w:t>
      </w:r>
      <w:bookmarkEnd w:id="1738"/>
      <w:bookmarkEnd w:id="1739"/>
      <w:bookmarkEnd w:id="1741"/>
    </w:p>
    <w:p>
      <w:pPr>
        <w:pStyle w:val="Style33"/>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42"/>
      <w:bookmarkEnd w:id="1743"/>
      <w:bookmarkEnd w:id="1744"/>
    </w:p>
    <w:p>
      <w:pPr>
        <w:pStyle w:val="Style44"/>
        <w:keepNext/>
        <w:keepLines/>
        <w:widowControl w:val="0"/>
        <w:shd w:val="clear" w:color="auto" w:fill="auto"/>
        <w:bidi w:val="0"/>
        <w:spacing w:before="0" w:after="340" w:line="240" w:lineRule="auto"/>
        <w:ind w:left="0" w:right="0" w:firstLine="14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45"/>
      <w:bookmarkEnd w:id="1746"/>
      <w:bookmarkEnd w:id="1747"/>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浙江榕基信息技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浙江省杭州市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上海榕基软件开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榕基五一（北京）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河南榕基信息技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马鞍山榕基软件 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北京中榕基信息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福建榕基软件工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福建榕基投资有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信阳榕基信息技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榕基国际控股有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河南豫础置业有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福建榕易付网络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福建星榕基信息 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福州创华电气自 动化系统有限公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同一控制下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马鞍山榕基置业 投资有限公司</w:t>
            </w:r>
          </w:p>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沈阳榕基信息技 术有限公司（孙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沈阳市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沈阳市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河南裕信德置业 有限公司（孙公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浙江检榕网络科 技有限公司（孙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SimSun" w:eastAsia="SimSun" w:hAnsi="SimSun" w:cs="SimSun"/>
                <w:color w:val="000000"/>
                <w:spacing w:val="0"/>
                <w:w w:val="100"/>
                <w:position w:val="0"/>
              </w:rPr>
              <w:t>榕基国计（北京） 信息技术有限公 司（孙公司）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投资设立</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80" w:line="240" w:lineRule="auto"/>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48"/>
      <w:bookmarkEnd w:id="1749"/>
      <w:bookmarkEnd w:id="17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福建星榕基公司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1,401,370.43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10,418,215.44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380" w:line="240" w:lineRule="auto"/>
        <w:ind w:left="0" w:right="0" w:firstLine="14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w:t>
      </w:r>
      <w:bookmarkEnd w:id="175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51"/>
      <w:bookmarkEnd w:id="1752"/>
      <w:bookmarkEnd w:id="175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4416"/>
        <w:gridCol w:w="442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9"/>
        <w:gridCol w:w="734"/>
        <w:gridCol w:w="734"/>
        <w:gridCol w:w="730"/>
        <w:gridCol w:w="739"/>
        <w:gridCol w:w="734"/>
        <w:gridCol w:w="734"/>
        <w:gridCol w:w="749"/>
      </w:tblGrid>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计</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福建星 榕基公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82,558,5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1,968,07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84,526,5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29,693,8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29,599.0</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02.38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76.38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6"/>
        <w:gridCol w:w="1061"/>
        <w:gridCol w:w="1066"/>
        <w:gridCol w:w="1066"/>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福建星榕基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54,859,068.9</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4,832,311.84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4,832,311.84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11,576,005.0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bl>
    <w:p>
      <w:pPr>
        <w:pStyle w:val="Style3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w:t>
      </w:r>
    </w:p>
    <w:p>
      <w:pPr>
        <w:pStyle w:val="Style44"/>
        <w:keepNext/>
        <w:keepLines/>
        <w:widowControl w:val="0"/>
        <w:numPr>
          <w:ilvl w:val="0"/>
          <w:numId w:val="71"/>
        </w:numPr>
        <w:shd w:val="clear" w:color="auto" w:fill="auto"/>
        <w:tabs>
          <w:tab w:pos="488" w:val="left"/>
        </w:tabs>
        <w:bidi w:val="0"/>
        <w:spacing w:before="0" w:line="240" w:lineRule="auto"/>
        <w:ind w:left="0" w:right="0" w:firstLine="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使用企业集团资产和清偿企业集团债务的重大限制</w:t>
      </w:r>
      <w:bookmarkEnd w:id="1755"/>
      <w:bookmarkEnd w:id="1756"/>
      <w:bookmarkEnd w:id="1758"/>
    </w:p>
    <w:p>
      <w:pPr>
        <w:pStyle w:val="Style44"/>
        <w:keepNext/>
        <w:keepLines/>
        <w:widowControl w:val="0"/>
        <w:numPr>
          <w:ilvl w:val="0"/>
          <w:numId w:val="71"/>
        </w:numPr>
        <w:shd w:val="clear" w:color="auto" w:fill="auto"/>
        <w:tabs>
          <w:tab w:pos="488" w:val="left"/>
        </w:tabs>
        <w:bidi w:val="0"/>
        <w:spacing w:before="0" w:after="280" w:line="240" w:lineRule="auto"/>
        <w:ind w:left="0" w:right="0" w:firstLine="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向纳入合并财务报表范围的结构化主体提供的财务支持或其他支持</w:t>
      </w:r>
      <w:bookmarkEnd w:id="1759"/>
      <w:bookmarkEnd w:id="1760"/>
      <w:bookmarkEnd w:id="1762"/>
    </w:p>
    <w:p>
      <w:pPr>
        <w:pStyle w:val="Style30"/>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63"/>
      <w:bookmarkEnd w:id="1764"/>
      <w:bookmarkEnd w:id="1765"/>
    </w:p>
    <w:p>
      <w:pPr>
        <w:pStyle w:val="Style44"/>
        <w:keepNext/>
        <w:keepLines/>
        <w:widowControl w:val="0"/>
        <w:numPr>
          <w:ilvl w:val="0"/>
          <w:numId w:val="73"/>
        </w:numPr>
        <w:shd w:val="clear" w:color="auto" w:fill="auto"/>
        <w:tabs>
          <w:tab w:pos="488" w:val="left"/>
        </w:tabs>
        <w:bidi w:val="0"/>
        <w:spacing w:before="0" w:after="280" w:line="240" w:lineRule="auto"/>
        <w:ind w:left="0" w:right="0" w:firstLine="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在子公司所有者权益份额发生变化的情况说明</w:t>
      </w:r>
      <w:bookmarkEnd w:id="1766"/>
      <w:bookmarkEnd w:id="1767"/>
      <w:bookmarkEnd w:id="1769"/>
    </w:p>
    <w:p>
      <w:pPr>
        <w:pStyle w:val="Style30"/>
        <w:keepNext w:val="0"/>
        <w:keepLines w:val="0"/>
        <w:widowControl w:val="0"/>
        <w:shd w:val="clear" w:color="auto" w:fill="auto"/>
        <w:bidi w:val="0"/>
        <w:spacing w:before="0" w:after="360" w:line="307" w:lineRule="exact"/>
        <w:ind w:left="0" w:right="0"/>
        <w:jc w:val="left"/>
      </w:pPr>
      <w:r>
        <w:rPr>
          <w:color w:val="000000"/>
          <w:spacing w:val="0"/>
          <w:w w:val="100"/>
          <w:position w:val="0"/>
        </w:rPr>
        <w:t>本公司原持有福建星榕基公司</w:t>
      </w:r>
      <w:r>
        <w:rPr>
          <w:rFonts w:ascii="Times New Roman" w:eastAsia="Times New Roman" w:hAnsi="Times New Roman" w:cs="Times New Roman"/>
          <w:color w:val="000000"/>
          <w:spacing w:val="0"/>
          <w:w w:val="100"/>
          <w:position w:val="0"/>
        </w:rPr>
        <w:t>71.00%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月子公司榕基投资公司与福建星榕基公司个人股东林卫国签订 股权转让协议，约定向林卫国收购福建星榕基公司</w:t>
      </w:r>
      <w:r>
        <w:rPr>
          <w:rFonts w:ascii="Times New Roman" w:eastAsia="Times New Roman" w:hAnsi="Times New Roman" w:cs="Times New Roman"/>
          <w:color w:val="000000"/>
          <w:spacing w:val="0"/>
          <w:w w:val="100"/>
          <w:position w:val="0"/>
        </w:rPr>
        <w:t>10.00%</w:t>
      </w:r>
      <w:r>
        <w:rPr>
          <w:color w:val="000000"/>
          <w:spacing w:val="0"/>
          <w:w w:val="100"/>
          <w:position w:val="0"/>
        </w:rPr>
        <w:t>股权。截至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日，股权转让协议已履行完毕，支付 交易对价为</w:t>
      </w:r>
      <w:r>
        <w:rPr>
          <w:rFonts w:ascii="Times New Roman" w:eastAsia="Times New Roman" w:hAnsi="Times New Roman" w:cs="Times New Roman"/>
          <w:color w:val="000000"/>
          <w:spacing w:val="0"/>
          <w:w w:val="100"/>
          <w:position w:val="0"/>
        </w:rPr>
        <w:t>5,000,000.00</w:t>
      </w:r>
      <w:r>
        <w:rPr>
          <w:color w:val="000000"/>
          <w:spacing w:val="0"/>
          <w:w w:val="100"/>
          <w:position w:val="0"/>
        </w:rPr>
        <w:t>元，该项交易导致少数股东权益减少</w:t>
      </w:r>
      <w:r>
        <w:rPr>
          <w:rFonts w:ascii="Times New Roman" w:eastAsia="Times New Roman" w:hAnsi="Times New Roman" w:cs="Times New Roman"/>
          <w:color w:val="000000"/>
          <w:spacing w:val="0"/>
          <w:w w:val="100"/>
          <w:position w:val="0"/>
        </w:rPr>
        <w:t>5,483,271.28</w:t>
      </w:r>
      <w:r>
        <w:rPr>
          <w:color w:val="000000"/>
          <w:spacing w:val="0"/>
          <w:w w:val="100"/>
          <w:position w:val="0"/>
        </w:rPr>
        <w:t>元，资本公积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股本溢价增加</w:t>
      </w:r>
      <w:r>
        <w:rPr>
          <w:rFonts w:ascii="Times New Roman" w:eastAsia="Times New Roman" w:hAnsi="Times New Roman" w:cs="Times New Roman"/>
          <w:color w:val="000000"/>
          <w:spacing w:val="0"/>
          <w:w w:val="100"/>
          <w:position w:val="0"/>
        </w:rPr>
        <w:t>483,271.28</w:t>
      </w:r>
      <w:r>
        <w:rPr>
          <w:color w:val="000000"/>
          <w:spacing w:val="0"/>
          <w:w w:val="100"/>
          <w:position w:val="0"/>
        </w:rPr>
        <w:t>元。</w:t>
      </w:r>
    </w:p>
    <w:p>
      <w:pPr>
        <w:pStyle w:val="Style44"/>
        <w:keepNext/>
        <w:keepLines/>
        <w:widowControl w:val="0"/>
        <w:numPr>
          <w:ilvl w:val="0"/>
          <w:numId w:val="73"/>
        </w:numPr>
        <w:shd w:val="clear" w:color="auto" w:fill="auto"/>
        <w:tabs>
          <w:tab w:pos="488" w:val="left"/>
        </w:tabs>
        <w:bidi w:val="0"/>
        <w:spacing w:before="0" w:line="240" w:lineRule="auto"/>
        <w:ind w:left="0" w:right="0" w:firstLine="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交易对于少数股东权益及归属于母公司所有者权益的影响</w:t>
      </w:r>
      <w:bookmarkEnd w:id="1770"/>
      <w:bookmarkEnd w:id="1771"/>
      <w:bookmarkEnd w:id="17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福建星榕基信息科技有限责任公司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购买成本</w:t>
            </w:r>
            <w:r>
              <w:rPr>
                <w:color w:val="000000"/>
                <w:spacing w:val="0"/>
                <w:w w:val="100"/>
                <w:position w:val="0"/>
              </w:rPr>
              <w:t>/</w:t>
            </w:r>
            <w:r>
              <w:rPr>
                <w:rFonts w:ascii="SimSun" w:eastAsia="SimSun" w:hAnsi="SimSun" w:cs="SimSun"/>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减：按取得</w:t>
            </w:r>
            <w:r>
              <w:rPr>
                <w:color w:val="000000"/>
                <w:spacing w:val="0"/>
                <w:w w:val="100"/>
                <w:position w:val="0"/>
              </w:rPr>
              <w:t>/</w:t>
            </w:r>
            <w:r>
              <w:rPr>
                <w:rFonts w:ascii="SimSun" w:eastAsia="SimSun" w:hAnsi="SimSun" w:cs="SimSun"/>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5,483,271.28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483,271.28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483,271.28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3</w:t>
      </w:r>
      <w:bookmarkEnd w:id="1776"/>
      <w:r>
        <w:rPr>
          <w:color w:val="000000"/>
          <w:spacing w:val="0"/>
          <w:w w:val="100"/>
          <w:position w:val="0"/>
        </w:rPr>
        <w:t>、在合营安排或联营企业中的权益</w:t>
      </w:r>
      <w:bookmarkEnd w:id="1774"/>
      <w:bookmarkEnd w:id="1775"/>
      <w:bookmarkEnd w:id="1777"/>
    </w:p>
    <w:p>
      <w:pPr>
        <w:pStyle w:val="Style44"/>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78"/>
      <w:bookmarkEnd w:id="1779"/>
      <w:bookmarkEnd w:id="1780"/>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福建亿榕信息技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福建文鑫莲业股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建宁县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建宁县将屯工业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区</w:t>
            </w:r>
            <w:r>
              <w:rPr>
                <w:color w:val="000000"/>
                <w:spacing w:val="0"/>
                <w:w w:val="100"/>
                <w:position w:val="0"/>
              </w:rPr>
              <w:t>42</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权益法(说明)</w:t>
            </w:r>
          </w:p>
        </w:tc>
      </w:tr>
    </w:tbl>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福建文鑫莲业股份有限公司董事会成员中的</w:t>
      </w:r>
      <w:r>
        <w:rPr>
          <w:rFonts w:ascii="Times New Roman" w:eastAsia="Times New Roman" w:hAnsi="Times New Roman" w:cs="Times New Roman"/>
          <w:color w:val="000000"/>
          <w:spacing w:val="0"/>
          <w:w w:val="100"/>
          <w:position w:val="0"/>
        </w:rPr>
        <w:t>2</w:t>
      </w:r>
      <w:r>
        <w:rPr>
          <w:color w:val="000000"/>
          <w:spacing w:val="0"/>
          <w:w w:val="100"/>
          <w:position w:val="0"/>
        </w:rPr>
        <w:t>人由本公司委派，本公司对其具有重大影响。</w:t>
      </w:r>
    </w:p>
    <w:p>
      <w:pPr>
        <w:pStyle w:val="Style44"/>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81"/>
      <w:bookmarkEnd w:id="1782"/>
      <w:bookmarkEnd w:id="17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numPr>
          <w:ilvl w:val="0"/>
          <w:numId w:val="73"/>
        </w:numPr>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重要联营企业的主要财务信息</w:t>
      </w:r>
      <w:bookmarkEnd w:id="1784"/>
      <w:bookmarkEnd w:id="1785"/>
      <w:bookmarkEnd w:id="17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福建亿榕信息技术有限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福建文鑫莲业股份有限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福建亿榕信息技术有限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福建文鑫莲业股份有限 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492,153,447.43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179,467,194.17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385,852,234.68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138,272,242.09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96,935,240.59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61,701,329.56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87,678,004.25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57,987,173.07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589,088,688.02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241,168,523.73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473,530,238.93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196,259,415.16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443,281,262.38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78,420,177.49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314,504,268.07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48,922,153.08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53,601,342.32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41,338,621.95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443,281,262.38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132,021,519.81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314,504,268.07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90,260,775.03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145,807,425.64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109,147,003.92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159,025,970.86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105,998,640.13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2,269,952.80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2,084,150.09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145,807,425.64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106,877,051.12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159,025,970.86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103,914,490.04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按持股比例计算的净资 产份额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59,343,622.24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13,730,693.09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55,659,089.81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15,899,796.02</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59,343,622.24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28,157,734.57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55,659,089.81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27,761,670.41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261,099,551.59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134,344,780.89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377,628,420.70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129,692,699.34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41,774,357.67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3,148,363.79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49,138,710.77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4,428,213.15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41,774,357.67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3,148,363.79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49,138,710.77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4,428,213.15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本年度收到的来自联营 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17,105,000.00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numPr>
          <w:ilvl w:val="0"/>
          <w:numId w:val="73"/>
        </w:numPr>
        <w:shd w:val="clear" w:color="auto" w:fill="auto"/>
        <w:bidi w:val="0"/>
        <w:spacing w:before="0" w:line="240" w:lineRule="auto"/>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不重要的合营企业和联营企业的汇总财务信息</w:t>
      </w:r>
      <w:bookmarkEnd w:id="1788"/>
      <w:bookmarkEnd w:id="1789"/>
      <w:bookmarkEnd w:id="17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-504,430.16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7,157,391.35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3,777,519.64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-504,430.16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-120,128.29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-504,430.16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numPr>
          <w:ilvl w:val="0"/>
          <w:numId w:val="73"/>
        </w:numPr>
        <w:shd w:val="clear" w:color="auto" w:fill="auto"/>
        <w:tabs>
          <w:tab w:pos="628" w:val="left"/>
        </w:tabs>
        <w:bidi w:val="0"/>
        <w:spacing w:before="0" w:line="240" w:lineRule="auto"/>
        <w:ind w:left="0" w:right="0" w:firstLine="14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合营企业或联营企业向本公司转移资金的能力存在重大限制的说明</w:t>
      </w:r>
      <w:bookmarkEnd w:id="1792"/>
      <w:bookmarkEnd w:id="1793"/>
      <w:bookmarkEnd w:id="1795"/>
    </w:p>
    <w:p>
      <w:pPr>
        <w:pStyle w:val="Style44"/>
        <w:keepNext/>
        <w:keepLines/>
        <w:widowControl w:val="0"/>
        <w:numPr>
          <w:ilvl w:val="0"/>
          <w:numId w:val="73"/>
        </w:numPr>
        <w:shd w:val="clear" w:color="auto" w:fill="auto"/>
        <w:tabs>
          <w:tab w:pos="628" w:val="left"/>
        </w:tabs>
        <w:bidi w:val="0"/>
        <w:spacing w:before="0" w:line="240" w:lineRule="auto"/>
        <w:ind w:left="0" w:right="0" w:firstLine="14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合营企业或联营企业发生的超额亏损</w:t>
      </w:r>
      <w:bookmarkEnd w:id="1796"/>
      <w:bookmarkEnd w:id="1797"/>
      <w:bookmarkEnd w:id="179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本期末累积未确认的损失</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4"/>
        <w:keepNext/>
        <w:keepLines/>
        <w:widowControl w:val="0"/>
        <w:numPr>
          <w:ilvl w:val="0"/>
          <w:numId w:val="73"/>
        </w:numPr>
        <w:shd w:val="clear" w:color="auto" w:fill="auto"/>
        <w:tabs>
          <w:tab w:pos="488" w:val="left"/>
        </w:tabs>
        <w:bidi w:val="0"/>
        <w:spacing w:before="0" w:line="240" w:lineRule="auto"/>
        <w:ind w:left="0" w:right="0" w:firstLine="0"/>
        <w:jc w:val="left"/>
      </w:pPr>
      <w:bookmarkStart w:id="1800" w:name="bookmark1800"/>
      <w:bookmarkStart w:id="1801" w:name="bookmark1801"/>
      <w:bookmarkStart w:id="1802" w:name="bookmark1802"/>
      <w:bookmarkStart w:id="1803" w:name="bookmark1803"/>
      <w:bookmarkEnd w:id="1802"/>
      <w:r>
        <w:rPr>
          <w:color w:val="000000"/>
          <w:spacing w:val="0"/>
          <w:w w:val="100"/>
          <w:position w:val="0"/>
        </w:rPr>
        <w:t>与合营企业投资相关的未确认承诺</w:t>
      </w:r>
      <w:bookmarkEnd w:id="1800"/>
      <w:bookmarkEnd w:id="1801"/>
      <w:bookmarkEnd w:id="1803"/>
    </w:p>
    <w:p>
      <w:pPr>
        <w:pStyle w:val="Style44"/>
        <w:keepNext/>
        <w:keepLines/>
        <w:widowControl w:val="0"/>
        <w:numPr>
          <w:ilvl w:val="0"/>
          <w:numId w:val="73"/>
        </w:numPr>
        <w:shd w:val="clear" w:color="auto" w:fill="auto"/>
        <w:tabs>
          <w:tab w:pos="488" w:val="left"/>
        </w:tabs>
        <w:bidi w:val="0"/>
        <w:spacing w:before="0" w:line="240" w:lineRule="auto"/>
        <w:ind w:left="0" w:right="0" w:firstLine="0"/>
        <w:jc w:val="left"/>
      </w:pPr>
      <w:bookmarkStart w:id="1804" w:name="bookmark1804"/>
      <w:bookmarkStart w:id="1805" w:name="bookmark1805"/>
      <w:bookmarkStart w:id="1806" w:name="bookmark1806"/>
      <w:bookmarkStart w:id="1807" w:name="bookmark1807"/>
      <w:bookmarkEnd w:id="1806"/>
      <w:r>
        <w:rPr>
          <w:color w:val="000000"/>
          <w:spacing w:val="0"/>
          <w:w w:val="100"/>
          <w:position w:val="0"/>
        </w:rPr>
        <w:t>与合营企业或联营企业投资相关的或有负债</w:t>
      </w:r>
      <w:bookmarkEnd w:id="1804"/>
      <w:bookmarkEnd w:id="1805"/>
      <w:bookmarkEnd w:id="1807"/>
    </w:p>
    <w:p>
      <w:pPr>
        <w:pStyle w:val="Style33"/>
        <w:keepNext/>
        <w:keepLines/>
        <w:widowControl w:val="0"/>
        <w:shd w:val="clear" w:color="auto" w:fill="auto"/>
        <w:bidi w:val="0"/>
        <w:spacing w:before="0" w:after="36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4</w:t>
      </w:r>
      <w:bookmarkEnd w:id="1810"/>
      <w:r>
        <w:rPr>
          <w:color w:val="000000"/>
          <w:spacing w:val="0"/>
          <w:w w:val="100"/>
          <w:position w:val="0"/>
        </w:rPr>
        <w:t>、重要的共同经营</w:t>
      </w:r>
      <w:bookmarkEnd w:id="1808"/>
      <w:bookmarkEnd w:id="1809"/>
      <w:bookmarkEnd w:id="1811"/>
    </w:p>
    <w:tbl>
      <w:tblPr>
        <w:tblOverlap w:val="never"/>
        <w:jc w:val="center"/>
        <w:tblLayout w:type="fixed"/>
      </w:tblPr>
      <w:tblGrid>
        <w:gridCol w:w="1603"/>
        <w:gridCol w:w="1594"/>
        <w:gridCol w:w="1594"/>
        <w:gridCol w:w="1594"/>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享有的份额</w:t>
            </w:r>
          </w:p>
        </w:tc>
      </w:tr>
    </w:tbl>
    <w:tbl>
      <w:tblPr>
        <w:tblOverlap w:val="never"/>
        <w:jc w:val="center"/>
        <w:tblLayout w:type="fixed"/>
      </w:tblPr>
      <w:tblGrid>
        <w:gridCol w:w="1603"/>
        <w:gridCol w:w="1594"/>
        <w:gridCol w:w="1594"/>
        <w:gridCol w:w="1594"/>
        <w:gridCol w:w="1594"/>
        <w:gridCol w:w="160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r>
    </w:tbl>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在共同经营中的持股比例或享有的份额不同于表决权比例的说明：</w:t>
      </w:r>
    </w:p>
    <w:p>
      <w:pPr>
        <w:pStyle w:val="Style30"/>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共同经营为单独主体的，分类为共同经营的依据：</w:t>
      </w:r>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367" w:val="left"/>
        </w:tabs>
        <w:bidi w:val="0"/>
        <w:spacing w:before="0" w:after="26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5</w:t>
      </w:r>
      <w:bookmarkEnd w:id="1814"/>
      <w:r>
        <w:rPr>
          <w:color w:val="000000"/>
          <w:spacing w:val="0"/>
          <w:w w:val="100"/>
          <w:position w:val="0"/>
        </w:rPr>
        <w:t>、</w:t>
        <w:tab/>
        <w:t>在未纳入合并财务报表范围的结构化主体中的权益</w:t>
      </w:r>
      <w:bookmarkEnd w:id="1812"/>
      <w:bookmarkEnd w:id="1813"/>
      <w:bookmarkEnd w:id="1815"/>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67" w:val="left"/>
        </w:tabs>
        <w:bidi w:val="0"/>
        <w:spacing w:before="0" w:after="36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6</w:t>
      </w:r>
      <w:bookmarkEnd w:id="1818"/>
      <w:r>
        <w:rPr>
          <w:color w:val="000000"/>
          <w:spacing w:val="0"/>
          <w:w w:val="100"/>
          <w:position w:val="0"/>
        </w:rPr>
        <w:t>、</w:t>
        <w:tab/>
        <w:t>其他</w:t>
      </w:r>
      <w:bookmarkEnd w:id="1816"/>
      <w:bookmarkEnd w:id="1817"/>
      <w:bookmarkEnd w:id="1819"/>
    </w:p>
    <w:p>
      <w:pPr>
        <w:pStyle w:val="Style26"/>
        <w:keepNext/>
        <w:keepLines/>
        <w:widowControl w:val="0"/>
        <w:shd w:val="clear" w:color="auto" w:fill="auto"/>
        <w:bidi w:val="0"/>
        <w:spacing w:before="0" w:after="260" w:line="240" w:lineRule="auto"/>
        <w:ind w:left="0" w:right="0" w:firstLine="0"/>
        <w:jc w:val="left"/>
      </w:pPr>
      <w:bookmarkStart w:id="1820" w:name="bookmark1820"/>
      <w:bookmarkStart w:id="1821" w:name="bookmark1821"/>
      <w:bookmarkStart w:id="1822" w:name="bookmark1822"/>
      <w:r>
        <w:rPr>
          <w:color w:val="000000"/>
          <w:spacing w:val="0"/>
          <w:w w:val="100"/>
          <w:position w:val="0"/>
          <w:sz w:val="24"/>
          <w:szCs w:val="24"/>
        </w:rPr>
        <w:t>十、与金融工具相关的风险</w:t>
      </w:r>
      <w:bookmarkEnd w:id="1820"/>
      <w:bookmarkEnd w:id="1821"/>
      <w:bookmarkEnd w:id="1822"/>
    </w:p>
    <w:p>
      <w:pPr>
        <w:pStyle w:val="Style30"/>
        <w:keepNext w:val="0"/>
        <w:keepLines w:val="0"/>
        <w:widowControl w:val="0"/>
        <w:shd w:val="clear" w:color="auto" w:fill="auto"/>
        <w:bidi w:val="0"/>
        <w:spacing w:before="0" w:after="120" w:line="310" w:lineRule="exact"/>
        <w:ind w:left="0" w:right="0"/>
        <w:jc w:val="left"/>
      </w:pPr>
      <w:r>
        <w:rPr>
          <w:color w:val="000000"/>
          <w:spacing w:val="0"/>
          <w:w w:val="100"/>
          <w:position w:val="0"/>
        </w:rPr>
        <w:t>本集团的主要金融工具包括货币资金、应收账款、应收票据、应收利息、应收股利、其他应收款、其他流动资产、可供 出售金融资产、应付账款、应付利息、应付票据、其他应付款、短期借款、一年内到期的非流动负债。各项金融工具的详细 情况已于相关附注内披露。与这些金融工具有关的风险，以及本集团为降低这些风险所采取的风险管理政策如下所述。本集 团管理层对这些风险敞口进行管理和监控以确保将上述风险控制在限定的范围之内。</w:t>
      </w:r>
    </w:p>
    <w:p>
      <w:pPr>
        <w:pStyle w:val="Style30"/>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30"/>
        <w:keepNext w:val="0"/>
        <w:keepLines w:val="0"/>
        <w:widowControl w:val="0"/>
        <w:shd w:val="clear" w:color="auto" w:fill="auto"/>
        <w:bidi w:val="0"/>
        <w:spacing w:before="0" w:after="40" w:line="310" w:lineRule="exact"/>
        <w:ind w:left="0" w:right="0"/>
        <w:jc w:val="left"/>
      </w:pPr>
      <w:r>
        <w:rPr>
          <w:color w:val="000000"/>
          <w:spacing w:val="0"/>
          <w:w w:val="100"/>
          <w:position w:val="0"/>
        </w:rPr>
        <w:t>本集团从事风险管理的目标是在风险和收益之间取得适当的平衡，力求降低金融风险对本集团财务业绩的不利影响。基 于该风险管理目标，本集团已制定风险管理政策以辨别和分析本集团所面临的风险，设定适当的风险可接受水平并设计相应 的内部控制程序，以监控本集团的风险水平。本集团会定期审阅这些风险管理政策及有关内部控制系统，以适应市场情况或 本集团经营活动的改变。本集团的内部审计部门也定期或随机检查内部控制系统的执行是否符合风险管理政策。</w:t>
      </w:r>
    </w:p>
    <w:p>
      <w:pPr>
        <w:pStyle w:val="Style30"/>
        <w:keepNext w:val="0"/>
        <w:keepLines w:val="0"/>
        <w:widowControl w:val="0"/>
        <w:shd w:val="clear" w:color="auto" w:fill="auto"/>
        <w:bidi w:val="0"/>
        <w:spacing w:before="0" w:after="40" w:line="311" w:lineRule="exact"/>
        <w:ind w:left="0" w:right="0"/>
        <w:jc w:val="left"/>
      </w:pPr>
      <w:r>
        <w:rPr>
          <w:color w:val="000000"/>
          <w:spacing w:val="0"/>
          <w:w w:val="100"/>
          <w:position w:val="0"/>
        </w:rPr>
        <w:t>本集团的金融工具导致的主要风险是信用风险、流动性风险、市场风险（包括利率风险和汇率风险）。</w:t>
      </w:r>
    </w:p>
    <w:p>
      <w:pPr>
        <w:pStyle w:val="Style30"/>
        <w:keepNext w:val="0"/>
        <w:keepLines w:val="0"/>
        <w:widowControl w:val="0"/>
        <w:shd w:val="clear" w:color="auto" w:fill="auto"/>
        <w:bidi w:val="0"/>
        <w:spacing w:before="0" w:after="40" w:line="311" w:lineRule="exact"/>
        <w:ind w:left="0" w:right="0"/>
        <w:jc w:val="left"/>
      </w:pPr>
      <w:r>
        <w:rPr>
          <w:color w:val="000000"/>
          <w:spacing w:val="0"/>
          <w:w w:val="100"/>
          <w:position w:val="0"/>
        </w:rPr>
        <w:t>董事会负责规划并建立本集团的风险管理架构，指定本集团的风险管理政策和相关指引并监督风险管理措施的执行情 况。本集团已制定风险管理政策以识别和分析本集团所面临的风险，这些风险管理政策对特定风险进行了明确规定，涵盖了 信用风险、流动性风险和市场风险管理等诸多方面。本集团定期评估市场环境及本集团经营活动的变化以决定是否对风险管 理政策及系统进行更新。本集团的风险管理由风险管理委员会按照董事会批准的政策开展。风险管理委员会通过与本集团其 他业务部门的紧密合作来识别、评价和规避相关风险。本集团内部审计部门就风险管理控制及程序进行定期的审核，并将审 核结果上报本集团的审计委员会。</w:t>
      </w:r>
    </w:p>
    <w:p>
      <w:pPr>
        <w:pStyle w:val="Style30"/>
        <w:keepNext w:val="0"/>
        <w:keepLines w:val="0"/>
        <w:widowControl w:val="0"/>
        <w:shd w:val="clear" w:color="auto" w:fill="auto"/>
        <w:bidi w:val="0"/>
        <w:spacing w:before="0" w:after="40" w:line="307" w:lineRule="exact"/>
        <w:ind w:left="0" w:right="0"/>
        <w:jc w:val="left"/>
      </w:pPr>
      <w:r>
        <w:rPr>
          <w:color w:val="000000"/>
          <w:spacing w:val="0"/>
          <w:w w:val="100"/>
          <w:position w:val="0"/>
        </w:rPr>
        <w:t>本集团通过适当的多样化投资及业务组合来分散金融工具风险，并通过制定相应的风险管理政策减少集中于任何单一行 业、特定地区或特定交易对手方的风险。</w:t>
      </w:r>
    </w:p>
    <w:p>
      <w:pPr>
        <w:pStyle w:val="Style30"/>
        <w:keepNext w:val="0"/>
        <w:keepLines w:val="0"/>
        <w:widowControl w:val="0"/>
        <w:shd w:val="clear" w:color="auto" w:fill="auto"/>
        <w:bidi w:val="0"/>
        <w:spacing w:before="0" w:after="40" w:line="311" w:lineRule="exact"/>
        <w:ind w:left="0" w:right="0"/>
        <w:jc w:val="left"/>
      </w:pPr>
      <w:bookmarkStart w:id="1823" w:name="bookmark1823"/>
      <w:r>
        <w:rPr>
          <w:color w:val="000000"/>
          <w:spacing w:val="0"/>
          <w:w w:val="100"/>
          <w:position w:val="0"/>
        </w:rPr>
        <w:t>（</w:t>
      </w:r>
      <w:bookmarkEnd w:id="1823"/>
      <w:r>
        <w:rPr>
          <w:rFonts w:ascii="Times New Roman" w:eastAsia="Times New Roman" w:hAnsi="Times New Roman" w:cs="Times New Roman"/>
          <w:color w:val="000000"/>
          <w:spacing w:val="0"/>
          <w:w w:val="100"/>
          <w:position w:val="0"/>
        </w:rPr>
        <w:t>1</w:t>
      </w:r>
      <w:r>
        <w:rPr>
          <w:color w:val="000000"/>
          <w:spacing w:val="0"/>
          <w:w w:val="100"/>
          <w:position w:val="0"/>
        </w:rPr>
        <w:t>）信用风险</w:t>
      </w:r>
    </w:p>
    <w:p>
      <w:pPr>
        <w:pStyle w:val="Style30"/>
        <w:keepNext w:val="0"/>
        <w:keepLines w:val="0"/>
        <w:widowControl w:val="0"/>
        <w:shd w:val="clear" w:color="auto" w:fill="auto"/>
        <w:bidi w:val="0"/>
        <w:spacing w:before="0" w:after="40" w:line="311" w:lineRule="exact"/>
        <w:ind w:left="0" w:right="0"/>
        <w:jc w:val="left"/>
      </w:pPr>
      <w:r>
        <w:rPr>
          <w:color w:val="000000"/>
          <w:spacing w:val="0"/>
          <w:w w:val="100"/>
          <w:position w:val="0"/>
        </w:rPr>
        <w:t>信用风险，是指交易对手方未能履行合同义务而导致本集团产生财务损失的风险。</w:t>
      </w:r>
    </w:p>
    <w:p>
      <w:pPr>
        <w:pStyle w:val="Style30"/>
        <w:keepNext w:val="0"/>
        <w:keepLines w:val="0"/>
        <w:widowControl w:val="0"/>
        <w:shd w:val="clear" w:color="auto" w:fill="auto"/>
        <w:bidi w:val="0"/>
        <w:spacing w:before="0" w:after="40" w:line="311" w:lineRule="exact"/>
        <w:ind w:left="0" w:right="0"/>
        <w:jc w:val="left"/>
      </w:pPr>
      <w:r>
        <w:rPr>
          <w:color w:val="000000"/>
          <w:spacing w:val="0"/>
          <w:w w:val="100"/>
          <w:position w:val="0"/>
        </w:rPr>
        <w:t>本集团对信用风险按组合分类进行管理。信用风险主要产生于银行存款和应收款项等。</w:t>
      </w:r>
    </w:p>
    <w:p>
      <w:pPr>
        <w:pStyle w:val="Style30"/>
        <w:keepNext w:val="0"/>
        <w:keepLines w:val="0"/>
        <w:widowControl w:val="0"/>
        <w:shd w:val="clear" w:color="auto" w:fill="auto"/>
        <w:bidi w:val="0"/>
        <w:spacing w:before="0" w:after="40" w:line="311" w:lineRule="exact"/>
        <w:ind w:left="0" w:right="0"/>
        <w:jc w:val="left"/>
      </w:pPr>
      <w:r>
        <w:rPr>
          <w:color w:val="000000"/>
          <w:spacing w:val="0"/>
          <w:w w:val="100"/>
          <w:position w:val="0"/>
        </w:rPr>
        <w:t>本集团银行存款主要存放于国有银行和其它大中型上市银行，本集团预期银行存款不存在重大的信用风险。</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对于应收款项，本集团设定相关政策以控制信用风险敞口。本集团基于对债务人的财务状况、外部评级、从第三方获取 担保的可能性、信用记录及其它因素诸如目前市场状况等评估债务人的信用资质并设置相应欠款额度与信用期限。本集团已 采取政策只与信用良好的交易对手方合作并在有必要时获取足够的抵押品，以此缓解因交易对手方未能履行合同义务而产生 财务损失的风险。本集团会定期对债务人信用记录进行监控，对于信用记录不良的债务人，本集团会采用书面催款、缩短信 用期或取消信用期等方式，以确保本集团的整体信用风险在可控的范围内。</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本集团应收账款的债务人为分布于不同行业和地区的客户。本集团持续对应收账款的财务状况实施信用评估，并在适当 时购买信用担保保险。</w:t>
      </w:r>
    </w:p>
    <w:p>
      <w:pPr>
        <w:pStyle w:val="Style3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本集团所承受的最大信用风险敞口为资产负债表中每项金融资产的账面金额。本集团没有提供任何其他可能令本集团承 受信用风险的担保。</w:t>
      </w:r>
    </w:p>
    <w:p>
      <w:pPr>
        <w:pStyle w:val="Style3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rPr>
        <w:t>27.11%</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17.04%</w:t>
      </w:r>
      <w:r>
        <w:rPr>
          <w:color w:val="000000"/>
          <w:spacing w:val="0"/>
          <w:w w:val="100"/>
          <w:position w:val="0"/>
        </w:rPr>
        <w:t>）； 本集团其他应收款中，欠款金额前五大公司的其他应收款占本集团其他应收款总额的</w:t>
      </w:r>
      <w:r>
        <w:rPr>
          <w:rFonts w:ascii="Times New Roman" w:eastAsia="Times New Roman" w:hAnsi="Times New Roman" w:cs="Times New Roman"/>
          <w:color w:val="000000"/>
          <w:spacing w:val="0"/>
          <w:w w:val="100"/>
          <w:position w:val="0"/>
        </w:rPr>
        <w:t>22.81%（2015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15.74%</w:t>
      </w:r>
      <w:r>
        <w:rPr>
          <w:color w:val="000000"/>
          <w:spacing w:val="0"/>
          <w:w w:val="100"/>
          <w:position w:val="0"/>
        </w:rPr>
        <w:t>）。</w:t>
      </w:r>
    </w:p>
    <w:p>
      <w:pPr>
        <w:pStyle w:val="Style30"/>
        <w:keepNext w:val="0"/>
        <w:keepLines w:val="0"/>
        <w:widowControl w:val="0"/>
        <w:shd w:val="clear" w:color="auto" w:fill="auto"/>
        <w:bidi w:val="0"/>
        <w:spacing w:before="0" w:after="40" w:line="312" w:lineRule="exact"/>
        <w:ind w:left="0" w:right="0" w:firstLine="360"/>
        <w:jc w:val="both"/>
      </w:pPr>
      <w:bookmarkStart w:id="1824" w:name="bookmark1824"/>
      <w:r>
        <w:rPr>
          <w:color w:val="000000"/>
          <w:spacing w:val="0"/>
          <w:w w:val="100"/>
          <w:position w:val="0"/>
        </w:rPr>
        <w:t>（</w:t>
      </w:r>
      <w:bookmarkEnd w:id="1824"/>
      <w:r>
        <w:rPr>
          <w:rFonts w:ascii="Times New Roman" w:eastAsia="Times New Roman" w:hAnsi="Times New Roman" w:cs="Times New Roman"/>
          <w:color w:val="000000"/>
          <w:spacing w:val="0"/>
          <w:w w:val="100"/>
          <w:position w:val="0"/>
        </w:rPr>
        <w:t>2</w:t>
      </w:r>
      <w:r>
        <w:rPr>
          <w:color w:val="000000"/>
          <w:spacing w:val="0"/>
          <w:w w:val="100"/>
          <w:position w:val="0"/>
        </w:rPr>
        <w:t>）流动性风险</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流动性风险，是指本集团在履行以交付现金或其他金融资产的方式结算的义务时发生资金短缺的风险。</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管理流动风险时，本集团保持管理层认为充分的现金及现金等价物并对其进行监控，以满足本集团经营需要，并降低现 金流量波动的影响。本集团管理层对银行借款的使用情况进行监控并确保遵守借款协议。同时从主要金融机构获得提供足够 备用资金的承诺，以满足短期和长期的资金需求。</w:t>
      </w:r>
    </w:p>
    <w:p>
      <w:pPr>
        <w:pStyle w:val="Style30"/>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本集团通过经营业务产生的资金及银行及其他借款来筹措营运资金。于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日，本集团尚未使用的银行借 款额度为人民币</w:t>
      </w:r>
      <w:r>
        <w:rPr>
          <w:rFonts w:ascii="Times New Roman" w:eastAsia="Times New Roman" w:hAnsi="Times New Roman" w:cs="Times New Roman"/>
          <w:color w:val="000000"/>
          <w:spacing w:val="0"/>
          <w:w w:val="100"/>
          <w:position w:val="0"/>
        </w:rPr>
        <w:t>157,600.00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153,700.00</w:t>
      </w:r>
      <w:r>
        <w:rPr>
          <w:color w:val="000000"/>
          <w:spacing w:val="0"/>
          <w:w w:val="100"/>
          <w:position w:val="0"/>
        </w:rPr>
        <w:t>万元）。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期末本集团持有的金融负债和表外担保项目按未折现剩余合同现金流量的到期期限分析如下（单位：人民币万元）:</w:t>
      </w:r>
    </w:p>
    <w:tbl>
      <w:tblPr>
        <w:tblOverlap w:val="never"/>
        <w:jc w:val="center"/>
        <w:tblLayout w:type="fixed"/>
      </w:tblPr>
      <w:tblGrid>
        <w:gridCol w:w="3696"/>
        <w:gridCol w:w="1397"/>
        <w:gridCol w:w="1402"/>
        <w:gridCol w:w="1402"/>
        <w:gridCol w:w="1411"/>
      </w:tblGrid>
      <w:tr>
        <w:trPr>
          <w:trHeight w:val="36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一年至五年以内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合计</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11,400.00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1,068.31</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17,308.99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21,606.37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1,734.72</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1,517.41</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369.47</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其他流动负债（不含递延收益）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1,831.04</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4,800.00</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金融负债和或有负债合计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35,250.37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44,347.75</w:t>
            </w:r>
          </w:p>
        </w:tc>
      </w:tr>
    </w:tbl>
    <w:p>
      <w:pPr>
        <w:widowControl w:val="0"/>
        <w:spacing w:after="39" w:line="1" w:lineRule="exact"/>
      </w:pPr>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期初本集团持有的金融负债和表外担保项目按未折现剩余合同现金流量的到期期限分析如下（单位：人民币万元）:</w:t>
      </w:r>
    </w:p>
    <w:tbl>
      <w:tblPr>
        <w:tblOverlap w:val="never"/>
        <w:jc w:val="center"/>
        <w:tblLayout w:type="fixed"/>
      </w:tblPr>
      <w:tblGrid>
        <w:gridCol w:w="3696"/>
        <w:gridCol w:w="1397"/>
        <w:gridCol w:w="1579"/>
        <w:gridCol w:w="1224"/>
        <w:gridCol w:w="1411"/>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6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一年至五年以内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合计</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7,300.00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718.85</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13,783.59</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1,501.63</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320.14</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984.10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其他流动负债（不含递延收益）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5,000.00</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金融负债和或有负债合计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25,795.84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29,608.31</w:t>
            </w:r>
          </w:p>
        </w:tc>
      </w:tr>
    </w:tbl>
    <w:p>
      <w:pPr>
        <w:widowControl w:val="0"/>
        <w:spacing w:after="39" w:line="1" w:lineRule="exact"/>
      </w:pPr>
    </w:p>
    <w:p>
      <w:pPr>
        <w:pStyle w:val="Style30"/>
        <w:keepNext w:val="0"/>
        <w:keepLines w:val="0"/>
        <w:widowControl w:val="0"/>
        <w:shd w:val="clear" w:color="auto" w:fill="auto"/>
        <w:bidi w:val="0"/>
        <w:spacing w:before="0" w:after="120" w:line="240" w:lineRule="auto"/>
        <w:ind w:left="0" w:right="0" w:firstLine="360"/>
        <w:jc w:val="left"/>
      </w:pPr>
      <w:bookmarkStart w:id="1825" w:name="bookmark1825"/>
      <w:r>
        <w:rPr>
          <w:color w:val="000000"/>
          <w:spacing w:val="0"/>
          <w:w w:val="100"/>
          <w:position w:val="0"/>
        </w:rPr>
        <w:t>（</w:t>
      </w:r>
      <w:bookmarkEnd w:id="1825"/>
      <w:r>
        <w:rPr>
          <w:rFonts w:ascii="Times New Roman" w:eastAsia="Times New Roman" w:hAnsi="Times New Roman" w:cs="Times New Roman"/>
          <w:color w:val="000000"/>
          <w:spacing w:val="0"/>
          <w:w w:val="100"/>
          <w:position w:val="0"/>
        </w:rPr>
        <w:t>3</w:t>
      </w:r>
      <w:r>
        <w:rPr>
          <w:color w:val="000000"/>
          <w:spacing w:val="0"/>
          <w:w w:val="100"/>
          <w:position w:val="0"/>
        </w:rPr>
        <w:t>）市场风险</w:t>
      </w:r>
    </w:p>
    <w:p>
      <w:pPr>
        <w:pStyle w:val="Style30"/>
        <w:keepNext w:val="0"/>
        <w:keepLines w:val="0"/>
        <w:widowControl w:val="0"/>
        <w:shd w:val="clear" w:color="auto" w:fill="auto"/>
        <w:bidi w:val="0"/>
        <w:spacing w:before="0" w:after="40" w:line="240" w:lineRule="auto"/>
        <w:ind w:left="0" w:right="0" w:firstLine="360"/>
        <w:jc w:val="left"/>
      </w:pPr>
      <w:r>
        <w:rPr>
          <w:color w:val="000000"/>
          <w:spacing w:val="0"/>
          <w:w w:val="100"/>
          <w:position w:val="0"/>
        </w:rPr>
        <w:t xml:space="preserve">金融工具的市场风险，是指金融工具的公允价值或未来现金流量因市场价格变动而发生波动的风险，包括利率风险和汇 </w:t>
      </w:r>
      <w:r>
        <w:rPr>
          <w:color w:val="000000"/>
          <w:spacing w:val="0"/>
          <w:w w:val="100"/>
          <w:position w:val="0"/>
        </w:rPr>
        <w:t>率风险。</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利率风险</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利率风险，是指金融工具的公允价值或未来现金流量因市场利率变动而发生波动的风险。利率风险可源于已确认的计息 金融工具和未确认的金融工具（如某些贷款承诺）。</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本集团所承担的利率变动市场风险不重大。</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汇率风险</w:t>
      </w:r>
    </w:p>
    <w:p>
      <w:pPr>
        <w:pStyle w:val="Style30"/>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本集团的主要经营位于中国境内，主要业务以人民币结算。因此，本集团面临的汇率风险并不重大。</w:t>
      </w:r>
    </w:p>
    <w:p>
      <w:pPr>
        <w:pStyle w:val="Style30"/>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本集团期末外币金融资产和外币金融负债列示见本附注五之</w:t>
      </w:r>
      <w:r>
        <w:rPr>
          <w:rFonts w:ascii="Times New Roman" w:eastAsia="Times New Roman" w:hAnsi="Times New Roman" w:cs="Times New Roman"/>
          <w:color w:val="000000"/>
          <w:spacing w:val="0"/>
          <w:w w:val="100"/>
          <w:position w:val="0"/>
        </w:rPr>
        <w:t>50</w:t>
      </w:r>
      <w:r>
        <w:rPr>
          <w:color w:val="000000"/>
          <w:spacing w:val="0"/>
          <w:w w:val="100"/>
          <w:position w:val="0"/>
        </w:rPr>
        <w:t>、外币货币性项目。</w:t>
      </w:r>
    </w:p>
    <w:p>
      <w:pPr>
        <w:pStyle w:val="Style30"/>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、资本管理</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本集团资本管理政策的目标是为了保障本集团能够持续经营，从而为股东提供回报，并使其他利益相关者获益，同时维 持最佳的资本结构以降低资本成本。</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为了维持或调整资本结构，本集团可能会调整支付给股东的股利金额、向股东返还资本、发行新股或出售资产以减低债 务。</w:t>
      </w:r>
    </w:p>
    <w:p>
      <w:pPr>
        <w:pStyle w:val="Style30"/>
        <w:keepNext w:val="0"/>
        <w:keepLines w:val="0"/>
        <w:widowControl w:val="0"/>
        <w:shd w:val="clear" w:color="auto" w:fill="auto"/>
        <w:bidi w:val="0"/>
        <w:spacing w:before="0" w:after="380" w:line="302" w:lineRule="exact"/>
        <w:ind w:left="0" w:right="0" w:firstLine="360"/>
        <w:jc w:val="both"/>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日，本集团的资产负债 率为 </w:t>
      </w:r>
      <w:r>
        <w:rPr>
          <w:rFonts w:ascii="Times New Roman" w:eastAsia="Times New Roman" w:hAnsi="Times New Roman" w:cs="Times New Roman"/>
          <w:color w:val="000000"/>
          <w:spacing w:val="0"/>
          <w:w w:val="100"/>
          <w:position w:val="0"/>
        </w:rPr>
        <w:t>33.83%</w:t>
      </w:r>
      <w:r>
        <w:rPr>
          <w:color w:val="000000"/>
          <w:spacing w:val="0"/>
          <w:w w:val="100"/>
          <w:position w:val="0"/>
        </w:rPr>
        <w:t>（</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27.51%</w:t>
      </w:r>
      <w:r>
        <w:rPr>
          <w:color w:val="000000"/>
          <w:spacing w:val="0"/>
          <w:w w:val="100"/>
          <w:position w:val="0"/>
        </w:rPr>
        <w:t>）。</w:t>
      </w:r>
    </w:p>
    <w:p>
      <w:pPr>
        <w:pStyle w:val="Style26"/>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r>
        <w:rPr>
          <w:color w:val="000000"/>
          <w:spacing w:val="0"/>
          <w:w w:val="100"/>
          <w:position w:val="0"/>
          <w:sz w:val="24"/>
          <w:szCs w:val="24"/>
        </w:rPr>
        <w:t>十一、公允价值的披露</w:t>
      </w:r>
      <w:bookmarkEnd w:id="1826"/>
      <w:bookmarkEnd w:id="1827"/>
      <w:bookmarkEnd w:id="1828"/>
    </w:p>
    <w:p>
      <w:pPr>
        <w:pStyle w:val="Style33"/>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29"/>
      <w:bookmarkEnd w:id="1830"/>
      <w:bookmarkEnd w:id="18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819"/>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383" w:right="1066" w:bottom="1498" w:left="1072" w:header="0" w:footer="3" w:gutter="0"/>
          <w:cols w:space="720"/>
          <w:noEndnote/>
          <w:rtlGutter w:val="0"/>
          <w:docGrid w:linePitch="360"/>
        </w:sectPr>
      </w:pPr>
    </w:p>
    <w:p>
      <w:pPr>
        <w:pStyle w:val="Style33"/>
        <w:keepNext/>
        <w:keepLines/>
        <w:widowControl w:val="0"/>
        <w:shd w:val="clear" w:color="auto" w:fill="auto"/>
        <w:tabs>
          <w:tab w:pos="378" w:val="left"/>
        </w:tabs>
        <w:bidi w:val="0"/>
        <w:spacing w:before="30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bookmarkEnd w:id="1834"/>
      <w:r>
        <w:rPr>
          <w:color w:val="000000"/>
          <w:spacing w:val="0"/>
          <w:w w:val="100"/>
          <w:position w:val="0"/>
        </w:rPr>
        <w:t>、</w:t>
        <w:tab/>
        <w:t>持续和非持续第一层次公允价值计量项目市价的确定依据</w:t>
      </w:r>
      <w:bookmarkEnd w:id="1832"/>
      <w:bookmarkEnd w:id="1833"/>
      <w:bookmarkEnd w:id="1835"/>
    </w:p>
    <w:p>
      <w:pPr>
        <w:pStyle w:val="Style33"/>
        <w:keepNext/>
        <w:keepLines/>
        <w:widowControl w:val="0"/>
        <w:shd w:val="clear" w:color="auto" w:fill="auto"/>
        <w:tabs>
          <w:tab w:pos="378" w:val="left"/>
        </w:tabs>
        <w:bidi w:val="0"/>
        <w:spacing w:before="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3</w:t>
      </w:r>
      <w:bookmarkEnd w:id="1838"/>
      <w:r>
        <w:rPr>
          <w:color w:val="000000"/>
          <w:spacing w:val="0"/>
          <w:w w:val="100"/>
          <w:position w:val="0"/>
        </w:rPr>
        <w:t>、</w:t>
        <w:tab/>
        <w:t>持续和非持续第二层次公允价值计量项目，采用的估值技术和重要参数的定性及定量信息</w:t>
      </w:r>
      <w:bookmarkEnd w:id="1836"/>
      <w:bookmarkEnd w:id="1837"/>
      <w:bookmarkEnd w:id="1839"/>
    </w:p>
    <w:p>
      <w:pPr>
        <w:pStyle w:val="Style33"/>
        <w:keepNext/>
        <w:keepLines/>
        <w:widowControl w:val="0"/>
        <w:shd w:val="clear" w:color="auto" w:fill="auto"/>
        <w:tabs>
          <w:tab w:pos="378" w:val="left"/>
        </w:tabs>
        <w:bidi w:val="0"/>
        <w:spacing w:before="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4</w:t>
      </w:r>
      <w:bookmarkEnd w:id="1842"/>
      <w:r>
        <w:rPr>
          <w:color w:val="000000"/>
          <w:spacing w:val="0"/>
          <w:w w:val="100"/>
          <w:position w:val="0"/>
        </w:rPr>
        <w:t>、</w:t>
        <w:tab/>
        <w:t>持续和非持续第三层次公允价值计量项目，采用的估值技术和重要参数的定性及定量信息</w:t>
      </w:r>
      <w:bookmarkEnd w:id="1840"/>
      <w:bookmarkEnd w:id="1841"/>
      <w:bookmarkEnd w:id="1843"/>
    </w:p>
    <w:p>
      <w:pPr>
        <w:pStyle w:val="Style33"/>
        <w:keepNext/>
        <w:keepLines/>
        <w:widowControl w:val="0"/>
        <w:shd w:val="clear" w:color="auto" w:fill="auto"/>
        <w:tabs>
          <w:tab w:pos="378" w:val="left"/>
        </w:tabs>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5</w:t>
      </w:r>
      <w:bookmarkEnd w:id="1846"/>
      <w:r>
        <w:rPr>
          <w:color w:val="000000"/>
          <w:spacing w:val="0"/>
          <w:w w:val="100"/>
          <w:position w:val="0"/>
        </w:rPr>
        <w:t>、</w:t>
        <w:tab/>
        <w:t>持续的第三层次公允价值计量项目，期初与期末账面价值间的调节信息及不可观察参数敏感性分析</w:t>
      </w:r>
      <w:bookmarkEnd w:id="1844"/>
      <w:bookmarkEnd w:id="1845"/>
      <w:bookmarkEnd w:id="1847"/>
    </w:p>
    <w:p>
      <w:pPr>
        <w:pStyle w:val="Style33"/>
        <w:keepNext/>
        <w:keepLines/>
        <w:widowControl w:val="0"/>
        <w:shd w:val="clear" w:color="auto" w:fill="auto"/>
        <w:tabs>
          <w:tab w:pos="378" w:val="left"/>
        </w:tabs>
        <w:bidi w:val="0"/>
        <w:spacing w:before="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6</w:t>
      </w:r>
      <w:bookmarkEnd w:id="1850"/>
      <w:r>
        <w:rPr>
          <w:color w:val="000000"/>
          <w:spacing w:val="0"/>
          <w:w w:val="100"/>
          <w:position w:val="0"/>
        </w:rPr>
        <w:t>、</w:t>
        <w:tab/>
        <w:t>持续的公允价值计量项目，本期内发生各层级之间转换的，转换的原因及确定转换时点的政策</w:t>
      </w:r>
      <w:bookmarkEnd w:id="1848"/>
      <w:bookmarkEnd w:id="1849"/>
      <w:bookmarkEnd w:id="1851"/>
    </w:p>
    <w:p>
      <w:pPr>
        <w:pStyle w:val="Style33"/>
        <w:keepNext/>
        <w:keepLines/>
        <w:widowControl w:val="0"/>
        <w:shd w:val="clear" w:color="auto" w:fill="auto"/>
        <w:tabs>
          <w:tab w:pos="378" w:val="left"/>
        </w:tabs>
        <w:bidi w:val="0"/>
        <w:spacing w:before="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7</w:t>
      </w:r>
      <w:bookmarkEnd w:id="1854"/>
      <w:r>
        <w:rPr>
          <w:color w:val="000000"/>
          <w:spacing w:val="0"/>
          <w:w w:val="100"/>
          <w:position w:val="0"/>
        </w:rPr>
        <w:t>、</w:t>
        <w:tab/>
        <w:t>本期内发生的估值技术变更及变更原因</w:t>
      </w:r>
      <w:bookmarkEnd w:id="1852"/>
      <w:bookmarkEnd w:id="1853"/>
      <w:bookmarkEnd w:id="1855"/>
    </w:p>
    <w:p>
      <w:pPr>
        <w:pStyle w:val="Style33"/>
        <w:keepNext/>
        <w:keepLines/>
        <w:widowControl w:val="0"/>
        <w:shd w:val="clear" w:color="auto" w:fill="auto"/>
        <w:tabs>
          <w:tab w:pos="378" w:val="left"/>
        </w:tabs>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8</w:t>
      </w:r>
      <w:bookmarkEnd w:id="1858"/>
      <w:r>
        <w:rPr>
          <w:color w:val="000000"/>
          <w:spacing w:val="0"/>
          <w:w w:val="100"/>
          <w:position w:val="0"/>
        </w:rPr>
        <w:t>、</w:t>
        <w:tab/>
        <w:t>不以公允价值计量的金融资产和金融负债的公允价值情况</w:t>
      </w:r>
      <w:bookmarkEnd w:id="1856"/>
      <w:bookmarkEnd w:id="1857"/>
      <w:bookmarkEnd w:id="1859"/>
    </w:p>
    <w:p>
      <w:pPr>
        <w:pStyle w:val="Style33"/>
        <w:keepNext/>
        <w:keepLines/>
        <w:widowControl w:val="0"/>
        <w:shd w:val="clear" w:color="auto" w:fill="auto"/>
        <w:tabs>
          <w:tab w:pos="378" w:val="left"/>
        </w:tabs>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9</w:t>
      </w:r>
      <w:bookmarkEnd w:id="1862"/>
      <w:r>
        <w:rPr>
          <w:color w:val="000000"/>
          <w:spacing w:val="0"/>
          <w:w w:val="100"/>
          <w:position w:val="0"/>
        </w:rPr>
        <w:t>、</w:t>
        <w:tab/>
        <w:t>其他</w:t>
      </w:r>
      <w:bookmarkEnd w:id="1860"/>
      <w:bookmarkEnd w:id="1861"/>
      <w:bookmarkEnd w:id="1863"/>
    </w:p>
    <w:p>
      <w:pPr>
        <w:pStyle w:val="Style26"/>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r>
        <w:rPr>
          <w:color w:val="000000"/>
          <w:spacing w:val="0"/>
          <w:w w:val="100"/>
          <w:position w:val="0"/>
          <w:sz w:val="24"/>
          <w:szCs w:val="24"/>
        </w:rPr>
        <w:t>十二、关联方及关联交易</w:t>
      </w:r>
      <w:bookmarkEnd w:id="1864"/>
      <w:bookmarkEnd w:id="1865"/>
      <w:bookmarkEnd w:id="1866"/>
    </w:p>
    <w:p>
      <w:pPr>
        <w:pStyle w:val="Style33"/>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67"/>
      <w:bookmarkEnd w:id="1868"/>
      <w:bookmarkEnd w:id="1869"/>
    </w:p>
    <w:tbl>
      <w:tblPr>
        <w:tblOverlap w:val="never"/>
        <w:jc w:val="center"/>
        <w:tblLayout w:type="fixed"/>
      </w:tblPr>
      <w:tblGrid>
        <w:gridCol w:w="1603"/>
        <w:gridCol w:w="1594"/>
        <w:gridCol w:w="1594"/>
        <w:gridCol w:w="1594"/>
        <w:gridCol w:w="1603"/>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鲁峰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本企业最终控制方是鲁峰。</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2</w:t>
      </w:r>
      <w:bookmarkEnd w:id="1872"/>
      <w:r>
        <w:rPr>
          <w:color w:val="000000"/>
          <w:spacing w:val="0"/>
          <w:w w:val="100"/>
          <w:position w:val="0"/>
        </w:rPr>
        <w:t>、</w:t>
        <w:tab/>
        <w:t>本企业的子公司情况</w:t>
      </w:r>
      <w:bookmarkEnd w:id="1870"/>
      <w:bookmarkEnd w:id="1871"/>
      <w:bookmarkEnd w:id="187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本企业子公司的情况详见附注附注七、</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3</w:t>
      </w:r>
      <w:bookmarkEnd w:id="1876"/>
      <w:r>
        <w:rPr>
          <w:color w:val="000000"/>
          <w:spacing w:val="0"/>
          <w:w w:val="100"/>
          <w:position w:val="0"/>
        </w:rPr>
        <w:t>、</w:t>
        <w:tab/>
        <w:t>本企业合营和联营企业情况</w:t>
      </w:r>
      <w:bookmarkEnd w:id="1874"/>
      <w:bookmarkEnd w:id="1875"/>
      <w:bookmarkEnd w:id="187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福建亿榕信息技术有限公司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本集团持股</w:t>
            </w:r>
            <w:r>
              <w:rPr>
                <w:color w:val="000000"/>
                <w:spacing w:val="0"/>
                <w:w w:val="100"/>
                <w:position w:val="0"/>
              </w:rPr>
              <w:t>40.70%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福建文鑫莲业股份有限公司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本集团持股</w:t>
            </w:r>
            <w:r>
              <w:rPr>
                <w:color w:val="000000"/>
                <w:spacing w:val="0"/>
                <w:w w:val="100"/>
                <w:position w:val="0"/>
              </w:rPr>
              <w:t>12.58%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建宁县日升投资有限公司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本集团持股</w:t>
            </w:r>
            <w:r>
              <w:rPr>
                <w:color w:val="000000"/>
                <w:spacing w:val="0"/>
                <w:w w:val="100"/>
                <w:position w:val="0"/>
              </w:rPr>
              <w:t>15.00%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福建闽光软件股份有限公司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本集团持股</w:t>
            </w:r>
            <w:r>
              <w:rPr>
                <w:color w:val="000000"/>
                <w:spacing w:val="0"/>
                <w:w w:val="100"/>
                <w:position w:val="0"/>
              </w:rPr>
              <w:t>35.00%</w:t>
            </w:r>
          </w:p>
        </w:tc>
      </w:tr>
    </w:tbl>
    <w:p>
      <w:pPr>
        <w:spacing w:lineRule="exact" w:line="1"/>
        <w:rPr>
          <w:sz w:val="2"/>
          <w:szCs w:val="2"/>
        </w:rPr>
      </w:pPr>
      <w:r>
        <w:br w:type="page"/>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4</w:t>
      </w:r>
      <w:bookmarkEnd w:id="1880"/>
      <w:r>
        <w:rPr>
          <w:color w:val="000000"/>
          <w:spacing w:val="0"/>
          <w:w w:val="100"/>
          <w:position w:val="0"/>
        </w:rPr>
        <w:t>、其他关联方情况</w:t>
      </w:r>
      <w:bookmarkEnd w:id="1878"/>
      <w:bookmarkEnd w:id="1879"/>
      <w:bookmarkEnd w:id="188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福建三钢闽光股份有限公司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相同的独立董事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福建省星云大数据应用服务有限公司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子公司福建星榕基信息科技有限责任公司的参股股东（持股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5</w:t>
      </w:r>
      <w:bookmarkEnd w:id="1884"/>
      <w:r>
        <w:rPr>
          <w:color w:val="000000"/>
          <w:spacing w:val="0"/>
          <w:w w:val="100"/>
          <w:position w:val="0"/>
        </w:rPr>
        <w:t>、关联交易情况</w:t>
      </w:r>
      <w:bookmarkEnd w:id="1882"/>
      <w:bookmarkEnd w:id="1883"/>
      <w:bookmarkEnd w:id="1885"/>
    </w:p>
    <w:p>
      <w:pPr>
        <w:pStyle w:val="Style44"/>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86"/>
      <w:bookmarkEnd w:id="1887"/>
      <w:bookmarkEnd w:id="188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福建亿榕信息技术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10,839,206.84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福建闽光软件股份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福建亿榕信息技术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4,800,000.00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福建省星云大数据 应用服务有限公司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1,000,000.00</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256"/>
        <w:gridCol w:w="2261"/>
        <w:gridCol w:w="2659"/>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福建省星云大数据应用服务有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51,017,012.82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福建省星云大数据应用服务有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14,698,283.02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2,812,762.26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福建三钢闽光股份有限公司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30,598.29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44"/>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89"/>
      <w:bookmarkEnd w:id="1890"/>
      <w:bookmarkEnd w:id="189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受托</w:t>
            </w:r>
            <w:r>
              <w:rPr>
                <w:color w:val="000000"/>
                <w:spacing w:val="0"/>
                <w:w w:val="100"/>
                <w:position w:val="0"/>
              </w:rPr>
              <w:t>/</w:t>
            </w:r>
            <w:r>
              <w:rPr>
                <w:rFonts w:ascii="SimSun" w:eastAsia="SimSun" w:hAnsi="SimSun" w:cs="SimSun"/>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托管收益</w:t>
            </w:r>
            <w:r>
              <w:rPr>
                <w:color w:val="000000"/>
                <w:spacing w:val="0"/>
                <w:w w:val="100"/>
                <w:position w:val="0"/>
              </w:rPr>
              <w:t>/</w:t>
            </w:r>
            <w:r>
              <w:rPr>
                <w:rFonts w:ascii="SimSun" w:eastAsia="SimSun" w:hAnsi="SimSun" w:cs="SimSun"/>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本期确认的托管 收益</w:t>
            </w:r>
            <w:r>
              <w:rPr>
                <w:color w:val="000000"/>
                <w:spacing w:val="0"/>
                <w:w w:val="100"/>
                <w:position w:val="0"/>
              </w:rPr>
              <w:t>/</w:t>
            </w:r>
            <w:r>
              <w:rPr>
                <w:rFonts w:ascii="SimSun" w:eastAsia="SimSun" w:hAnsi="SimSun" w:cs="SimSun"/>
                <w:color w:val="000000"/>
                <w:spacing w:val="0"/>
                <w:w w:val="100"/>
                <w:position w:val="0"/>
              </w:rPr>
              <w:t>承包收益</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委托方</w:t>
            </w:r>
            <w:r>
              <w:rPr>
                <w:color w:val="000000"/>
                <w:spacing w:val="0"/>
                <w:w w:val="100"/>
                <w:position w:val="0"/>
              </w:rPr>
              <w:t>/</w:t>
            </w:r>
            <w:r>
              <w:rPr>
                <w:rFonts w:ascii="SimSun" w:eastAsia="SimSun" w:hAnsi="SimSun" w:cs="SimSun"/>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受托方</w:t>
            </w:r>
            <w:r>
              <w:rPr>
                <w:color w:val="000000"/>
                <w:spacing w:val="0"/>
                <w:w w:val="100"/>
                <w:position w:val="0"/>
              </w:rPr>
              <w:t>/</w:t>
            </w:r>
            <w:r>
              <w:rPr>
                <w:rFonts w:ascii="SimSun" w:eastAsia="SimSun" w:hAnsi="SimSun" w:cs="SimSun"/>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w:t>
            </w:r>
            <w:r>
              <w:rPr>
                <w:color w:val="000000"/>
                <w:spacing w:val="0"/>
                <w:w w:val="100"/>
                <w:position w:val="0"/>
              </w:rPr>
              <w:t>/</w:t>
            </w:r>
            <w:r>
              <w:rPr>
                <w:rFonts w:ascii="SimSun" w:eastAsia="SimSun" w:hAnsi="SimSun" w:cs="SimSun"/>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托管费</w:t>
            </w:r>
            <w:r>
              <w:rPr>
                <w:color w:val="000000"/>
                <w:spacing w:val="0"/>
                <w:w w:val="100"/>
                <w:position w:val="0"/>
              </w:rPr>
              <w:t>/</w:t>
            </w:r>
            <w:r>
              <w:rPr>
                <w:rFonts w:ascii="SimSun" w:eastAsia="SimSun" w:hAnsi="SimSun" w:cs="SimSun"/>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本期确认的托管 费</w:t>
            </w:r>
            <w:r>
              <w:rPr>
                <w:color w:val="000000"/>
                <w:spacing w:val="0"/>
                <w:w w:val="100"/>
                <w:position w:val="0"/>
              </w:rPr>
              <w:t>/</w:t>
            </w:r>
            <w:r>
              <w:rPr>
                <w:rFonts w:ascii="SimSun" w:eastAsia="SimSun" w:hAnsi="SimSun" w:cs="SimSun"/>
                <w:color w:val="000000"/>
                <w:spacing w:val="0"/>
                <w:w w:val="100"/>
                <w:position w:val="0"/>
              </w:rPr>
              <w:t>出包费</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39" w:line="1" w:lineRule="exact"/>
      </w:pPr>
    </w:p>
    <w:p>
      <w:pPr>
        <w:pStyle w:val="Style44"/>
        <w:keepNext/>
        <w:keepLines/>
        <w:widowControl w:val="0"/>
        <w:numPr>
          <w:ilvl w:val="0"/>
          <w:numId w:val="75"/>
        </w:numPr>
        <w:shd w:val="clear" w:color="auto" w:fill="auto"/>
        <w:bidi w:val="0"/>
        <w:spacing w:before="0" w:after="380" w:line="240" w:lineRule="auto"/>
        <w:ind w:left="0" w:right="0" w:firstLine="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关联租赁情况</w:t>
      </w:r>
      <w:bookmarkEnd w:id="1892"/>
      <w:bookmarkEnd w:id="1893"/>
      <w:bookmarkEnd w:id="1895"/>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 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福建省星云大数据应用服务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629,460.82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44"/>
        <w:keepNext/>
        <w:keepLines/>
        <w:widowControl w:val="0"/>
        <w:numPr>
          <w:ilvl w:val="0"/>
          <w:numId w:val="75"/>
        </w:numPr>
        <w:shd w:val="clear" w:color="auto" w:fill="auto"/>
        <w:bidi w:val="0"/>
        <w:spacing w:before="0" w:after="380" w:line="240" w:lineRule="auto"/>
        <w:ind w:left="0" w:right="0" w:firstLine="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关联担保情况</w:t>
      </w:r>
      <w:bookmarkEnd w:id="1896"/>
      <w:bookmarkEnd w:id="1897"/>
      <w:bookmarkEnd w:id="1899"/>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44"/>
        <w:keepNext/>
        <w:keepLines/>
        <w:widowControl w:val="0"/>
        <w:numPr>
          <w:ilvl w:val="0"/>
          <w:numId w:val="75"/>
        </w:numPr>
        <w:shd w:val="clear" w:color="auto" w:fill="auto"/>
        <w:bidi w:val="0"/>
        <w:spacing w:before="0" w:after="380" w:line="240" w:lineRule="auto"/>
        <w:ind w:left="0" w:right="0" w:firstLine="0"/>
        <w:jc w:val="left"/>
      </w:pPr>
      <w:bookmarkStart w:id="1900" w:name="bookmark1900"/>
      <w:bookmarkStart w:id="1901" w:name="bookmark1901"/>
      <w:bookmarkStart w:id="1902" w:name="bookmark1902"/>
      <w:bookmarkStart w:id="1903" w:name="bookmark1903"/>
      <w:bookmarkEnd w:id="1902"/>
      <w:r>
        <w:rPr>
          <w:color w:val="000000"/>
          <w:spacing w:val="0"/>
          <w:w w:val="100"/>
          <w:position w:val="0"/>
        </w:rPr>
        <w:t>关联方资金拆借</w:t>
      </w:r>
      <w:bookmarkEnd w:id="1900"/>
      <w:bookmarkEnd w:id="1901"/>
      <w:bookmarkEnd w:id="1903"/>
    </w:p>
    <w:p>
      <w:pPr>
        <w:widowControl w:val="0"/>
        <w:jc w:val="center"/>
        <w:rPr>
          <w:sz w:val="2"/>
          <w:szCs w:val="2"/>
        </w:rPr>
      </w:pPr>
      <w:r>
        <w:drawing>
          <wp:inline>
            <wp:extent cx="6126480" cy="95123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stretch/>
                  </pic:blipFill>
                  <pic:spPr>
                    <a:xfrm>
                      <a:ext cx="6126480" cy="951230"/>
                    </a:xfrm>
                    <a:prstGeom prst="rect"/>
                  </pic:spPr>
                </pic:pic>
              </a:graphicData>
            </a:graphic>
          </wp:inline>
        </w:drawing>
      </w:r>
      <w:r>
        <w:br w:type="page"/>
      </w:r>
    </w:p>
    <w:p>
      <w:pPr>
        <w:pStyle w:val="Style44"/>
        <w:keepNext/>
        <w:keepLines/>
        <w:widowControl w:val="0"/>
        <w:numPr>
          <w:ilvl w:val="0"/>
          <w:numId w:val="75"/>
        </w:numPr>
        <w:shd w:val="clear" w:color="auto" w:fill="auto"/>
        <w:bidi w:val="0"/>
        <w:spacing w:before="0" w:line="240" w:lineRule="auto"/>
        <w:ind w:left="0" w:right="0" w:firstLine="14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关联方资产转让、债务重组情况</w:t>
      </w:r>
      <w:bookmarkEnd w:id="1904"/>
      <w:bookmarkEnd w:id="1905"/>
      <w:bookmarkEnd w:id="190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r>
    </w:tbl>
    <w:p>
      <w:pPr>
        <w:widowControl w:val="0"/>
        <w:spacing w:after="319" w:line="1" w:lineRule="exact"/>
      </w:pPr>
    </w:p>
    <w:p>
      <w:pPr>
        <w:pStyle w:val="Style44"/>
        <w:keepNext/>
        <w:keepLines/>
        <w:widowControl w:val="0"/>
        <w:numPr>
          <w:ilvl w:val="0"/>
          <w:numId w:val="75"/>
        </w:numPr>
        <w:shd w:val="clear" w:color="auto" w:fill="auto"/>
        <w:bidi w:val="0"/>
        <w:spacing w:before="0" w:line="240" w:lineRule="auto"/>
        <w:ind w:left="0" w:right="0" w:firstLine="14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关键管理人员报酬</w:t>
      </w:r>
      <w:bookmarkEnd w:id="1908"/>
      <w:bookmarkEnd w:id="1909"/>
      <w:bookmarkEnd w:id="19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3,640,000.00</w:t>
            </w:r>
          </w:p>
        </w:tc>
      </w:tr>
    </w:tbl>
    <w:p>
      <w:pPr>
        <w:widowControl w:val="0"/>
        <w:spacing w:after="319" w:line="1" w:lineRule="exact"/>
      </w:pPr>
    </w:p>
    <w:p>
      <w:pPr>
        <w:pStyle w:val="Style44"/>
        <w:keepNext/>
        <w:keepLines/>
        <w:widowControl w:val="0"/>
        <w:numPr>
          <w:ilvl w:val="0"/>
          <w:numId w:val="75"/>
        </w:numPr>
        <w:shd w:val="clear" w:color="auto" w:fill="auto"/>
        <w:bidi w:val="0"/>
        <w:spacing w:before="0" w:after="320" w:line="240" w:lineRule="auto"/>
        <w:ind w:left="0" w:right="0" w:firstLine="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其他关联交易</w:t>
      </w:r>
      <w:bookmarkEnd w:id="1912"/>
      <w:bookmarkEnd w:id="1913"/>
      <w:bookmarkEnd w:id="1915"/>
    </w:p>
    <w:p>
      <w:pPr>
        <w:pStyle w:val="Style33"/>
        <w:keepNext/>
        <w:keepLines/>
        <w:widowControl w:val="0"/>
        <w:shd w:val="clear" w:color="auto" w:fill="auto"/>
        <w:bidi w:val="0"/>
        <w:spacing w:before="0" w:after="32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6</w:t>
      </w:r>
      <w:bookmarkEnd w:id="1918"/>
      <w:r>
        <w:rPr>
          <w:color w:val="000000"/>
          <w:spacing w:val="0"/>
          <w:w w:val="100"/>
          <w:position w:val="0"/>
        </w:rPr>
        <w:t>、关联方应收应付款项</w:t>
      </w:r>
      <w:bookmarkEnd w:id="1916"/>
      <w:bookmarkEnd w:id="1917"/>
      <w:bookmarkEnd w:id="1919"/>
    </w:p>
    <w:p>
      <w:pPr>
        <w:pStyle w:val="Style33"/>
        <w:keepNext/>
        <w:keepLines/>
        <w:widowControl w:val="0"/>
        <w:shd w:val="clear" w:color="auto" w:fill="auto"/>
        <w:bidi w:val="0"/>
        <w:spacing w:before="0" w:after="320" w:line="240" w:lineRule="auto"/>
        <w:ind w:left="0" w:right="0" w:firstLine="0"/>
        <w:jc w:val="left"/>
      </w:pPr>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16"/>
      <w:bookmarkEnd w:id="1917"/>
    </w:p>
    <w:p>
      <w:pPr>
        <w:pStyle w:val="Style28"/>
        <w:keepNext w:val="0"/>
        <w:keepLines w:val="0"/>
        <w:widowControl w:val="0"/>
        <w:shd w:val="clear" w:color="auto" w:fill="auto"/>
        <w:bidi w:val="0"/>
        <w:spacing w:before="0" w:after="0" w:line="240" w:lineRule="auto"/>
        <w:ind w:left="0" w:right="0" w:firstLine="0"/>
        <w:jc w:val="right"/>
      </w:pPr>
      <w:bookmarkStart w:id="1920" w:name="bookmark1920"/>
      <w:r>
        <w:rPr>
          <w:color w:val="000000"/>
          <w:spacing w:val="0"/>
          <w:w w:val="100"/>
          <w:position w:val="0"/>
        </w:rPr>
        <w:t>单位： 元</w:t>
      </w:r>
      <w:bookmarkEnd w:id="1920"/>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福建亿榕信息技术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671,907.81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33,795.39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福建三钢闽光股份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205,485.00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18,758.50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福建省星云大数据 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16,197,890.80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809,894.54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福建省星云大数据 应用服务有限公司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149,689.40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4"/>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)应付项目</w:t>
      </w:r>
    </w:p>
    <w:p>
      <w:pPr>
        <w:pStyle w:val="Style28"/>
        <w:keepNext w:val="0"/>
        <w:keepLines w:val="0"/>
        <w:widowControl w:val="0"/>
        <w:shd w:val="clear" w:color="auto" w:fill="auto"/>
        <w:bidi w:val="0"/>
        <w:spacing w:before="0" w:after="0" w:line="240" w:lineRule="auto"/>
        <w:ind w:left="0" w:right="0" w:firstLine="0"/>
        <w:jc w:val="right"/>
      </w:pPr>
      <w:bookmarkStart w:id="1921" w:name="bookmark1921"/>
      <w:r>
        <w:rPr>
          <w:color w:val="000000"/>
          <w:spacing w:val="0"/>
          <w:w w:val="100"/>
          <w:position w:val="0"/>
        </w:rPr>
        <w:t>单位： 元</w:t>
      </w:r>
      <w:bookmarkEnd w:id="1921"/>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5,762,352.00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福建省星云大数据应用服务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2,887,778.78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19,952,308.00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福建亿榕信息技术有限公司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1,366,750.19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tabs>
          <w:tab w:pos="373" w:val="left"/>
        </w:tabs>
        <w:bidi w:val="0"/>
        <w:spacing w:before="0" w:after="36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7</w:t>
      </w:r>
      <w:bookmarkEnd w:id="1924"/>
      <w:r>
        <w:rPr>
          <w:color w:val="000000"/>
          <w:spacing w:val="0"/>
          <w:w w:val="100"/>
          <w:position w:val="0"/>
        </w:rPr>
        <w:t>、</w:t>
        <w:tab/>
        <w:t>关联方承诺</w:t>
      </w:r>
      <w:bookmarkEnd w:id="1922"/>
      <w:bookmarkEnd w:id="1923"/>
      <w:bookmarkEnd w:id="1925"/>
    </w:p>
    <w:p>
      <w:pPr>
        <w:pStyle w:val="Style33"/>
        <w:keepNext/>
        <w:keepLines/>
        <w:widowControl w:val="0"/>
        <w:shd w:val="clear" w:color="auto" w:fill="auto"/>
        <w:tabs>
          <w:tab w:pos="378" w:val="left"/>
        </w:tabs>
        <w:bidi w:val="0"/>
        <w:spacing w:before="0" w:after="36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8</w:t>
      </w:r>
      <w:bookmarkEnd w:id="1928"/>
      <w:r>
        <w:rPr>
          <w:color w:val="000000"/>
          <w:spacing w:val="0"/>
          <w:w w:val="100"/>
          <w:position w:val="0"/>
        </w:rPr>
        <w:t>、</w:t>
        <w:tab/>
        <w:t>其他</w:t>
      </w:r>
      <w:bookmarkEnd w:id="1926"/>
      <w:bookmarkEnd w:id="1927"/>
      <w:bookmarkEnd w:id="1929"/>
    </w:p>
    <w:p>
      <w:pPr>
        <w:pStyle w:val="Style26"/>
        <w:keepNext/>
        <w:keepLines/>
        <w:widowControl w:val="0"/>
        <w:shd w:val="clear" w:color="auto" w:fill="auto"/>
        <w:bidi w:val="0"/>
        <w:spacing w:before="0" w:after="360" w:line="240" w:lineRule="auto"/>
        <w:ind w:left="0" w:right="0" w:firstLine="0"/>
        <w:jc w:val="left"/>
      </w:pPr>
      <w:bookmarkStart w:id="1930" w:name="bookmark1930"/>
      <w:bookmarkStart w:id="1931" w:name="bookmark1931"/>
      <w:bookmarkStart w:id="1932" w:name="bookmark1932"/>
      <w:r>
        <w:rPr>
          <w:color w:val="000000"/>
          <w:spacing w:val="0"/>
          <w:w w:val="100"/>
          <w:position w:val="0"/>
          <w:sz w:val="24"/>
          <w:szCs w:val="24"/>
        </w:rPr>
        <w:t>十三、股份支付</w:t>
      </w:r>
      <w:bookmarkEnd w:id="1930"/>
      <w:bookmarkEnd w:id="1931"/>
      <w:bookmarkEnd w:id="1932"/>
    </w:p>
    <w:p>
      <w:pPr>
        <w:pStyle w:val="Style33"/>
        <w:keepNext/>
        <w:keepLines/>
        <w:widowControl w:val="0"/>
        <w:shd w:val="clear" w:color="auto" w:fill="auto"/>
        <w:tabs>
          <w:tab w:pos="368" w:val="left"/>
        </w:tabs>
        <w:bidi w:val="0"/>
        <w:spacing w:before="0" w:after="26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1</w:t>
      </w:r>
      <w:bookmarkEnd w:id="1935"/>
      <w:r>
        <w:rPr>
          <w:color w:val="000000"/>
          <w:spacing w:val="0"/>
          <w:w w:val="100"/>
          <w:position w:val="0"/>
        </w:rPr>
        <w:t>、</w:t>
        <w:tab/>
        <w:t>股份支付总体情况</w:t>
      </w:r>
      <w:bookmarkEnd w:id="1933"/>
      <w:bookmarkEnd w:id="1934"/>
      <w:bookmarkEnd w:id="1936"/>
    </w:p>
    <w:p>
      <w:pPr>
        <w:pStyle w:val="Style30"/>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2</w:t>
      </w:r>
      <w:bookmarkEnd w:id="1939"/>
      <w:r>
        <w:rPr>
          <w:color w:val="000000"/>
          <w:spacing w:val="0"/>
          <w:w w:val="100"/>
          <w:position w:val="0"/>
        </w:rPr>
        <w:t>、</w:t>
        <w:tab/>
        <w:t>以权益结算的股份支付情况</w:t>
      </w:r>
      <w:bookmarkEnd w:id="1937"/>
      <w:bookmarkEnd w:id="1938"/>
      <w:bookmarkEnd w:id="1940"/>
    </w:p>
    <w:p>
      <w:pPr>
        <w:pStyle w:val="Style30"/>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3</w:t>
      </w:r>
      <w:bookmarkEnd w:id="1943"/>
      <w:r>
        <w:rPr>
          <w:color w:val="000000"/>
          <w:spacing w:val="0"/>
          <w:w w:val="100"/>
          <w:position w:val="0"/>
        </w:rPr>
        <w:t>、</w:t>
        <w:tab/>
        <w:t>以现金结算的股份支付情况</w:t>
      </w:r>
      <w:bookmarkEnd w:id="1941"/>
      <w:bookmarkEnd w:id="1942"/>
      <w:bookmarkEnd w:id="1944"/>
    </w:p>
    <w:p>
      <w:pPr>
        <w:pStyle w:val="Style30"/>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4</w:t>
      </w:r>
      <w:bookmarkEnd w:id="1947"/>
      <w:r>
        <w:rPr>
          <w:color w:val="000000"/>
          <w:spacing w:val="0"/>
          <w:w w:val="100"/>
          <w:position w:val="0"/>
        </w:rPr>
        <w:t>、</w:t>
        <w:tab/>
        <w:t>股份支付的修改、终止情况</w:t>
      </w:r>
      <w:bookmarkEnd w:id="1945"/>
      <w:bookmarkEnd w:id="1946"/>
      <w:bookmarkEnd w:id="1948"/>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5</w:t>
      </w:r>
      <w:bookmarkEnd w:id="1951"/>
      <w:r>
        <w:rPr>
          <w:color w:val="000000"/>
          <w:spacing w:val="0"/>
          <w:w w:val="100"/>
          <w:position w:val="0"/>
        </w:rPr>
        <w:t>、</w:t>
        <w:tab/>
        <w:t>其他</w:t>
      </w:r>
      <w:bookmarkEnd w:id="1949"/>
      <w:bookmarkEnd w:id="1950"/>
      <w:bookmarkEnd w:id="1952"/>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953" w:name="bookmark1953"/>
      <w:bookmarkStart w:id="1954" w:name="bookmark1954"/>
      <w:bookmarkStart w:id="1955" w:name="bookmark1955"/>
      <w:r>
        <w:rPr>
          <w:color w:val="000000"/>
          <w:spacing w:val="0"/>
          <w:w w:val="100"/>
          <w:position w:val="0"/>
          <w:sz w:val="24"/>
          <w:szCs w:val="24"/>
        </w:rPr>
        <w:t>十四、承诺及或有事项</w:t>
      </w:r>
      <w:bookmarkEnd w:id="1953"/>
      <w:bookmarkEnd w:id="1954"/>
      <w:bookmarkEnd w:id="1955"/>
    </w:p>
    <w:p>
      <w:pPr>
        <w:pStyle w:val="Style33"/>
        <w:keepNext/>
        <w:keepLines/>
        <w:widowControl w:val="0"/>
        <w:shd w:val="clear" w:color="auto" w:fill="auto"/>
        <w:tabs>
          <w:tab w:pos="368" w:val="left"/>
        </w:tabs>
        <w:bidi w:val="0"/>
        <w:spacing w:before="0" w:after="26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bookmarkEnd w:id="1958"/>
      <w:r>
        <w:rPr>
          <w:color w:val="000000"/>
          <w:spacing w:val="0"/>
          <w:w w:val="100"/>
          <w:position w:val="0"/>
        </w:rPr>
        <w:t>、</w:t>
        <w:tab/>
        <w:t>重要承诺事项</w:t>
      </w:r>
      <w:bookmarkEnd w:id="1956"/>
      <w:bookmarkEnd w:id="1957"/>
      <w:bookmarkEnd w:id="1959"/>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月，本公司子公司信阳榕基信息技术有限公司与中铁建设集团有限公司签订信阳榕基软件园建设工程总承包合 同，合同暂定含税合同总价为</w:t>
      </w:r>
      <w:r>
        <w:rPr>
          <w:color w:val="000000"/>
          <w:spacing w:val="0"/>
          <w:w w:val="100"/>
          <w:position w:val="0"/>
          <w:sz w:val="18"/>
          <w:szCs w:val="18"/>
        </w:rPr>
        <w:t>283,114,643.24</w:t>
      </w:r>
      <w:r>
        <w:rPr>
          <w:color w:val="000000"/>
          <w:spacing w:val="0"/>
          <w:w w:val="100"/>
          <w:position w:val="0"/>
        </w:rPr>
        <w:t>元（按营改增后计价方法计取），不允许转包。</w:t>
      </w:r>
    </w:p>
    <w:p>
      <w:pPr>
        <w:pStyle w:val="Style30"/>
        <w:keepNext w:val="0"/>
        <w:keepLines w:val="0"/>
        <w:widowControl w:val="0"/>
        <w:shd w:val="clear" w:color="auto" w:fill="auto"/>
        <w:bidi w:val="0"/>
        <w:spacing w:before="0" w:after="360" w:line="317" w:lineRule="exact"/>
        <w:ind w:left="0" w:right="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日，本集团不存在其他应披露的重要承诺事项。</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2</w:t>
      </w:r>
      <w:bookmarkEnd w:id="1962"/>
      <w:r>
        <w:rPr>
          <w:color w:val="000000"/>
          <w:spacing w:val="0"/>
          <w:w w:val="100"/>
          <w:position w:val="0"/>
        </w:rPr>
        <w:t>、</w:t>
        <w:tab/>
        <w:t>或有事项</w:t>
      </w:r>
      <w:bookmarkEnd w:id="1960"/>
      <w:bookmarkEnd w:id="1961"/>
      <w:bookmarkEnd w:id="1963"/>
    </w:p>
    <w:p>
      <w:pPr>
        <w:pStyle w:val="Style44"/>
        <w:keepNext/>
        <w:keepLines/>
        <w:widowControl w:val="0"/>
        <w:shd w:val="clear" w:color="auto" w:fill="auto"/>
        <w:tabs>
          <w:tab w:pos="488" w:val="left"/>
        </w:tabs>
        <w:bidi w:val="0"/>
        <w:spacing w:before="0" w:after="26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64"/>
      <w:bookmarkEnd w:id="1965"/>
      <w:bookmarkEnd w:id="1967"/>
    </w:p>
    <w:p>
      <w:pPr>
        <w:pStyle w:val="Style30"/>
        <w:keepNext w:val="0"/>
        <w:keepLines w:val="0"/>
        <w:widowControl w:val="0"/>
        <w:shd w:val="clear" w:color="auto" w:fill="auto"/>
        <w:bidi w:val="0"/>
        <w:spacing w:before="0" w:after="360" w:line="317" w:lineRule="exact"/>
        <w:ind w:left="0" w:right="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日，本集团不存在应披露的未决诉讼、对外担保等或有事项。</w:t>
      </w:r>
    </w:p>
    <w:p>
      <w:pPr>
        <w:pStyle w:val="Style44"/>
        <w:keepNext/>
        <w:keepLines/>
        <w:widowControl w:val="0"/>
        <w:shd w:val="clear" w:color="auto" w:fill="auto"/>
        <w:tabs>
          <w:tab w:pos="488" w:val="left"/>
        </w:tabs>
        <w:bidi w:val="0"/>
        <w:spacing w:before="0" w:after="26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w:t>
      </w:r>
      <w:bookmarkEnd w:id="197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68"/>
      <w:bookmarkEnd w:id="1969"/>
      <w:bookmarkEnd w:id="1971"/>
    </w:p>
    <w:p>
      <w:pPr>
        <w:pStyle w:val="Style30"/>
        <w:keepNext w:val="0"/>
        <w:keepLines w:val="0"/>
        <w:widowControl w:val="0"/>
        <w:shd w:val="clear" w:color="auto" w:fill="auto"/>
        <w:bidi w:val="0"/>
        <w:spacing w:before="0" w:after="360" w:line="317" w:lineRule="exact"/>
        <w:ind w:left="0" w:right="0"/>
        <w:jc w:val="left"/>
      </w:pPr>
      <w:r>
        <w:rPr>
          <w:color w:val="000000"/>
          <w:spacing w:val="0"/>
          <w:w w:val="100"/>
          <w:position w:val="0"/>
        </w:rPr>
        <w:t>公司不存在需要披露的重要或有事项。</w:t>
      </w:r>
    </w:p>
    <w:p>
      <w:pPr>
        <w:pStyle w:val="Style33"/>
        <w:keepNext/>
        <w:keepLines/>
        <w:widowControl w:val="0"/>
        <w:shd w:val="clear" w:color="auto" w:fill="auto"/>
        <w:bidi w:val="0"/>
        <w:spacing w:before="0" w:after="320" w:line="240" w:lineRule="auto"/>
        <w:ind w:left="0" w:right="0" w:firstLine="0"/>
        <w:jc w:val="both"/>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3</w:t>
      </w:r>
      <w:bookmarkEnd w:id="1974"/>
      <w:r>
        <w:rPr>
          <w:color w:val="000000"/>
          <w:spacing w:val="0"/>
          <w:w w:val="100"/>
          <w:position w:val="0"/>
        </w:rPr>
        <w:t>、其他</w:t>
      </w:r>
      <w:bookmarkEnd w:id="1972"/>
      <w:bookmarkEnd w:id="1973"/>
      <w:bookmarkEnd w:id="1975"/>
    </w:p>
    <w:p>
      <w:pPr>
        <w:pStyle w:val="Style26"/>
        <w:keepNext/>
        <w:keepLines/>
        <w:widowControl w:val="0"/>
        <w:shd w:val="clear" w:color="auto" w:fill="auto"/>
        <w:bidi w:val="0"/>
        <w:spacing w:before="0" w:after="320" w:line="240" w:lineRule="auto"/>
        <w:ind w:left="0" w:right="0" w:firstLine="0"/>
        <w:jc w:val="both"/>
      </w:pPr>
      <w:bookmarkStart w:id="1976" w:name="bookmark1976"/>
      <w:bookmarkStart w:id="1977" w:name="bookmark1977"/>
      <w:bookmarkStart w:id="1978" w:name="bookmark1978"/>
      <w:r>
        <w:rPr>
          <w:color w:val="000000"/>
          <w:spacing w:val="0"/>
          <w:w w:val="100"/>
          <w:position w:val="0"/>
          <w:sz w:val="24"/>
          <w:szCs w:val="24"/>
        </w:rPr>
        <w:t>十五、资产负债表日后事项</w:t>
      </w:r>
      <w:bookmarkEnd w:id="1976"/>
      <w:bookmarkEnd w:id="1977"/>
      <w:bookmarkEnd w:id="1978"/>
    </w:p>
    <w:p>
      <w:pPr>
        <w:pStyle w:val="Style33"/>
        <w:keepNext/>
        <w:keepLines/>
        <w:widowControl w:val="0"/>
        <w:shd w:val="clear" w:color="auto" w:fill="auto"/>
        <w:bidi w:val="0"/>
        <w:spacing w:before="0" w:after="380" w:line="240" w:lineRule="auto"/>
        <w:ind w:left="0" w:right="0" w:firstLine="0"/>
        <w:jc w:val="both"/>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79"/>
      <w:bookmarkEnd w:id="1980"/>
      <w:bookmarkEnd w:id="198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82"/>
      <w:bookmarkEnd w:id="1983"/>
      <w:bookmarkEnd w:id="19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6,222,000.00</w:t>
            </w:r>
          </w:p>
        </w:tc>
      </w:tr>
    </w:tbl>
    <w:p>
      <w:pPr>
        <w:widowControl w:val="0"/>
        <w:spacing w:after="319" w:line="1" w:lineRule="exact"/>
      </w:pPr>
    </w:p>
    <w:p>
      <w:pPr>
        <w:pStyle w:val="Style33"/>
        <w:keepNext/>
        <w:keepLines/>
        <w:widowControl w:val="0"/>
        <w:shd w:val="clear" w:color="auto" w:fill="auto"/>
        <w:tabs>
          <w:tab w:pos="378" w:val="left"/>
        </w:tabs>
        <w:bidi w:val="0"/>
        <w:spacing w:before="0" w:after="32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3</w:t>
      </w:r>
      <w:bookmarkEnd w:id="1987"/>
      <w:r>
        <w:rPr>
          <w:color w:val="000000"/>
          <w:spacing w:val="0"/>
          <w:w w:val="100"/>
          <w:position w:val="0"/>
        </w:rPr>
        <w:t>、</w:t>
        <w:tab/>
        <w:t>销售退回</w:t>
      </w:r>
      <w:bookmarkEnd w:id="1985"/>
      <w:bookmarkEnd w:id="1986"/>
      <w:bookmarkEnd w:id="1988"/>
    </w:p>
    <w:p>
      <w:pPr>
        <w:pStyle w:val="Style33"/>
        <w:keepNext/>
        <w:keepLines/>
        <w:widowControl w:val="0"/>
        <w:shd w:val="clear" w:color="auto" w:fill="auto"/>
        <w:tabs>
          <w:tab w:pos="378" w:val="left"/>
        </w:tabs>
        <w:bidi w:val="0"/>
        <w:spacing w:before="0" w:after="26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4</w:t>
      </w:r>
      <w:bookmarkEnd w:id="1991"/>
      <w:r>
        <w:rPr>
          <w:color w:val="000000"/>
          <w:spacing w:val="0"/>
          <w:w w:val="100"/>
          <w:position w:val="0"/>
        </w:rPr>
        <w:t>、</w:t>
        <w:tab/>
        <w:t>其他资产负债表日后事项说明</w:t>
      </w:r>
      <w:bookmarkEnd w:id="1989"/>
      <w:bookmarkEnd w:id="1990"/>
      <w:bookmarkEnd w:id="1992"/>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除系统集成业务、软件产品及服务业务外，本集团未经营其他对经营成果有重大影响的业务。同时，由于本集团仅于一 个地域内经营业务，收入主要来自中国境内，其主要资产亦位于中国境内，因此本集团无需披露分部数据。</w:t>
      </w:r>
    </w:p>
    <w:p>
      <w:pPr>
        <w:pStyle w:val="Style30"/>
        <w:keepNext w:val="0"/>
        <w:keepLines w:val="0"/>
        <w:widowControl w:val="0"/>
        <w:shd w:val="clear" w:color="auto" w:fill="auto"/>
        <w:bidi w:val="0"/>
        <w:spacing w:before="0" w:after="380" w:line="307" w:lineRule="exact"/>
        <w:ind w:left="0" w:right="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日，本集团不存在其他应披露的其他重要事项。</w:t>
      </w:r>
    </w:p>
    <w:p>
      <w:pPr>
        <w:pStyle w:val="Style26"/>
        <w:keepNext/>
        <w:keepLines/>
        <w:widowControl w:val="0"/>
        <w:shd w:val="clear" w:color="auto" w:fill="auto"/>
        <w:bidi w:val="0"/>
        <w:spacing w:before="0" w:after="320" w:line="240" w:lineRule="auto"/>
        <w:ind w:left="0" w:right="0" w:firstLine="0"/>
        <w:jc w:val="both"/>
      </w:pPr>
      <w:bookmarkStart w:id="1993" w:name="bookmark1993"/>
      <w:bookmarkStart w:id="1994" w:name="bookmark1994"/>
      <w:bookmarkStart w:id="1995" w:name="bookmark1995"/>
      <w:r>
        <w:rPr>
          <w:color w:val="000000"/>
          <w:spacing w:val="0"/>
          <w:w w:val="100"/>
          <w:position w:val="0"/>
          <w:sz w:val="24"/>
          <w:szCs w:val="24"/>
        </w:rPr>
        <w:t>十六、其他重要事项</w:t>
      </w:r>
      <w:bookmarkEnd w:id="1993"/>
      <w:bookmarkEnd w:id="1994"/>
      <w:bookmarkEnd w:id="1995"/>
    </w:p>
    <w:p>
      <w:pPr>
        <w:pStyle w:val="Style33"/>
        <w:keepNext/>
        <w:keepLines/>
        <w:widowControl w:val="0"/>
        <w:shd w:val="clear" w:color="auto" w:fill="auto"/>
        <w:bidi w:val="0"/>
        <w:spacing w:before="0" w:after="320" w:line="240" w:lineRule="auto"/>
        <w:ind w:left="0" w:right="0" w:firstLine="0"/>
        <w:jc w:val="both"/>
      </w:pPr>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96"/>
      <w:bookmarkEnd w:id="1997"/>
      <w:bookmarkEnd w:id="1998"/>
    </w:p>
    <w:p>
      <w:pPr>
        <w:pStyle w:val="Style44"/>
        <w:keepNext/>
        <w:keepLines/>
        <w:widowControl w:val="0"/>
        <w:shd w:val="clear" w:color="auto" w:fill="auto"/>
        <w:bidi w:val="0"/>
        <w:spacing w:before="0" w:after="260" w:line="240" w:lineRule="auto"/>
        <w:ind w:left="0" w:right="0" w:firstLine="0"/>
        <w:jc w:val="both"/>
      </w:pPr>
      <w:bookmarkStart w:id="1999" w:name="bookmark1999"/>
      <w:bookmarkStart w:id="2000" w:name="bookmark2000"/>
      <w:bookmarkStart w:id="2001" w:name="bookmark20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99"/>
      <w:bookmarkEnd w:id="2000"/>
      <w:bookmarkEnd w:id="2001"/>
    </w:p>
    <w:p>
      <w:pPr>
        <w:pStyle w:val="Style30"/>
        <w:keepNext w:val="0"/>
        <w:keepLines w:val="0"/>
        <w:widowControl w:val="0"/>
        <w:shd w:val="clear" w:color="auto" w:fill="auto"/>
        <w:bidi w:val="0"/>
        <w:spacing w:before="0" w:after="80" w:line="307" w:lineRule="exact"/>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累积影响数</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140"/>
        <w:jc w:val="both"/>
      </w:pPr>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02"/>
      <w:bookmarkEnd w:id="2003"/>
      <w:bookmarkEnd w:id="2004"/>
    </w:p>
    <w:tbl>
      <w:tblPr>
        <w:tblOverlap w:val="never"/>
        <w:jc w:val="center"/>
        <w:tblLayout w:type="fixed"/>
      </w:tblPr>
      <w:tblGrid>
        <w:gridCol w:w="3331"/>
        <w:gridCol w:w="3058"/>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采用未来适用法的原因</w:t>
            </w:r>
          </w:p>
        </w:tc>
      </w:tr>
    </w:tbl>
    <w:p>
      <w:pPr>
        <w:pStyle w:val="Style33"/>
        <w:keepNext/>
        <w:keepLines/>
        <w:widowControl w:val="0"/>
        <w:shd w:val="clear" w:color="auto" w:fill="auto"/>
        <w:tabs>
          <w:tab w:pos="378" w:val="left"/>
        </w:tabs>
        <w:bidi w:val="0"/>
        <w:spacing w:before="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2</w:t>
      </w:r>
      <w:bookmarkEnd w:id="2007"/>
      <w:r>
        <w:rPr>
          <w:color w:val="000000"/>
          <w:spacing w:val="0"/>
          <w:w w:val="100"/>
          <w:position w:val="0"/>
        </w:rPr>
        <w:t>、</w:t>
        <w:tab/>
        <w:t>债务重组</w:t>
      </w:r>
      <w:bookmarkEnd w:id="2005"/>
      <w:bookmarkEnd w:id="2006"/>
      <w:bookmarkEnd w:id="2008"/>
    </w:p>
    <w:p>
      <w:pPr>
        <w:pStyle w:val="Style33"/>
        <w:keepNext/>
        <w:keepLines/>
        <w:widowControl w:val="0"/>
        <w:shd w:val="clear" w:color="auto" w:fill="auto"/>
        <w:tabs>
          <w:tab w:pos="378" w:val="left"/>
        </w:tabs>
        <w:bidi w:val="0"/>
        <w:spacing w:before="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3</w:t>
      </w:r>
      <w:bookmarkEnd w:id="2011"/>
      <w:r>
        <w:rPr>
          <w:color w:val="000000"/>
          <w:spacing w:val="0"/>
          <w:w w:val="100"/>
          <w:position w:val="0"/>
        </w:rPr>
        <w:t>、</w:t>
        <w:tab/>
        <w:t>资产置换</w:t>
      </w:r>
      <w:bookmarkEnd w:id="2009"/>
      <w:bookmarkEnd w:id="2010"/>
      <w:bookmarkEnd w:id="2012"/>
    </w:p>
    <w:p>
      <w:pPr>
        <w:pStyle w:val="Style44"/>
        <w:keepNext/>
        <w:keepLines/>
        <w:widowControl w:val="0"/>
        <w:numPr>
          <w:ilvl w:val="0"/>
          <w:numId w:val="77"/>
        </w:numPr>
        <w:shd w:val="clear" w:color="auto" w:fill="auto"/>
        <w:tabs>
          <w:tab w:pos="488" w:val="left"/>
        </w:tabs>
        <w:bidi w:val="0"/>
        <w:spacing w:before="0" w:after="340" w:line="240" w:lineRule="auto"/>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非货币性资产交换</w:t>
      </w:r>
      <w:bookmarkEnd w:id="2013"/>
      <w:bookmarkEnd w:id="2014"/>
      <w:bookmarkEnd w:id="2016"/>
    </w:p>
    <w:p>
      <w:pPr>
        <w:pStyle w:val="Style44"/>
        <w:keepNext/>
        <w:keepLines/>
        <w:widowControl w:val="0"/>
        <w:numPr>
          <w:ilvl w:val="0"/>
          <w:numId w:val="77"/>
        </w:numPr>
        <w:shd w:val="clear" w:color="auto" w:fill="auto"/>
        <w:tabs>
          <w:tab w:pos="488" w:val="left"/>
        </w:tabs>
        <w:bidi w:val="0"/>
        <w:spacing w:before="0" w:after="340" w:line="240" w:lineRule="auto"/>
        <w:ind w:left="0" w:right="0" w:firstLine="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其他资产置换</w:t>
      </w:r>
      <w:bookmarkEnd w:id="2017"/>
      <w:bookmarkEnd w:id="2018"/>
      <w:bookmarkEnd w:id="2020"/>
    </w:p>
    <w:p>
      <w:pPr>
        <w:pStyle w:val="Style33"/>
        <w:keepNext/>
        <w:keepLines/>
        <w:widowControl w:val="0"/>
        <w:shd w:val="clear" w:color="auto" w:fill="auto"/>
        <w:tabs>
          <w:tab w:pos="378" w:val="left"/>
        </w:tabs>
        <w:bidi w:val="0"/>
        <w:spacing w:before="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4</w:t>
      </w:r>
      <w:bookmarkEnd w:id="2023"/>
      <w:r>
        <w:rPr>
          <w:color w:val="000000"/>
          <w:spacing w:val="0"/>
          <w:w w:val="100"/>
          <w:position w:val="0"/>
        </w:rPr>
        <w:t>、</w:t>
        <w:tab/>
        <w:t>年金计划</w:t>
      </w:r>
      <w:bookmarkEnd w:id="2021"/>
      <w:bookmarkEnd w:id="2022"/>
      <w:bookmarkEnd w:id="2024"/>
    </w:p>
    <w:p>
      <w:pPr>
        <w:pStyle w:val="Style33"/>
        <w:keepNext/>
        <w:keepLines/>
        <w:widowControl w:val="0"/>
        <w:shd w:val="clear" w:color="auto" w:fill="auto"/>
        <w:tabs>
          <w:tab w:pos="378" w:val="left"/>
        </w:tabs>
        <w:bidi w:val="0"/>
        <w:spacing w:before="0" w:after="38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5</w:t>
      </w:r>
      <w:bookmarkEnd w:id="2027"/>
      <w:r>
        <w:rPr>
          <w:color w:val="000000"/>
          <w:spacing w:val="0"/>
          <w:w w:val="100"/>
          <w:position w:val="0"/>
        </w:rPr>
        <w:t>、</w:t>
        <w:tab/>
        <w:t>终止经营</w:t>
      </w:r>
      <w:bookmarkEnd w:id="2025"/>
      <w:bookmarkEnd w:id="2026"/>
      <w:bookmarkEnd w:id="202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归属于母公司所 有者的终止经营 利润</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6</w:t>
      </w:r>
      <w:bookmarkEnd w:id="2031"/>
      <w:r>
        <w:rPr>
          <w:color w:val="000000"/>
          <w:spacing w:val="0"/>
          <w:w w:val="100"/>
          <w:position w:val="0"/>
        </w:rPr>
        <w:t>、分部信息</w:t>
      </w:r>
      <w:bookmarkEnd w:id="2029"/>
      <w:bookmarkEnd w:id="2030"/>
      <w:bookmarkEnd w:id="2032"/>
    </w:p>
    <w:p>
      <w:pPr>
        <w:pStyle w:val="Style44"/>
        <w:keepNext/>
        <w:keepLines/>
        <w:widowControl w:val="0"/>
        <w:numPr>
          <w:ilvl w:val="0"/>
          <w:numId w:val="79"/>
        </w:numPr>
        <w:shd w:val="clear" w:color="auto" w:fill="auto"/>
        <w:tabs>
          <w:tab w:pos="488" w:val="left"/>
        </w:tabs>
        <w:bidi w:val="0"/>
        <w:spacing w:before="0" w:after="340" w:line="240" w:lineRule="auto"/>
        <w:ind w:left="0" w:right="0" w:firstLine="0"/>
        <w:jc w:val="left"/>
      </w:pPr>
      <w:bookmarkStart w:id="2033" w:name="bookmark2033"/>
      <w:bookmarkStart w:id="2034" w:name="bookmark2034"/>
      <w:bookmarkStart w:id="2035" w:name="bookmark2035"/>
      <w:bookmarkStart w:id="2036" w:name="bookmark2036"/>
      <w:bookmarkEnd w:id="2035"/>
      <w:r>
        <w:rPr>
          <w:color w:val="000000"/>
          <w:spacing w:val="0"/>
          <w:w w:val="100"/>
          <w:position w:val="0"/>
        </w:rPr>
        <w:t>报告分部的确定依据与会计政策</w:t>
      </w:r>
      <w:bookmarkEnd w:id="2033"/>
      <w:bookmarkEnd w:id="2034"/>
      <w:bookmarkEnd w:id="2036"/>
    </w:p>
    <w:p>
      <w:pPr>
        <w:pStyle w:val="Style44"/>
        <w:keepNext/>
        <w:keepLines/>
        <w:widowControl w:val="0"/>
        <w:numPr>
          <w:ilvl w:val="0"/>
          <w:numId w:val="79"/>
        </w:numPr>
        <w:shd w:val="clear" w:color="auto" w:fill="auto"/>
        <w:tabs>
          <w:tab w:pos="488" w:val="left"/>
        </w:tabs>
        <w:bidi w:val="0"/>
        <w:spacing w:before="0" w:after="380" w:line="240" w:lineRule="auto"/>
        <w:ind w:left="0" w:right="0" w:firstLine="0"/>
        <w:jc w:val="left"/>
      </w:pPr>
      <w:bookmarkStart w:id="2037" w:name="bookmark2037"/>
      <w:bookmarkStart w:id="2038" w:name="bookmark2038"/>
      <w:bookmarkStart w:id="2039" w:name="bookmark2039"/>
      <w:bookmarkStart w:id="2040" w:name="bookmark2040"/>
      <w:bookmarkEnd w:id="2039"/>
      <w:r>
        <w:rPr>
          <w:color w:val="000000"/>
          <w:spacing w:val="0"/>
          <w:w w:val="100"/>
          <w:position w:val="0"/>
        </w:rPr>
        <w:t>报告分部的财务信息</w:t>
      </w:r>
      <w:bookmarkEnd w:id="2037"/>
      <w:bookmarkEnd w:id="2038"/>
      <w:bookmarkEnd w:id="2040"/>
    </w:p>
    <w:p>
      <w:pPr>
        <w:pStyle w:val="Style3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widowControl w:val="0"/>
        <w:spacing w:after="339" w:line="1" w:lineRule="exact"/>
      </w:pPr>
    </w:p>
    <w:p>
      <w:pPr>
        <w:pStyle w:val="Style44"/>
        <w:keepNext/>
        <w:keepLines/>
        <w:widowControl w:val="0"/>
        <w:numPr>
          <w:ilvl w:val="0"/>
          <w:numId w:val="79"/>
        </w:numPr>
        <w:shd w:val="clear" w:color="auto" w:fill="auto"/>
        <w:tabs>
          <w:tab w:pos="488" w:val="left"/>
        </w:tabs>
        <w:bidi w:val="0"/>
        <w:spacing w:before="0" w:after="340" w:line="240" w:lineRule="auto"/>
        <w:ind w:left="0" w:right="0" w:firstLine="0"/>
        <w:jc w:val="left"/>
      </w:pPr>
      <w:bookmarkStart w:id="2041" w:name="bookmark2041"/>
      <w:bookmarkStart w:id="2042" w:name="bookmark2042"/>
      <w:bookmarkStart w:id="2043" w:name="bookmark2043"/>
      <w:bookmarkStart w:id="2044" w:name="bookmark2044"/>
      <w:bookmarkEnd w:id="2043"/>
      <w:r>
        <w:rPr>
          <w:color w:val="000000"/>
          <w:spacing w:val="0"/>
          <w:w w:val="100"/>
          <w:position w:val="0"/>
        </w:rPr>
        <w:t>公司无报告分部的，或者不能披露各报告分部的资产总额和负债总额的，应说明原因</w:t>
      </w:r>
      <w:bookmarkEnd w:id="2041"/>
      <w:bookmarkEnd w:id="2042"/>
      <w:bookmarkEnd w:id="2044"/>
    </w:p>
    <w:p>
      <w:pPr>
        <w:pStyle w:val="Style44"/>
        <w:keepNext/>
        <w:keepLines/>
        <w:widowControl w:val="0"/>
        <w:numPr>
          <w:ilvl w:val="0"/>
          <w:numId w:val="79"/>
        </w:numPr>
        <w:shd w:val="clear" w:color="auto" w:fill="auto"/>
        <w:tabs>
          <w:tab w:pos="488" w:val="left"/>
        </w:tabs>
        <w:bidi w:val="0"/>
        <w:spacing w:before="0" w:after="340" w:line="240" w:lineRule="auto"/>
        <w:ind w:left="0" w:right="0" w:firstLine="0"/>
        <w:jc w:val="left"/>
      </w:pPr>
      <w:bookmarkStart w:id="2041" w:name="bookmark2041"/>
      <w:bookmarkStart w:id="2042" w:name="bookmark2042"/>
      <w:bookmarkStart w:id="2045" w:name="bookmark2045"/>
      <w:bookmarkStart w:id="2046" w:name="bookmark2046"/>
      <w:bookmarkEnd w:id="2045"/>
      <w:r>
        <w:rPr>
          <w:color w:val="000000"/>
          <w:spacing w:val="0"/>
          <w:w w:val="100"/>
          <w:position w:val="0"/>
        </w:rPr>
        <w:t>其他说明</w:t>
      </w:r>
      <w:bookmarkEnd w:id="2041"/>
      <w:bookmarkEnd w:id="2042"/>
      <w:bookmarkEnd w:id="2046"/>
    </w:p>
    <w:p>
      <w:pPr>
        <w:pStyle w:val="Style33"/>
        <w:keepNext/>
        <w:keepLines/>
        <w:widowControl w:val="0"/>
        <w:shd w:val="clear" w:color="auto" w:fill="auto"/>
        <w:tabs>
          <w:tab w:pos="373" w:val="left"/>
        </w:tabs>
        <w:bidi w:val="0"/>
        <w:spacing w:before="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7</w:t>
      </w:r>
      <w:bookmarkEnd w:id="2049"/>
      <w:r>
        <w:rPr>
          <w:color w:val="000000"/>
          <w:spacing w:val="0"/>
          <w:w w:val="100"/>
          <w:position w:val="0"/>
        </w:rPr>
        <w:t>、</w:t>
        <w:tab/>
        <w:t>其他对投资者决策有影响的重要交易和事项</w:t>
      </w:r>
      <w:bookmarkEnd w:id="2047"/>
      <w:bookmarkEnd w:id="2048"/>
      <w:bookmarkEnd w:id="2050"/>
    </w:p>
    <w:p>
      <w:pPr>
        <w:pStyle w:val="Style33"/>
        <w:keepNext/>
        <w:keepLines/>
        <w:widowControl w:val="0"/>
        <w:shd w:val="clear" w:color="auto" w:fill="auto"/>
        <w:tabs>
          <w:tab w:pos="378" w:val="left"/>
        </w:tabs>
        <w:bidi w:val="0"/>
        <w:spacing w:before="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8</w:t>
      </w:r>
      <w:bookmarkEnd w:id="2053"/>
      <w:r>
        <w:rPr>
          <w:color w:val="000000"/>
          <w:spacing w:val="0"/>
          <w:w w:val="100"/>
          <w:position w:val="0"/>
        </w:rPr>
        <w:t>、</w:t>
        <w:tab/>
        <w:t>其他</w:t>
      </w:r>
      <w:bookmarkEnd w:id="2051"/>
      <w:bookmarkEnd w:id="2052"/>
      <w:bookmarkEnd w:id="2054"/>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rPr>
        <w:t>除系统集成业务、软件产品及服务业务外，本集团未经营其他对经营成果有重大影响的业务。同时，由于本集团仅于一 个地域内经营业务，收入主要来自中国境内，其主要资产亦位于中国境内，因此本集团无需披露分部数据。</w:t>
      </w:r>
    </w:p>
    <w:p>
      <w:pPr>
        <w:pStyle w:val="Style30"/>
        <w:keepNext w:val="0"/>
        <w:keepLines w:val="0"/>
        <w:widowControl w:val="0"/>
        <w:shd w:val="clear" w:color="auto" w:fill="auto"/>
        <w:bidi w:val="0"/>
        <w:spacing w:before="0" w:after="340" w:line="307" w:lineRule="exact"/>
        <w:ind w:left="0" w:right="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日，本集团不存在其他应披露的其他重要事项。</w:t>
      </w:r>
      <w:r>
        <w:br w:type="page"/>
      </w:r>
    </w:p>
    <w:p>
      <w:pPr>
        <w:pStyle w:val="Style26"/>
        <w:keepNext/>
        <w:keepLines/>
        <w:widowControl w:val="0"/>
        <w:shd w:val="clear" w:color="auto" w:fill="auto"/>
        <w:bidi w:val="0"/>
        <w:spacing w:before="0" w:after="360" w:line="240" w:lineRule="auto"/>
        <w:ind w:left="0" w:right="0" w:firstLine="0"/>
        <w:jc w:val="left"/>
      </w:pPr>
      <w:bookmarkStart w:id="2055" w:name="bookmark2055"/>
      <w:bookmarkStart w:id="2056" w:name="bookmark2056"/>
      <w:bookmarkStart w:id="2057" w:name="bookmark2057"/>
      <w:r>
        <w:rPr>
          <w:color w:val="000000"/>
          <w:spacing w:val="0"/>
          <w:w w:val="100"/>
          <w:position w:val="0"/>
          <w:sz w:val="24"/>
          <w:szCs w:val="24"/>
        </w:rPr>
        <w:t>十七、母公司财务报表主要项目注释</w:t>
      </w:r>
      <w:bookmarkEnd w:id="2055"/>
      <w:bookmarkEnd w:id="2056"/>
      <w:bookmarkEnd w:id="2057"/>
    </w:p>
    <w:p>
      <w:pPr>
        <w:pStyle w:val="Style33"/>
        <w:keepNext/>
        <w:keepLines/>
        <w:widowControl w:val="0"/>
        <w:shd w:val="clear" w:color="auto" w:fill="auto"/>
        <w:bidi w:val="0"/>
        <w:spacing w:before="0" w:after="360" w:line="240" w:lineRule="auto"/>
        <w:ind w:left="0" w:right="0" w:firstLine="0"/>
        <w:jc w:val="left"/>
      </w:pPr>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58"/>
      <w:bookmarkEnd w:id="2059"/>
      <w:bookmarkEnd w:id="2060"/>
    </w:p>
    <w:p>
      <w:pPr>
        <w:pStyle w:val="Style44"/>
        <w:keepNext/>
        <w:keepLines/>
        <w:widowControl w:val="0"/>
        <w:shd w:val="clear" w:color="auto" w:fill="auto"/>
        <w:bidi w:val="0"/>
        <w:spacing w:before="0" w:line="240" w:lineRule="auto"/>
        <w:ind w:left="0" w:right="0" w:firstLine="14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61"/>
      <w:bookmarkEnd w:id="2062"/>
      <w:bookmarkEnd w:id="20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8"/>
        <w:gridCol w:w="782"/>
        <w:gridCol w:w="658"/>
        <w:gridCol w:w="763"/>
        <w:gridCol w:w="811"/>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91,341,9</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11,022,0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80,319,86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80,927,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9,007,766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71,919,578.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91,341,9</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11,022,0</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80,319,86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80,927,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9,007,766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71,919,578.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61,345,325.18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3,067,266.86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15,480,214.50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1,548,021.45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7,316,592.21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1,463,318.44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4,943,454.11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4,943,454.11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89,085,586.00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11,022,060.86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本组合不含报告期合并报表范围内各单位之间往来款项</w:t>
      </w:r>
      <w:r>
        <w:rPr>
          <w:rFonts w:ascii="Times New Roman" w:eastAsia="Times New Roman" w:hAnsi="Times New Roman" w:cs="Times New Roman"/>
          <w:color w:val="000000"/>
          <w:spacing w:val="0"/>
          <w:w w:val="100"/>
          <w:position w:val="0"/>
        </w:rPr>
        <w:t>2,256,340.00</w:t>
      </w:r>
      <w:r>
        <w:rPr>
          <w:color w:val="000000"/>
          <w:spacing w:val="0"/>
          <w:w w:val="100"/>
          <w:position w:val="0"/>
        </w:rPr>
        <w:t>元，该金额未提坏账准备。</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44"/>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64"/>
      <w:bookmarkEnd w:id="2065"/>
      <w:bookmarkEnd w:id="206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2,014,294.60</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r>
        <w:br w:type="page"/>
      </w:r>
    </w:p>
    <w:tbl>
      <w:tblPr>
        <w:tblOverlap w:val="never"/>
        <w:jc w:val="center"/>
        <w:tblLayout w:type="fixed"/>
      </w:tblPr>
      <w:tblGrid>
        <w:gridCol w:w="3374"/>
        <w:gridCol w:w="1613"/>
        <w:gridCol w:w="1488"/>
        <w:gridCol w:w="3168"/>
      </w:tblGrid>
      <w:tr>
        <w:trPr>
          <w:trHeight w:val="691"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 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067" w:name="bookmark2067"/>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）本期实际核销的应收账款情况</w:t>
            </w:r>
            <w:bookmarkEnd w:id="206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 元</w:t>
            </w:r>
          </w:p>
        </w:tc>
      </w:tr>
      <w:tr>
        <w:trPr>
          <w:trHeight w:val="40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60"/>
        <w:gridCol w:w="1603"/>
        <w:gridCol w:w="162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款项是否由关联交 易产生</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44"/>
        <w:keepNext/>
        <w:keepLines/>
        <w:widowControl w:val="0"/>
        <w:shd w:val="clear" w:color="auto" w:fill="auto"/>
        <w:bidi w:val="0"/>
        <w:spacing w:before="0" w:after="34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68"/>
      <w:bookmarkEnd w:id="2069"/>
      <w:bookmarkEnd w:id="2071"/>
    </w:p>
    <w:p>
      <w:pPr>
        <w:pStyle w:val="Style2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 元</w:t>
      </w:r>
    </w:p>
    <w:tbl>
      <w:tblPr>
        <w:tblOverlap w:val="never"/>
        <w:jc w:val="center"/>
        <w:tblLayout w:type="fixed"/>
      </w:tblPr>
      <w:tblGrid>
        <w:gridCol w:w="4267"/>
        <w:gridCol w:w="1699"/>
        <w:gridCol w:w="1560"/>
        <w:gridCol w:w="1570"/>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占应收账款期末余</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322"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期末余额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额合计数的比例</w:t>
            </w:r>
            <w:r>
              <w:rPr>
                <w:rFonts w:ascii="SimSun" w:eastAsia="SimSun" w:hAnsi="SimSun" w:cs="SimSun"/>
                <w:color w:val="000000"/>
                <w:spacing w:val="0"/>
                <w:w w:val="100"/>
                <w:position w:val="0"/>
              </w:rPr>
              <w:t>％</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福建省星云大数据应用服务有限公司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16,197,890.80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809,894.54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中国联合网络通信有限公司福州市分公司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6,507,577.10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325,378.86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国务院国有资产监督管理委员会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4,446,700.00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222,335.00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河南信大科技有限公司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390,400.00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平潭综合实验区交通投资发展有限公司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648,800.00</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34,300,167.90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2,396,808.40</w:t>
            </w:r>
          </w:p>
        </w:tc>
      </w:tr>
    </w:tbl>
    <w:p>
      <w:pPr>
        <w:widowControl w:val="0"/>
        <w:spacing w:after="339" w:line="1" w:lineRule="exact"/>
      </w:pPr>
    </w:p>
    <w:p>
      <w:pPr>
        <w:pStyle w:val="Style44"/>
        <w:keepNext/>
        <w:keepLines/>
        <w:widowControl w:val="0"/>
        <w:shd w:val="clear" w:color="auto" w:fill="auto"/>
        <w:tabs>
          <w:tab w:pos="488" w:val="left"/>
        </w:tabs>
        <w:bidi w:val="0"/>
        <w:spacing w:before="0" w:after="340" w:line="240" w:lineRule="auto"/>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72"/>
      <w:bookmarkEnd w:id="2073"/>
      <w:bookmarkEnd w:id="2075"/>
    </w:p>
    <w:p>
      <w:pPr>
        <w:pStyle w:val="Style44"/>
        <w:keepNext/>
        <w:keepLines/>
        <w:widowControl w:val="0"/>
        <w:shd w:val="clear" w:color="auto" w:fill="auto"/>
        <w:tabs>
          <w:tab w:pos="488" w:val="left"/>
        </w:tabs>
        <w:bidi w:val="0"/>
        <w:spacing w:before="0" w:after="34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76"/>
      <w:bookmarkEnd w:id="2077"/>
      <w:bookmarkEnd w:id="2079"/>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80"/>
      <w:bookmarkEnd w:id="2081"/>
      <w:bookmarkEnd w:id="2082"/>
    </w:p>
    <w:p>
      <w:pPr>
        <w:pStyle w:val="Style44"/>
        <w:keepNext/>
        <w:keepLines/>
        <w:widowControl w:val="0"/>
        <w:shd w:val="clear" w:color="auto" w:fill="auto"/>
        <w:bidi w:val="0"/>
        <w:spacing w:before="0" w:after="340" w:line="240" w:lineRule="auto"/>
        <w:ind w:left="0" w:right="0" w:firstLine="0"/>
        <w:jc w:val="left"/>
      </w:pPr>
      <w:bookmarkStart w:id="2083" w:name="bookmark2083"/>
      <w:bookmarkStart w:id="2084" w:name="bookmark2084"/>
      <w:bookmarkStart w:id="2085" w:name="bookmark2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83"/>
      <w:bookmarkEnd w:id="2084"/>
      <w:bookmarkEnd w:id="20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51"/>
        <w:gridCol w:w="754"/>
        <w:gridCol w:w="758"/>
        <w:gridCol w:w="763"/>
        <w:gridCol w:w="768"/>
        <w:gridCol w:w="782"/>
        <w:gridCol w:w="658"/>
        <w:gridCol w:w="768"/>
        <w:gridCol w:w="80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549,320,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5,879,75</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543,440,4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407,153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4,070,253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403,083,00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549,320,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5,879,75</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543,440,4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407,153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4,070,253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403,083,00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15,898,556.99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794,927.86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8,016,860.66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801,686.07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3,965,633.79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793,126.76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3,490,012.75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3,490,012.75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31,371,064.19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5,879,753.44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本组合不含报告期合并报表范围内各单位之间往来款项</w:t>
      </w:r>
      <w:r>
        <w:rPr>
          <w:rFonts w:ascii="Times New Roman" w:eastAsia="Times New Roman" w:hAnsi="Times New Roman" w:cs="Times New Roman"/>
          <w:color w:val="000000"/>
          <w:spacing w:val="0"/>
          <w:w w:val="100"/>
          <w:position w:val="0"/>
        </w:rPr>
        <w:t>517,949,140.28</w:t>
      </w:r>
      <w:r>
        <w:rPr>
          <w:color w:val="000000"/>
          <w:spacing w:val="0"/>
          <w:w w:val="100"/>
          <w:position w:val="0"/>
        </w:rPr>
        <w:t>元，该金额未提坏账准备。</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2086" w:name="bookmark2086"/>
      <w:bookmarkStart w:id="2087" w:name="bookmark2087"/>
      <w:bookmarkStart w:id="2088" w:name="bookmark20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86"/>
      <w:bookmarkEnd w:id="2087"/>
      <w:bookmarkEnd w:id="208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1,809,499.52</w:t>
      </w:r>
      <w:r>
        <w:rPr>
          <w:color w:val="000000"/>
          <w:spacing w:val="0"/>
          <w:w w:val="100"/>
          <w:position w:val="0"/>
        </w:rPr>
        <w:t>元；本期收回或转回坏账准备金额元。</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widowControl w:val="0"/>
        <w:spacing w:after="299" w:line="1" w:lineRule="exact"/>
      </w:pPr>
    </w:p>
    <w:p>
      <w:pPr>
        <w:pStyle w:val="Style44"/>
        <w:keepNext/>
        <w:keepLines/>
        <w:widowControl w:val="0"/>
        <w:shd w:val="clear" w:color="auto" w:fill="auto"/>
        <w:bidi w:val="0"/>
        <w:spacing w:before="0" w:line="240" w:lineRule="auto"/>
        <w:ind w:left="0" w:right="0" w:firstLine="140"/>
        <w:jc w:val="left"/>
      </w:pPr>
      <w:bookmarkStart w:id="2089" w:name="bookmark2089"/>
      <w:bookmarkStart w:id="2090" w:name="bookmark2090"/>
      <w:bookmarkStart w:id="2091" w:name="bookmark2091"/>
      <w:bookmarkStart w:id="2092" w:name="bookmark2092"/>
      <w:r>
        <w:rPr>
          <w:color w:val="000000"/>
          <w:spacing w:val="0"/>
          <w:w w:val="100"/>
          <w:position w:val="0"/>
        </w:rPr>
        <w:t>（</w:t>
      </w:r>
      <w:bookmarkEnd w:id="209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89"/>
      <w:bookmarkEnd w:id="2090"/>
      <w:bookmarkEnd w:id="2092"/>
    </w:p>
    <w:p>
      <w:pPr>
        <w:pStyle w:val="Style30"/>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30"/>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690"/>
        <w:gridCol w:w="1550"/>
        <w:gridCol w:w="1555"/>
        <w:gridCol w:w="1560"/>
        <w:gridCol w:w="1603"/>
        <w:gridCol w:w="1627"/>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4"/>
        <w:keepNext/>
        <w:keepLines/>
        <w:widowControl w:val="0"/>
        <w:numPr>
          <w:ilvl w:val="0"/>
          <w:numId w:val="81"/>
        </w:numPr>
        <w:shd w:val="clear" w:color="auto" w:fill="auto"/>
        <w:bidi w:val="0"/>
        <w:spacing w:before="0" w:line="240" w:lineRule="auto"/>
        <w:ind w:left="0" w:right="0" w:firstLine="0"/>
        <w:jc w:val="left"/>
      </w:pPr>
      <w:bookmarkStart w:id="2093" w:name="bookmark2093"/>
      <w:bookmarkStart w:id="2094" w:name="bookmark2094"/>
      <w:bookmarkStart w:id="2095" w:name="bookmark2095"/>
      <w:bookmarkStart w:id="2096" w:name="bookmark2096"/>
      <w:bookmarkEnd w:id="2095"/>
      <w:r>
        <w:rPr>
          <w:color w:val="000000"/>
          <w:spacing w:val="0"/>
          <w:w w:val="100"/>
          <w:position w:val="0"/>
        </w:rPr>
        <w:t>其他应收款按款项性质分类情况</w:t>
      </w:r>
      <w:bookmarkEnd w:id="2093"/>
      <w:bookmarkEnd w:id="2094"/>
      <w:bookmarkEnd w:id="20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合并报表范围内各单位之间往来款项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517,949,140.28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376,495,868.35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26,096,749.72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23,766,591.88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3,492,601.49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4,962,166.55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231,034.00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1,412,709.72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1,697,595.63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549,320,204.47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407,153,256.41</w:t>
            </w:r>
          </w:p>
        </w:tc>
      </w:tr>
    </w:tbl>
    <w:p>
      <w:pPr>
        <w:widowControl w:val="0"/>
        <w:spacing w:after="299" w:line="1" w:lineRule="exact"/>
      </w:pPr>
    </w:p>
    <w:p>
      <w:pPr>
        <w:pStyle w:val="Style44"/>
        <w:keepNext/>
        <w:keepLines/>
        <w:widowControl w:val="0"/>
        <w:numPr>
          <w:ilvl w:val="0"/>
          <w:numId w:val="81"/>
        </w:numPr>
        <w:shd w:val="clear" w:color="auto" w:fill="auto"/>
        <w:bidi w:val="0"/>
        <w:spacing w:before="0" w:line="240" w:lineRule="auto"/>
        <w:ind w:left="0" w:right="0" w:firstLine="0"/>
        <w:jc w:val="left"/>
      </w:pPr>
      <w:bookmarkStart w:id="2097" w:name="bookmark2097"/>
      <w:bookmarkStart w:id="2098" w:name="bookmark2098"/>
      <w:bookmarkStart w:id="2099" w:name="bookmark2099"/>
      <w:bookmarkStart w:id="2100" w:name="bookmark2100"/>
      <w:bookmarkEnd w:id="2099"/>
      <w:r>
        <w:rPr>
          <w:color w:val="000000"/>
          <w:spacing w:val="0"/>
          <w:w w:val="100"/>
          <w:position w:val="0"/>
        </w:rPr>
        <w:t>按欠款方归集的期末余额前五名的其他应收款情况</w:t>
      </w:r>
      <w:bookmarkEnd w:id="2097"/>
      <w:bookmarkEnd w:id="2098"/>
      <w:bookmarkEnd w:id="21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5"/>
        <w:gridCol w:w="1608"/>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信阳榕基信息技术有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160,336,000.67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河南榕基信息技术有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136,503,024.40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榕基五一(北京)信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70,233,213.17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马鞍山榕基软件信息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61,441,970.24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北京中榕基信息技术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45,407,688.99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473,921,897.47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numPr>
          <w:ilvl w:val="0"/>
          <w:numId w:val="81"/>
        </w:numPr>
        <w:shd w:val="clear" w:color="auto" w:fill="auto"/>
        <w:bidi w:val="0"/>
        <w:spacing w:before="0" w:line="240" w:lineRule="auto"/>
        <w:ind w:left="0" w:right="0" w:firstLine="0"/>
        <w:jc w:val="left"/>
      </w:pPr>
      <w:bookmarkStart w:id="2101" w:name="bookmark2101"/>
      <w:bookmarkStart w:id="2102" w:name="bookmark2102"/>
      <w:bookmarkStart w:id="2103" w:name="bookmark2103"/>
      <w:bookmarkStart w:id="2104" w:name="bookmark2104"/>
      <w:bookmarkEnd w:id="2103"/>
      <w:r>
        <w:rPr>
          <w:color w:val="000000"/>
          <w:spacing w:val="0"/>
          <w:w w:val="100"/>
          <w:position w:val="0"/>
        </w:rPr>
        <w:t>涉及政府补助的应收款项</w:t>
      </w:r>
      <w:bookmarkEnd w:id="2101"/>
      <w:bookmarkEnd w:id="2102"/>
      <w:bookmarkEnd w:id="21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及依据</w:t>
            </w:r>
          </w:p>
        </w:tc>
      </w:tr>
    </w:tbl>
    <w:p>
      <w:pPr>
        <w:spacing w:lineRule="exact" w:line="1"/>
        <w:rPr>
          <w:sz w:val="2"/>
          <w:szCs w:val="2"/>
        </w:rPr>
      </w:pPr>
      <w:r>
        <w:br w:type="page"/>
      </w:r>
    </w:p>
    <w:p>
      <w:pPr>
        <w:pStyle w:val="Style44"/>
        <w:keepNext/>
        <w:keepLines/>
        <w:widowControl w:val="0"/>
        <w:numPr>
          <w:ilvl w:val="0"/>
          <w:numId w:val="81"/>
        </w:numPr>
        <w:shd w:val="clear" w:color="auto" w:fill="auto"/>
        <w:tabs>
          <w:tab w:pos="488" w:val="left"/>
        </w:tabs>
        <w:bidi w:val="0"/>
        <w:spacing w:before="0" w:after="340" w:line="240" w:lineRule="auto"/>
        <w:ind w:left="0" w:right="0" w:firstLine="0"/>
        <w:jc w:val="left"/>
      </w:pPr>
      <w:bookmarkStart w:id="2105" w:name="bookmark2105"/>
      <w:bookmarkStart w:id="2106" w:name="bookmark2106"/>
      <w:bookmarkStart w:id="2107" w:name="bookmark2107"/>
      <w:bookmarkStart w:id="2108" w:name="bookmark2108"/>
      <w:bookmarkEnd w:id="2107"/>
      <w:r>
        <w:rPr>
          <w:color w:val="000000"/>
          <w:spacing w:val="0"/>
          <w:w w:val="100"/>
          <w:position w:val="0"/>
        </w:rPr>
        <w:t>因金融资产转移而终止确认的其他应收款</w:t>
      </w:r>
      <w:bookmarkEnd w:id="2105"/>
      <w:bookmarkEnd w:id="2106"/>
      <w:bookmarkEnd w:id="2108"/>
    </w:p>
    <w:p>
      <w:pPr>
        <w:pStyle w:val="Style44"/>
        <w:keepNext/>
        <w:keepLines/>
        <w:widowControl w:val="0"/>
        <w:numPr>
          <w:ilvl w:val="0"/>
          <w:numId w:val="81"/>
        </w:numPr>
        <w:shd w:val="clear" w:color="auto" w:fill="auto"/>
        <w:tabs>
          <w:tab w:pos="488" w:val="left"/>
        </w:tabs>
        <w:bidi w:val="0"/>
        <w:spacing w:before="0" w:after="340" w:line="240" w:lineRule="auto"/>
        <w:ind w:left="0" w:right="0" w:firstLine="0"/>
        <w:jc w:val="left"/>
      </w:pPr>
      <w:bookmarkStart w:id="2109" w:name="bookmark2109"/>
      <w:bookmarkStart w:id="2110" w:name="bookmark2110"/>
      <w:bookmarkStart w:id="2111" w:name="bookmark2111"/>
      <w:bookmarkStart w:id="2112" w:name="bookmark2112"/>
      <w:bookmarkEnd w:id="2111"/>
      <w:r>
        <w:rPr>
          <w:color w:val="000000"/>
          <w:spacing w:val="0"/>
          <w:w w:val="100"/>
          <w:position w:val="0"/>
        </w:rPr>
        <w:t>转移其他应收款且继续涉入形成的资产、负债金额</w:t>
      </w:r>
      <w:bookmarkEnd w:id="2109"/>
      <w:bookmarkEnd w:id="2110"/>
      <w:bookmarkEnd w:id="2112"/>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3</w:t>
      </w:r>
      <w:bookmarkEnd w:id="2115"/>
      <w:r>
        <w:rPr>
          <w:color w:val="000000"/>
          <w:spacing w:val="0"/>
          <w:w w:val="100"/>
          <w:position w:val="0"/>
        </w:rPr>
        <w:t>、长期股权投资</w:t>
      </w:r>
      <w:bookmarkEnd w:id="2113"/>
      <w:bookmarkEnd w:id="2114"/>
      <w:bookmarkEnd w:id="21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698,376,537.29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698,376,537.29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698,376,537.29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698,376,537.29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3,605,349.88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3,605,349.88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701,981,887.17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701,981,887.17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698,376,537.29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698,376,537.29</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140"/>
        <w:jc w:val="left"/>
      </w:pPr>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17"/>
      <w:bookmarkEnd w:id="2118"/>
      <w:bookmarkEnd w:id="21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减值准备期末余</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浙江榕基信息技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福州创华电气自 动化系统有限公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7,496,345.89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7,496,345.89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上海榕基软件开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福建榕基软件工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榕基五一(北京)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马鞍山榕基软件 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河南榕基信息技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北京中榕基信息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福建榕基投资有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榕基国际控股有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80,380,191.40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80,380,191.40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信阳榕基信息技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河南豫础置业有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福建榕易付网络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福建星榕基信息 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698,376,537.29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698,376,537.29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20"/>
      <w:bookmarkEnd w:id="2121"/>
      <w:bookmarkEnd w:id="21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减值准备 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福建闽光</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软件股份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3,500,000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105,349.8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3,605,349</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3,500,000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105,349.8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3,605,349</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3,500,000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105,349.8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3,605,349</w:t>
            </w:r>
          </w:p>
          <w:p>
            <w:pPr>
              <w:pStyle w:val="Style2"/>
              <w:keepNext w:val="0"/>
              <w:keepLines w:val="0"/>
              <w:widowControl w:val="0"/>
              <w:shd w:val="clear" w:color="auto" w:fill="auto"/>
              <w:bidi w:val="0"/>
              <w:spacing w:before="0" w:after="0" w:line="240" w:lineRule="auto"/>
              <w:ind w:left="0" w:right="0" w:firstLine="540"/>
              <w:jc w:val="both"/>
            </w:pPr>
            <w:bookmarkStart w:id="2123" w:name="bookmark2123"/>
            <w:r>
              <w:rPr>
                <w:color w:val="000000"/>
                <w:spacing w:val="0"/>
                <w:w w:val="100"/>
                <w:position w:val="0"/>
              </w:rPr>
              <w:t>.88</w:t>
            </w:r>
            <w:bookmarkEnd w:id="2123"/>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4"/>
        <w:keepNext w:val="0"/>
        <w:keepLines w:val="0"/>
        <w:widowControl w:val="0"/>
        <w:numPr>
          <w:ilvl w:val="0"/>
          <w:numId w:val="77"/>
        </w:numPr>
        <w:shd w:val="clear" w:color="auto" w:fill="auto"/>
        <w:bidi w:val="0"/>
        <w:spacing w:before="0" w:after="320" w:line="240" w:lineRule="auto"/>
        <w:ind w:left="0" w:right="0" w:firstLine="0"/>
        <w:jc w:val="left"/>
      </w:pPr>
      <w:bookmarkStart w:id="2124" w:name="bookmark2124"/>
      <w:bookmarkEnd w:id="2124"/>
      <w:r>
        <w:rPr>
          <w:b/>
          <w:bCs/>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4</w:t>
      </w:r>
      <w:bookmarkEnd w:id="2127"/>
      <w:r>
        <w:rPr>
          <w:color w:val="000000"/>
          <w:spacing w:val="0"/>
          <w:w w:val="100"/>
          <w:position w:val="0"/>
        </w:rPr>
        <w:t>、营业收入和营业成本</w:t>
      </w:r>
      <w:bookmarkEnd w:id="2125"/>
      <w:bookmarkEnd w:id="2126"/>
      <w:bookmarkEnd w:id="21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819"/>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2002"/>
        <w:gridCol w:w="1834"/>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477,391,339.51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322,335,224.69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377,537,209.89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244,141,677.01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477,391,339.51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322,335,224.69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377,537,209.89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244,141,677.01</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5</w:t>
      </w:r>
      <w:bookmarkEnd w:id="2131"/>
      <w:r>
        <w:rPr>
          <w:color w:val="000000"/>
          <w:spacing w:val="0"/>
          <w:w w:val="100"/>
          <w:position w:val="0"/>
        </w:rPr>
        <w:t>、投资收益</w:t>
      </w:r>
      <w:bookmarkEnd w:id="2129"/>
      <w:bookmarkEnd w:id="2130"/>
      <w:bookmarkEnd w:id="21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105,349.88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2,182,365.92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2,039,970.72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5,504,288.11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4,233,940.81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7,792,003.91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6,273,911.53</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6</w:t>
      </w:r>
      <w:bookmarkEnd w:id="2135"/>
      <w:r>
        <w:rPr>
          <w:color w:val="000000"/>
          <w:spacing w:val="0"/>
          <w:w w:val="100"/>
          <w:position w:val="0"/>
        </w:rPr>
        <w:t>、其他</w:t>
      </w:r>
      <w:bookmarkEnd w:id="2133"/>
      <w:bookmarkEnd w:id="2134"/>
      <w:bookmarkEnd w:id="2136"/>
    </w:p>
    <w:p>
      <w:pPr>
        <w:pStyle w:val="Style26"/>
        <w:keepNext/>
        <w:keepLines/>
        <w:widowControl w:val="0"/>
        <w:shd w:val="clear" w:color="auto" w:fill="auto"/>
        <w:bidi w:val="0"/>
        <w:spacing w:before="0" w:line="240" w:lineRule="auto"/>
        <w:ind w:left="0" w:right="0" w:firstLine="0"/>
        <w:jc w:val="left"/>
      </w:pPr>
      <w:bookmarkStart w:id="2137" w:name="bookmark2137"/>
      <w:bookmarkStart w:id="2138" w:name="bookmark2138"/>
      <w:bookmarkStart w:id="2139" w:name="bookmark2139"/>
      <w:r>
        <w:rPr>
          <w:color w:val="000000"/>
          <w:spacing w:val="0"/>
          <w:w w:val="100"/>
          <w:position w:val="0"/>
          <w:sz w:val="24"/>
          <w:szCs w:val="24"/>
        </w:rPr>
        <w:t>十八、补充资料</w:t>
      </w:r>
      <w:bookmarkEnd w:id="2137"/>
      <w:bookmarkEnd w:id="2138"/>
      <w:bookmarkEnd w:id="2139"/>
    </w:p>
    <w:p>
      <w:pPr>
        <w:pStyle w:val="Style33"/>
        <w:keepNext/>
        <w:keepLines/>
        <w:widowControl w:val="0"/>
        <w:shd w:val="clear" w:color="auto" w:fill="auto"/>
        <w:bidi w:val="0"/>
        <w:spacing w:before="0" w:line="240" w:lineRule="auto"/>
        <w:ind w:left="0" w:right="0" w:firstLine="0"/>
        <w:jc w:val="left"/>
      </w:pPr>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40"/>
      <w:bookmarkEnd w:id="2141"/>
      <w:bookmarkEnd w:id="2142"/>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-529,037.33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6,613,758.07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8,326,697.62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1,915,390.93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10,676.55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12,439,638.57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43"/>
      <w:bookmarkEnd w:id="2144"/>
      <w:bookmarkEnd w:id="2145"/>
    </w:p>
    <w:tbl>
      <w:tblPr>
        <w:tblOverlap w:val="never"/>
        <w:jc w:val="center"/>
        <w:tblLayout w:type="fixed"/>
      </w:tblPr>
      <w:tblGrid>
        <w:gridCol w:w="2669"/>
        <w:gridCol w:w="3082"/>
        <w:gridCol w:w="383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bl>
    <w:tbl>
      <w:tblPr>
        <w:tblOverlap w:val="never"/>
        <w:jc w:val="center"/>
        <w:tblLayout w:type="fixed"/>
      </w:tblPr>
      <w:tblGrid>
        <w:gridCol w:w="2669"/>
        <w:gridCol w:w="3082"/>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0.0199</w:t>
            </w:r>
          </w:p>
        </w:tc>
      </w:tr>
    </w:tbl>
    <w:p>
      <w:pPr>
        <w:widowControl w:val="0"/>
        <w:spacing w:after="279" w:line="1" w:lineRule="exact"/>
      </w:pPr>
    </w:p>
    <w:p>
      <w:pPr>
        <w:pStyle w:val="Style33"/>
        <w:keepNext/>
        <w:keepLines/>
        <w:widowControl w:val="0"/>
        <w:shd w:val="clear" w:color="auto" w:fill="auto"/>
        <w:tabs>
          <w:tab w:pos="404" w:val="left"/>
        </w:tabs>
        <w:bidi w:val="0"/>
        <w:spacing w:before="0" w:after="280" w:line="331" w:lineRule="exact"/>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3</w:t>
      </w:r>
      <w:bookmarkEnd w:id="2148"/>
      <w:r>
        <w:rPr>
          <w:color w:val="000000"/>
          <w:spacing w:val="0"/>
          <w:w w:val="100"/>
          <w:position w:val="0"/>
        </w:rPr>
        <w:t>、</w:t>
        <w:tab/>
        <w:t>境内外会计准则下会计数据差异</w:t>
      </w:r>
      <w:bookmarkEnd w:id="2146"/>
      <w:bookmarkEnd w:id="2147"/>
      <w:bookmarkEnd w:id="2149"/>
    </w:p>
    <w:p>
      <w:pPr>
        <w:pStyle w:val="Style44"/>
        <w:keepNext/>
        <w:keepLines/>
        <w:widowControl w:val="0"/>
        <w:shd w:val="clear" w:color="auto" w:fill="auto"/>
        <w:tabs>
          <w:tab w:pos="488" w:val="left"/>
        </w:tabs>
        <w:bidi w:val="0"/>
        <w:spacing w:before="0" w:line="331" w:lineRule="exact"/>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50"/>
      <w:bookmarkEnd w:id="2151"/>
      <w:bookmarkEnd w:id="2153"/>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488" w:val="left"/>
        </w:tabs>
        <w:bidi w:val="0"/>
        <w:spacing w:before="0" w:line="331" w:lineRule="exact"/>
        <w:ind w:left="0" w:right="0" w:firstLine="0"/>
        <w:jc w:val="left"/>
      </w:pPr>
      <w:bookmarkStart w:id="2154" w:name="bookmark2154"/>
      <w:bookmarkStart w:id="2155" w:name="bookmark2155"/>
      <w:bookmarkStart w:id="2156" w:name="bookmark2156"/>
      <w:bookmarkStart w:id="2157" w:name="bookmark2157"/>
      <w:r>
        <w:rPr>
          <w:color w:val="000000"/>
          <w:spacing w:val="0"/>
          <w:w w:val="100"/>
          <w:position w:val="0"/>
        </w:rPr>
        <w:t>（</w:t>
      </w:r>
      <w:bookmarkEnd w:id="215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54"/>
      <w:bookmarkEnd w:id="2155"/>
      <w:bookmarkEnd w:id="2157"/>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589" w:val="left"/>
        </w:tabs>
        <w:bidi w:val="0"/>
        <w:spacing w:before="0" w:after="280" w:line="331" w:lineRule="exact"/>
        <w:ind w:left="0" w:right="0" w:firstLine="0"/>
        <w:jc w:val="left"/>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158"/>
      <w:bookmarkEnd w:id="2159"/>
      <w:bookmarkEnd w:id="2161"/>
    </w:p>
    <w:p>
      <w:pPr>
        <w:pStyle w:val="Style33"/>
        <w:keepNext/>
        <w:keepLines/>
        <w:widowControl w:val="0"/>
        <w:shd w:val="clear" w:color="auto" w:fill="auto"/>
        <w:tabs>
          <w:tab w:pos="404" w:val="left"/>
        </w:tabs>
        <w:bidi w:val="0"/>
        <w:spacing w:before="0" w:after="280" w:line="331" w:lineRule="exact"/>
        <w:ind w:left="0" w:right="0" w:firstLine="0"/>
        <w:jc w:val="left"/>
        <w:sectPr>
          <w:footnotePr>
            <w:pos w:val="pageBottom"/>
            <w:numFmt w:val="decimal"/>
            <w:numRestart w:val="continuous"/>
          </w:footnotePr>
          <w:pgSz w:w="11900" w:h="16840"/>
          <w:pgMar w:top="1149" w:right="1111" w:bottom="1401" w:left="1102" w:header="0" w:footer="3" w:gutter="0"/>
          <w:cols w:space="720"/>
          <w:noEndnote/>
          <w:rtlGutter w:val="0"/>
          <w:docGrid w:linePitch="360"/>
        </w:sectPr>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4</w:t>
      </w:r>
      <w:bookmarkEnd w:id="2164"/>
      <w:r>
        <w:rPr>
          <w:color w:val="000000"/>
          <w:spacing w:val="0"/>
          <w:w w:val="100"/>
          <w:position w:val="0"/>
        </w:rPr>
        <w:t>、</w:t>
        <w:tab/>
        <w:t>其他</w:t>
      </w:r>
      <w:bookmarkEnd w:id="2162"/>
      <w:bookmarkEnd w:id="2163"/>
      <w:bookmarkEnd w:id="2165"/>
    </w:p>
    <w:p>
      <w:pPr>
        <w:pStyle w:val="Style67"/>
        <w:keepNext w:val="0"/>
        <w:keepLines w:val="0"/>
        <w:widowControl w:val="0"/>
        <w:shd w:val="clear" w:color="auto" w:fill="auto"/>
        <w:bidi w:val="0"/>
        <w:spacing w:before="0" w:line="240" w:lineRule="auto"/>
        <w:ind w:left="0" w:right="0" w:firstLine="0"/>
        <w:jc w:val="center"/>
      </w:pPr>
      <w:r>
        <w:rPr>
          <w:spacing w:val="0"/>
          <w:w w:val="100"/>
          <w:position w:val="0"/>
        </w:rPr>
        <w:t>第十二节备查文件目录</w:t>
      </w:r>
    </w:p>
    <w:p>
      <w:pPr>
        <w:pStyle w:val="Style30"/>
        <w:keepNext w:val="0"/>
        <w:keepLines w:val="0"/>
        <w:widowControl w:val="0"/>
        <w:shd w:val="clear" w:color="auto" w:fill="auto"/>
        <w:tabs>
          <w:tab w:pos="615" w:val="left"/>
        </w:tabs>
        <w:bidi w:val="0"/>
        <w:spacing w:before="0" w:after="140" w:line="240" w:lineRule="auto"/>
        <w:ind w:left="0" w:right="0" w:firstLine="180"/>
        <w:jc w:val="left"/>
      </w:pPr>
      <w:bookmarkStart w:id="2166" w:name="bookmark2166"/>
      <w:r>
        <w:rPr>
          <w:b/>
          <w:bCs/>
          <w:color w:val="000000"/>
          <w:spacing w:val="0"/>
          <w:w w:val="100"/>
          <w:position w:val="0"/>
        </w:rPr>
        <w:t>一</w:t>
      </w:r>
      <w:bookmarkEnd w:id="2166"/>
      <w:r>
        <w:rPr>
          <w:b/>
          <w:bCs/>
          <w:color w:val="000000"/>
          <w:spacing w:val="0"/>
          <w:w w:val="100"/>
          <w:position w:val="0"/>
        </w:rPr>
        <w:t>、</w:t>
        <w:tab/>
        <w:t>载有董事长签名的</w:t>
      </w:r>
      <w:r>
        <w:rPr>
          <w:rFonts w:ascii="Arial" w:eastAsia="Arial" w:hAnsi="Arial" w:cs="Arial"/>
          <w:color w:val="000000"/>
          <w:spacing w:val="0"/>
          <w:w w:val="100"/>
          <w:position w:val="0"/>
        </w:rPr>
        <w:t>2016</w:t>
      </w:r>
      <w:r>
        <w:rPr>
          <w:b/>
          <w:bCs/>
          <w:color w:val="000000"/>
          <w:spacing w:val="0"/>
          <w:w w:val="100"/>
          <w:position w:val="0"/>
        </w:rPr>
        <w:t>年年度报告全文。</w:t>
      </w:r>
    </w:p>
    <w:p>
      <w:pPr>
        <w:pStyle w:val="Style30"/>
        <w:keepNext w:val="0"/>
        <w:keepLines w:val="0"/>
        <w:widowControl w:val="0"/>
        <w:shd w:val="clear" w:color="auto" w:fill="auto"/>
        <w:tabs>
          <w:tab w:pos="615" w:val="left"/>
        </w:tabs>
        <w:bidi w:val="0"/>
        <w:spacing w:before="0" w:after="140" w:line="240" w:lineRule="auto"/>
        <w:ind w:left="0" w:right="0" w:firstLine="180"/>
        <w:jc w:val="left"/>
      </w:pPr>
      <w:bookmarkStart w:id="2167" w:name="bookmark2167"/>
      <w:r>
        <w:rPr>
          <w:b/>
          <w:bCs/>
          <w:color w:val="000000"/>
          <w:spacing w:val="0"/>
          <w:w w:val="100"/>
          <w:position w:val="0"/>
        </w:rPr>
        <w:t>二</w:t>
      </w:r>
      <w:bookmarkEnd w:id="2167"/>
      <w:r>
        <w:rPr>
          <w:b/>
          <w:bCs/>
          <w:color w:val="000000"/>
          <w:spacing w:val="0"/>
          <w:w w:val="100"/>
          <w:position w:val="0"/>
        </w:rPr>
        <w:t>、</w:t>
        <w:tab/>
        <w:t>载有法定代表人、主管会计工作负责人、会计机构负责人签名并盖章的财务报表。</w:t>
      </w:r>
    </w:p>
    <w:p>
      <w:pPr>
        <w:pStyle w:val="Style30"/>
        <w:keepNext w:val="0"/>
        <w:keepLines w:val="0"/>
        <w:widowControl w:val="0"/>
        <w:shd w:val="clear" w:color="auto" w:fill="auto"/>
        <w:tabs>
          <w:tab w:pos="615" w:val="left"/>
        </w:tabs>
        <w:bidi w:val="0"/>
        <w:spacing w:before="0" w:after="140" w:line="240" w:lineRule="auto"/>
        <w:ind w:left="0" w:right="0" w:firstLine="180"/>
        <w:jc w:val="left"/>
      </w:pPr>
      <w:bookmarkStart w:id="2168" w:name="bookmark2168"/>
      <w:r>
        <w:rPr>
          <w:b/>
          <w:bCs/>
          <w:color w:val="000000"/>
          <w:spacing w:val="0"/>
          <w:w w:val="100"/>
          <w:position w:val="0"/>
        </w:rPr>
        <w:t>三</w:t>
      </w:r>
      <w:bookmarkEnd w:id="2168"/>
      <w:r>
        <w:rPr>
          <w:b/>
          <w:bCs/>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615" w:val="left"/>
        </w:tabs>
        <w:bidi w:val="0"/>
        <w:spacing w:before="0" w:after="140" w:line="240" w:lineRule="auto"/>
        <w:ind w:left="0" w:right="0" w:firstLine="180"/>
        <w:jc w:val="both"/>
      </w:pPr>
      <w:bookmarkStart w:id="2169" w:name="bookmark2169"/>
      <w:r>
        <w:rPr>
          <w:b/>
          <w:bCs/>
          <w:color w:val="000000"/>
          <w:spacing w:val="0"/>
          <w:w w:val="100"/>
          <w:position w:val="0"/>
        </w:rPr>
        <w:t>四</w:t>
      </w:r>
      <w:bookmarkEnd w:id="2169"/>
      <w:r>
        <w:rPr>
          <w:b/>
          <w:bCs/>
          <w:color w:val="000000"/>
          <w:spacing w:val="0"/>
          <w:w w:val="100"/>
          <w:position w:val="0"/>
        </w:rPr>
        <w:t>、</w:t>
        <w:tab/>
        <w:t>报告期内在中国证监会指定报纸上公开披露过的所有公司文件的正本及公告的原稿。</w:t>
      </w:r>
    </w:p>
    <w:p>
      <w:pPr>
        <w:pStyle w:val="Style30"/>
        <w:keepNext w:val="0"/>
        <w:keepLines w:val="0"/>
        <w:widowControl w:val="0"/>
        <w:shd w:val="clear" w:color="auto" w:fill="auto"/>
        <w:tabs>
          <w:tab w:pos="615" w:val="left"/>
        </w:tabs>
        <w:bidi w:val="0"/>
        <w:spacing w:before="0" w:after="140" w:line="240" w:lineRule="auto"/>
        <w:ind w:left="0" w:right="0" w:firstLine="180"/>
        <w:jc w:val="both"/>
      </w:pPr>
      <w:bookmarkStart w:id="2170" w:name="bookmark2170"/>
      <w:r>
        <w:rPr>
          <w:b/>
          <w:bCs/>
          <w:color w:val="000000"/>
          <w:spacing w:val="0"/>
          <w:w w:val="100"/>
          <w:position w:val="0"/>
        </w:rPr>
        <w:t>五</w:t>
      </w:r>
      <w:bookmarkEnd w:id="2170"/>
      <w:r>
        <w:rPr>
          <w:b/>
          <w:bCs/>
          <w:color w:val="000000"/>
          <w:spacing w:val="0"/>
          <w:w w:val="100"/>
          <w:position w:val="0"/>
        </w:rPr>
        <w:t>、</w:t>
        <w:tab/>
        <w:t>其他有关资料。</w:t>
      </w:r>
    </w:p>
    <w:p>
      <w:pPr>
        <w:pStyle w:val="Style30"/>
        <w:keepNext w:val="0"/>
        <w:keepLines w:val="0"/>
        <w:widowControl w:val="0"/>
        <w:shd w:val="clear" w:color="auto" w:fill="auto"/>
        <w:tabs>
          <w:tab w:pos="615" w:val="left"/>
        </w:tabs>
        <w:bidi w:val="0"/>
        <w:spacing w:before="0" w:after="5440" w:line="240" w:lineRule="auto"/>
        <w:ind w:left="0" w:right="0" w:firstLine="180"/>
        <w:jc w:val="both"/>
      </w:pPr>
      <w:bookmarkStart w:id="2171" w:name="bookmark2171"/>
      <w:r>
        <w:rPr>
          <w:b/>
          <w:bCs/>
          <w:color w:val="000000"/>
          <w:spacing w:val="0"/>
          <w:w w:val="100"/>
          <w:position w:val="0"/>
        </w:rPr>
        <w:t>六</w:t>
      </w:r>
      <w:bookmarkEnd w:id="2171"/>
      <w:r>
        <w:rPr>
          <w:b/>
          <w:bCs/>
          <w:color w:val="000000"/>
          <w:spacing w:val="0"/>
          <w:w w:val="100"/>
          <w:position w:val="0"/>
        </w:rPr>
        <w:t>、</w:t>
        <w:tab/>
        <w:t>上述文件备置于公司证券部备查。</w:t>
      </w:r>
    </w:p>
    <w:p>
      <w:pPr>
        <w:widowControl w:val="0"/>
        <w:jc w:val="right"/>
        <w:rPr>
          <w:sz w:val="2"/>
          <w:szCs w:val="2"/>
        </w:rPr>
      </w:pPr>
      <w:r>
        <w:drawing>
          <wp:inline>
            <wp:extent cx="1688465" cy="189611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1688465" cy="1896110"/>
                    </a:xfrm>
                    <a:prstGeom prst="rect"/>
                  </pic:spPr>
                </pic:pic>
              </a:graphicData>
            </a:graphic>
          </wp:inline>
        </w:drawing>
      </w:r>
    </w:p>
    <w:p>
      <w:pPr>
        <w:widowControl w:val="0"/>
        <w:spacing w:after="1039" w:line="1" w:lineRule="exact"/>
      </w:pPr>
    </w:p>
    <w:p>
      <w:pPr>
        <w:pStyle w:val="Style69"/>
        <w:keepNext w:val="0"/>
        <w:keepLines w:val="0"/>
        <w:widowControl w:val="0"/>
        <w:shd w:val="clear" w:color="auto" w:fill="auto"/>
        <w:bidi w:val="0"/>
        <w:spacing w:before="0" w:line="240" w:lineRule="auto"/>
        <w:ind w:left="0" w:right="0" w:firstLine="0"/>
        <w:jc w:val="right"/>
      </w:pPr>
      <w:r>
        <w:rPr>
          <w:color w:val="000000"/>
          <w:spacing w:val="0"/>
          <w:w w:val="100"/>
          <w:position w:val="0"/>
        </w:rPr>
        <w:t>2017</w:t>
      </w:r>
      <w:r>
        <w:rPr>
          <w:rFonts w:ascii="SimSun" w:eastAsia="SimSun" w:hAnsi="SimSun" w:cs="SimSun"/>
          <w:color w:val="000000"/>
          <w:spacing w:val="0"/>
          <w:w w:val="100"/>
          <w:position w:val="0"/>
          <w:sz w:val="20"/>
          <w:szCs w:val="20"/>
        </w:rPr>
        <w:t>年</w:t>
      </w:r>
      <w:r>
        <w:rPr>
          <w:color w:val="000000"/>
          <w:spacing w:val="0"/>
          <w:w w:val="100"/>
          <w:position w:val="0"/>
        </w:rPr>
        <w:t>3</w:t>
      </w:r>
      <w:r>
        <w:rPr>
          <w:rFonts w:ascii="SimSun" w:eastAsia="SimSun" w:hAnsi="SimSun" w:cs="SimSun"/>
          <w:color w:val="000000"/>
          <w:spacing w:val="0"/>
          <w:w w:val="100"/>
          <w:position w:val="0"/>
          <w:sz w:val="20"/>
          <w:szCs w:val="20"/>
        </w:rPr>
        <w:t>月</w:t>
      </w:r>
      <w:r>
        <w:rPr>
          <w:color w:val="000000"/>
          <w:spacing w:val="0"/>
          <w:w w:val="100"/>
          <w:position w:val="0"/>
        </w:rPr>
        <w:t>29</w:t>
      </w:r>
      <w:r>
        <w:rPr>
          <w:rFonts w:ascii="SimSun" w:eastAsia="SimSun" w:hAnsi="SimSun" w:cs="SimSun"/>
          <w:color w:val="000000"/>
          <w:spacing w:val="0"/>
          <w:w w:val="100"/>
          <w:position w:val="0"/>
          <w:sz w:val="20"/>
          <w:szCs w:val="20"/>
        </w:rPr>
        <w:t>日</w:t>
      </w:r>
    </w:p>
    <w:sectPr>
      <w:footnotePr>
        <w:pos w:val="pageBottom"/>
        <w:numFmt w:val="decimal"/>
        <w:numRestart w:val="continuous"/>
      </w:footnotePr>
      <w:pgSz w:w="11900" w:h="16840"/>
      <w:pgMar w:top="1600" w:right="1168" w:bottom="1600" w:left="105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6723380</wp:posOffset>
              </wp:positionH>
              <wp:positionV relativeFrom="page">
                <wp:posOffset>9984740</wp:posOffset>
              </wp:positionV>
              <wp:extent cx="106680" cy="79375"/>
              <wp:wrapNone/>
              <wp:docPr id="4" name="Shape 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39999999999998pt;margin-top:786.20000000000005pt;width:8.4000000000000004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4378960</wp:posOffset>
              </wp:positionH>
              <wp:positionV relativeFrom="page">
                <wp:posOffset>525780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福建榕基软件股份有限公司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4.80000000000001pt;margin-top:41.399999999999999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福建榕基软件股份有限公司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706120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399999999999999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4383405</wp:posOffset>
              </wp:positionH>
              <wp:positionV relativeFrom="page">
                <wp:posOffset>478790</wp:posOffset>
              </wp:positionV>
              <wp:extent cx="2450465" cy="106680"/>
              <wp:wrapNone/>
              <wp:docPr id="6" name="Shape 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福建榕基软件股份有限公司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5.15000000000003pt;margin-top:37.700000000000003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福建榕基软件股份有限公司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5)_"/>
    <w:basedOn w:val="DefaultParagraphFont"/>
    <w:link w:val="Style54"/>
    <w:rPr>
      <w:rFonts w:ascii="SimSun" w:eastAsia="SimSun" w:hAnsi="SimSun" w:cs="SimSun"/>
      <w:b w:val="0"/>
      <w:bCs w:val="0"/>
      <w:i w:val="0"/>
      <w:iCs w:val="0"/>
      <w:smallCaps w:val="0"/>
      <w:strike w:val="0"/>
      <w:sz w:val="20"/>
      <w:szCs w:val="20"/>
      <w:u w:val="none"/>
      <w:shd w:val="clear" w:color="auto" w:fill="auto"/>
    </w:rPr>
  </w:style>
  <w:style w:type="character" w:customStyle="1" w:styleId="CharStyle58">
    <w:name w:val="正文文本 (6)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8">
    <w:name w:val="正文文本 (7)_"/>
    <w:basedOn w:val="DefaultParagraphFont"/>
    <w:link w:val="Style67"/>
    <w:rPr>
      <w:rFonts w:ascii="SimSun" w:eastAsia="SimSun" w:hAnsi="SimSun" w:cs="SimSun"/>
      <w:b/>
      <w:bCs/>
      <w:i w:val="0"/>
      <w:iCs w:val="0"/>
      <w:smallCaps w:val="0"/>
      <w:strike w:val="0"/>
      <w:color w:val="2F3545"/>
      <w:sz w:val="32"/>
      <w:szCs w:val="32"/>
      <w:u w:val="none"/>
      <w:shd w:val="clear" w:color="auto" w:fill="auto"/>
    </w:rPr>
  </w:style>
  <w:style w:type="character" w:customStyle="1" w:styleId="CharStyle70">
    <w:name w:val="正文文本 (8)_"/>
    <w:basedOn w:val="DefaultParagraphFont"/>
    <w:link w:val="Style69"/>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正文文本 (2)"/>
    <w:basedOn w:val="Normal"/>
    <w:link w:val="CharStyle16"/>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标题 #1"/>
    <w:basedOn w:val="Normal"/>
    <w:link w:val="CharStyle19"/>
    <w:pPr>
      <w:widowControl w:val="0"/>
      <w:shd w:val="clear" w:color="auto" w:fill="auto"/>
      <w:spacing w:before="51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1">
    <w:name w:val="目录"/>
    <w:basedOn w:val="Normal"/>
    <w:link w:val="CharStyle22"/>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6">
    <w:name w:val="标题 #2"/>
    <w:basedOn w:val="Normal"/>
    <w:link w:val="CharStyle27"/>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正文文本"/>
    <w:basedOn w:val="Normal"/>
    <w:link w:val="CharStyle31"/>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3"/>
    <w:basedOn w:val="Normal"/>
    <w:link w:val="CharStyle34"/>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标题 #4"/>
    <w:basedOn w:val="Normal"/>
    <w:link w:val="CharStyle4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5)"/>
    <w:basedOn w:val="Normal"/>
    <w:link w:val="CharStyle55"/>
    <w:pPr>
      <w:widowControl w:val="0"/>
      <w:shd w:val="clear" w:color="auto" w:fill="auto"/>
      <w:spacing w:after="360" w:line="307"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57">
    <w:name w:val="正文文本 (6)"/>
    <w:basedOn w:val="Normal"/>
    <w:link w:val="CharStyle58"/>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7">
    <w:name w:val="正文文本 (7)"/>
    <w:basedOn w:val="Normal"/>
    <w:link w:val="CharStyle68"/>
    <w:pPr>
      <w:widowControl w:val="0"/>
      <w:shd w:val="clear" w:color="auto" w:fill="auto"/>
      <w:spacing w:after="580"/>
      <w:jc w:val="center"/>
    </w:pPr>
    <w:rPr>
      <w:rFonts w:ascii="SimSun" w:eastAsia="SimSun" w:hAnsi="SimSun" w:cs="SimSun"/>
      <w:b/>
      <w:bCs/>
      <w:i w:val="0"/>
      <w:iCs w:val="0"/>
      <w:smallCaps w:val="0"/>
      <w:strike w:val="0"/>
      <w:color w:val="2F3545"/>
      <w:sz w:val="32"/>
      <w:szCs w:val="32"/>
      <w:u w:val="none"/>
      <w:shd w:val="clear" w:color="auto" w:fill="auto"/>
    </w:rPr>
  </w:style>
  <w:style w:type="paragraph" w:customStyle="1" w:styleId="Style69">
    <w:name w:val="正文文本 (8)"/>
    <w:basedOn w:val="Normal"/>
    <w:link w:val="CharStyle70"/>
    <w:pPr>
      <w:widowControl w:val="0"/>
      <w:shd w:val="clear" w:color="auto" w:fill="auto"/>
      <w:spacing w:after="14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福建榕基软件股份有限公司2016年年度报告全文</dc:title>
  <dc:subject/>
  <dc:creator>福建榕基软件股份有限公司</dc:creator>
  <cp:keywords/>
</cp:coreProperties>
</file>