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0"/>
          <w:szCs w:val="20"/>
        </w:rPr>
      </w:pPr>
    </w:p>
    <w:p>
      <w:pPr>
        <w:spacing w:line="620" w:lineRule="exact" w:before="0"/>
        <w:ind w:left="495" w:right="488" w:firstLine="0"/>
        <w:jc w:val="center"/>
        <w:rPr>
          <w:rFonts w:ascii="黑体" w:hAnsi="黑体" w:cs="黑体" w:eastAsia="黑体" w:hint="default"/>
          <w:sz w:val="52"/>
          <w:szCs w:val="52"/>
        </w:rPr>
      </w:pPr>
      <w:r>
        <w:rPr/>
        <w:pict>
          <v:group style="position:absolute;margin-left:54.779984pt;margin-top:-28.053167pt;width:485.85pt;height:.75pt;mso-position-horizontal-relative:page;mso-position-vertical-relative:paragraph;z-index:1048" coordorigin="1096,-561" coordsize="9717,15">
            <v:group style="position:absolute;left:1103;top:-554;width:1048;height:2" coordorigin="1103,-554" coordsize="1048,2">
              <v:shape style="position:absolute;left:1103;top:-554;width:1048;height:2" coordorigin="1103,-554" coordsize="1048,0" path="m1103,-554l2150,-554e" filled="false" stroked="true" strokeweight=".72003pt" strokecolor="#000000">
                <v:path arrowok="t"/>
              </v:shape>
            </v:group>
            <v:group style="position:absolute;left:2150;top:-554;width:1076;height:2" coordorigin="2150,-554" coordsize="1076,2">
              <v:shape style="position:absolute;left:2150;top:-554;width:1076;height:2" coordorigin="2150,-554" coordsize="1076,0" path="m2150,-554l3226,-554e" filled="false" stroked="true" strokeweight=".72003pt" strokecolor="#000000">
                <v:path arrowok="t"/>
              </v:shape>
            </v:group>
            <v:group style="position:absolute;left:3226;top:-554;width:1076;height:2" coordorigin="3226,-554" coordsize="1076,2">
              <v:shape style="position:absolute;left:3226;top:-554;width:1076;height:2" coordorigin="3226,-554" coordsize="1076,0" path="m3226,-554l4301,-554e" filled="false" stroked="true" strokeweight=".72003pt" strokecolor="#000000">
                <v:path arrowok="t"/>
              </v:shape>
            </v:group>
            <v:group style="position:absolute;left:4301;top:-554;width:1076;height:2" coordorigin="4301,-554" coordsize="1076,2">
              <v:shape style="position:absolute;left:4301;top:-554;width:1076;height:2" coordorigin="4301,-554" coordsize="1076,0" path="m4301,-554l5376,-554e" filled="false" stroked="true" strokeweight=".72003pt" strokecolor="#000000">
                <v:path arrowok="t"/>
              </v:shape>
            </v:group>
            <v:group style="position:absolute;left:5376;top:-554;width:1076;height:2" coordorigin="5376,-554" coordsize="1076,2">
              <v:shape style="position:absolute;left:5376;top:-554;width:1076;height:2" coordorigin="5376,-554" coordsize="1076,0" path="m5376,-554l6451,-554e" filled="false" stroked="true" strokeweight=".72003pt" strokecolor="#000000">
                <v:path arrowok="t"/>
              </v:shape>
            </v:group>
            <v:group style="position:absolute;left:6451;top:-554;width:1076;height:2" coordorigin="6451,-554" coordsize="1076,2">
              <v:shape style="position:absolute;left:6451;top:-554;width:1076;height:2" coordorigin="6451,-554" coordsize="1076,0" path="m6451,-554l7526,-554e" filled="false" stroked="true" strokeweight=".72pt" strokecolor="#000000">
                <v:path arrowok="t"/>
              </v:shape>
            </v:group>
            <v:group style="position:absolute;left:7526;top:-554;width:1076;height:2" coordorigin="7526,-554" coordsize="1076,2">
              <v:shape style="position:absolute;left:7526;top:-554;width:1076;height:2" coordorigin="7526,-554" coordsize="1076,0" path="m7526,-554l8602,-554e" filled="false" stroked="true" strokeweight=".72003pt" strokecolor="#000000">
                <v:path arrowok="t"/>
              </v:shape>
            </v:group>
            <v:group style="position:absolute;left:8602;top:-554;width:1076;height:2" coordorigin="8602,-554" coordsize="1076,2">
              <v:shape style="position:absolute;left:8602;top:-554;width:1076;height:2" coordorigin="8602,-554" coordsize="1076,0" path="m8602,-554l9677,-554e" filled="false" stroked="true" strokeweight=".72003pt" strokecolor="#000000">
                <v:path arrowok="t"/>
              </v:shape>
            </v:group>
            <v:group style="position:absolute;left:9677;top:-554;width:1076;height:2" coordorigin="9677,-554" coordsize="1076,2">
              <v:shape style="position:absolute;left:9677;top:-554;width:1076;height:2" coordorigin="9677,-554" coordsize="1076,0" path="m9677,-554l10752,-554e" filled="false" stroked="true" strokeweight=".72003pt" strokecolor="#000000">
                <v:path arrowok="t"/>
              </v:shape>
            </v:group>
            <v:group style="position:absolute;left:10752;top:-554;width:53;height:2" coordorigin="10752,-554" coordsize="53,2">
              <v:shape style="position:absolute;left:10752;top:-554;width:53;height:2" coordorigin="10752,-554" coordsize="53,0" path="m10752,-554l10805,-554e" filled="false" stroked="true" strokeweight=".72003pt" strokecolor="#000000">
                <v:path arrowok="t"/>
              </v:shape>
            </v:group>
            <w10:wrap type="none"/>
          </v:group>
        </w:pict>
      </w:r>
      <w:r>
        <w:rPr>
          <w:rFonts w:ascii="黑体" w:hAnsi="黑体" w:cs="黑体" w:eastAsia="黑体" w:hint="default"/>
          <w:b/>
          <w:bCs/>
          <w:spacing w:val="2"/>
          <w:sz w:val="52"/>
          <w:szCs w:val="52"/>
        </w:rPr>
        <w:t>福建榕基软件股份有限公司</w:t>
      </w:r>
      <w:r>
        <w:rPr>
          <w:rFonts w:ascii="黑体" w:hAnsi="黑体" w:cs="黑体" w:eastAsia="黑体" w:hint="default"/>
          <w:spacing w:val="2"/>
          <w:sz w:val="52"/>
          <w:szCs w:val="52"/>
        </w:rPr>
      </w:r>
    </w:p>
    <w:p>
      <w:pPr>
        <w:spacing w:before="78"/>
        <w:ind w:left="495" w:right="497" w:firstLine="0"/>
        <w:jc w:val="center"/>
        <w:rPr>
          <w:rFonts w:ascii="Times New Roman" w:hAnsi="Times New Roman" w:cs="Times New Roman" w:eastAsia="Times New Roman" w:hint="default"/>
          <w:sz w:val="30"/>
          <w:szCs w:val="30"/>
        </w:rPr>
      </w:pPr>
      <w:r>
        <w:rPr>
          <w:rFonts w:ascii="Times New Roman"/>
          <w:b/>
          <w:sz w:val="30"/>
        </w:rPr>
        <w:t>Fujian Rongji Software Co.,</w:t>
      </w:r>
      <w:r>
        <w:rPr>
          <w:rFonts w:ascii="Times New Roman"/>
          <w:b/>
          <w:spacing w:val="-24"/>
          <w:sz w:val="30"/>
        </w:rPr>
        <w:t> </w:t>
      </w:r>
      <w:r>
        <w:rPr>
          <w:rFonts w:ascii="Times New Roman"/>
          <w:b/>
          <w:sz w:val="30"/>
        </w:rPr>
        <w:t>Ltd.</w:t>
      </w:r>
      <w:r>
        <w:rPr>
          <w:rFonts w:ascii="Times New Roman"/>
          <w:sz w:val="30"/>
        </w:rPr>
      </w:r>
    </w:p>
    <w:p>
      <w:pPr>
        <w:spacing w:before="66"/>
        <w:ind w:left="495" w:right="485" w:firstLine="0"/>
        <w:jc w:val="center"/>
        <w:rPr>
          <w:rFonts w:ascii="黑体" w:hAnsi="黑体" w:cs="黑体" w:eastAsia="黑体" w:hint="default"/>
          <w:sz w:val="32"/>
          <w:szCs w:val="32"/>
        </w:rPr>
      </w:pPr>
      <w:r>
        <w:rPr>
          <w:rFonts w:ascii="黑体" w:hAnsi="黑体" w:cs="黑体" w:eastAsia="黑体" w:hint="default"/>
          <w:b/>
          <w:bCs/>
          <w:spacing w:val="10"/>
          <w:sz w:val="32"/>
          <w:szCs w:val="32"/>
        </w:rPr>
        <w:t>（福州市鼓楼区铜盘路福州软件园产业基地）</w:t>
      </w:r>
      <w:r>
        <w:rPr>
          <w:rFonts w:ascii="黑体" w:hAnsi="黑体" w:cs="黑体" w:eastAsia="黑体" w:hint="default"/>
          <w:sz w:val="32"/>
          <w:szCs w:val="32"/>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9"/>
        <w:rPr>
          <w:rFonts w:ascii="黑体" w:hAnsi="黑体" w:cs="黑体" w:eastAsia="黑体" w:hint="default"/>
          <w:b/>
          <w:bCs/>
          <w:sz w:val="27"/>
          <w:szCs w:val="27"/>
        </w:rPr>
      </w:pPr>
    </w:p>
    <w:p>
      <w:pPr>
        <w:spacing w:line="1862" w:lineRule="exact"/>
        <w:ind w:left="3952" w:right="0" w:firstLine="0"/>
        <w:rPr>
          <w:rFonts w:ascii="黑体" w:hAnsi="黑体" w:cs="黑体" w:eastAsia="黑体" w:hint="default"/>
          <w:sz w:val="20"/>
          <w:szCs w:val="20"/>
        </w:rPr>
      </w:pPr>
      <w:r>
        <w:rPr>
          <w:rFonts w:ascii="黑体" w:hAnsi="黑体" w:cs="黑体" w:eastAsia="黑体" w:hint="default"/>
          <w:position w:val="-36"/>
          <w:sz w:val="20"/>
          <w:szCs w:val="20"/>
        </w:rPr>
        <w:pict>
          <v:group style="width:102.4pt;height:93.15pt;mso-position-horizontal-relative:char;mso-position-vertical-relative:line" coordorigin="0,0" coordsize="2048,1863">
            <v:shape style="position:absolute;left:0;top:0;width:451;height:1862" type="#_x0000_t75" stroked="false">
              <v:imagedata r:id="rId7" o:title=""/>
            </v:shape>
            <v:shape style="position:absolute;left:444;top:0;width:1603;height:1862" type="#_x0000_t75" stroked="false">
              <v:imagedata r:id="rId8" o:title=""/>
            </v:shape>
          </v:group>
        </w:pict>
      </w:r>
      <w:r>
        <w:rPr>
          <w:rFonts w:ascii="黑体" w:hAnsi="黑体" w:cs="黑体" w:eastAsia="黑体" w:hint="default"/>
          <w:position w:val="-36"/>
          <w:sz w:val="20"/>
          <w:szCs w:val="2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8"/>
        <w:rPr>
          <w:rFonts w:ascii="黑体" w:hAnsi="黑体" w:cs="黑体" w:eastAsia="黑体" w:hint="default"/>
          <w:b/>
          <w:bCs/>
          <w:sz w:val="24"/>
          <w:szCs w:val="24"/>
        </w:rPr>
      </w:pPr>
    </w:p>
    <w:p>
      <w:pPr>
        <w:spacing w:line="874" w:lineRule="exact" w:before="0"/>
        <w:ind w:left="2718" w:right="1258" w:firstLine="0"/>
        <w:jc w:val="left"/>
        <w:rPr>
          <w:rFonts w:ascii="黑体" w:hAnsi="黑体" w:cs="黑体" w:eastAsia="黑体" w:hint="default"/>
          <w:sz w:val="72"/>
          <w:szCs w:val="72"/>
        </w:rPr>
      </w:pPr>
      <w:r>
        <w:rPr>
          <w:rFonts w:ascii="Times New Roman" w:hAnsi="Times New Roman" w:cs="Times New Roman" w:eastAsia="Times New Roman" w:hint="default"/>
          <w:b/>
          <w:bCs/>
          <w:sz w:val="72"/>
          <w:szCs w:val="72"/>
        </w:rPr>
        <w:t>2017</w:t>
      </w:r>
      <w:r>
        <w:rPr>
          <w:rFonts w:ascii="Times New Roman" w:hAnsi="Times New Roman" w:cs="Times New Roman" w:eastAsia="Times New Roman" w:hint="default"/>
          <w:b/>
          <w:bCs/>
          <w:spacing w:val="-14"/>
          <w:sz w:val="72"/>
          <w:szCs w:val="72"/>
        </w:rPr>
        <w:t> </w:t>
      </w:r>
      <w:r>
        <w:rPr>
          <w:rFonts w:ascii="黑体" w:hAnsi="黑体" w:cs="黑体" w:eastAsia="黑体" w:hint="default"/>
          <w:b/>
          <w:bCs/>
          <w:sz w:val="72"/>
          <w:szCs w:val="72"/>
        </w:rPr>
        <w:t>年度报告</w:t>
      </w:r>
      <w:r>
        <w:rPr>
          <w:rFonts w:ascii="黑体" w:hAnsi="黑体" w:cs="黑体" w:eastAsia="黑体" w:hint="default"/>
          <w:sz w:val="72"/>
          <w:szCs w:val="72"/>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27"/>
          <w:szCs w:val="27"/>
        </w:rPr>
      </w:pPr>
    </w:p>
    <w:p>
      <w:pPr>
        <w:spacing w:line="292" w:lineRule="auto" w:before="13"/>
        <w:ind w:left="5190" w:right="1258" w:hanging="101"/>
        <w:jc w:val="left"/>
        <w:rPr>
          <w:rFonts w:ascii="宋体" w:hAnsi="宋体" w:cs="宋体" w:eastAsia="宋体" w:hint="default"/>
          <w:sz w:val="28"/>
          <w:szCs w:val="28"/>
        </w:rPr>
      </w:pPr>
      <w:r>
        <w:rPr>
          <w:rFonts w:ascii="宋体" w:hAnsi="宋体" w:cs="宋体" w:eastAsia="宋体" w:hint="default"/>
          <w:b/>
          <w:bCs/>
          <w:sz w:val="28"/>
          <w:szCs w:val="28"/>
        </w:rPr>
        <w:t>公告编号：</w:t>
      </w:r>
      <w:r>
        <w:rPr>
          <w:rFonts w:ascii="Arial" w:hAnsi="Arial" w:cs="Arial" w:eastAsia="Arial" w:hint="default"/>
          <w:b/>
          <w:bCs/>
          <w:sz w:val="28"/>
          <w:szCs w:val="28"/>
        </w:rPr>
        <w:t>2018-021</w:t>
      </w:r>
      <w:r>
        <w:rPr>
          <w:rFonts w:ascii="Arial" w:hAnsi="Arial" w:cs="Arial" w:eastAsia="Arial" w:hint="default"/>
          <w:b/>
          <w:bCs/>
          <w:w w:val="99"/>
          <w:sz w:val="28"/>
          <w:szCs w:val="28"/>
        </w:rPr>
        <w:t> </w:t>
      </w:r>
      <w:r>
        <w:rPr>
          <w:rFonts w:ascii="宋体" w:hAnsi="宋体" w:cs="宋体" w:eastAsia="宋体" w:hint="default"/>
          <w:b/>
          <w:bCs/>
          <w:sz w:val="28"/>
          <w:szCs w:val="28"/>
        </w:rPr>
        <w:t>证券代码：</w:t>
      </w:r>
      <w:r>
        <w:rPr>
          <w:rFonts w:ascii="Arial" w:hAnsi="Arial" w:cs="Arial" w:eastAsia="Arial" w:hint="default"/>
          <w:b/>
          <w:bCs/>
          <w:sz w:val="28"/>
          <w:szCs w:val="28"/>
        </w:rPr>
        <w:t>002474</w:t>
      </w:r>
      <w:r>
        <w:rPr>
          <w:rFonts w:ascii="Arial" w:hAnsi="Arial" w:cs="Arial" w:eastAsia="Arial" w:hint="default"/>
          <w:b/>
          <w:bCs/>
          <w:w w:val="99"/>
          <w:sz w:val="28"/>
          <w:szCs w:val="28"/>
        </w:rPr>
        <w:t> </w:t>
      </w:r>
      <w:r>
        <w:rPr>
          <w:rFonts w:ascii="宋体" w:hAnsi="宋体" w:cs="宋体" w:eastAsia="宋体" w:hint="default"/>
          <w:b/>
          <w:bCs/>
          <w:sz w:val="28"/>
          <w:szCs w:val="28"/>
        </w:rPr>
        <w:t>证券简称：榕基软件</w:t>
      </w:r>
      <w:r>
        <w:rPr>
          <w:rFonts w:ascii="宋体" w:hAnsi="宋体" w:cs="宋体" w:eastAsia="宋体" w:hint="default"/>
          <w:b/>
          <w:bCs/>
          <w:w w:val="99"/>
          <w:sz w:val="28"/>
          <w:szCs w:val="28"/>
        </w:rPr>
        <w:t> </w:t>
      </w:r>
      <w:r>
        <w:rPr>
          <w:rFonts w:ascii="宋体" w:hAnsi="宋体" w:cs="宋体" w:eastAsia="宋体" w:hint="default"/>
          <w:b/>
          <w:bCs/>
          <w:spacing w:val="-7"/>
          <w:sz w:val="28"/>
          <w:szCs w:val="28"/>
        </w:rPr>
        <w:t>披露日期：</w:t>
      </w:r>
      <w:r>
        <w:rPr>
          <w:rFonts w:ascii="Arial" w:hAnsi="Arial" w:cs="Arial" w:eastAsia="Arial" w:hint="default"/>
          <w:b/>
          <w:bCs/>
          <w:spacing w:val="-7"/>
          <w:sz w:val="28"/>
          <w:szCs w:val="28"/>
        </w:rPr>
        <w:t>2018</w:t>
      </w:r>
      <w:r>
        <w:rPr>
          <w:rFonts w:ascii="Arial" w:hAnsi="Arial" w:cs="Arial" w:eastAsia="Arial" w:hint="default"/>
          <w:b/>
          <w:bCs/>
          <w:spacing w:val="-10"/>
          <w:sz w:val="28"/>
          <w:szCs w:val="28"/>
        </w:rPr>
        <w:t> </w:t>
      </w:r>
      <w:r>
        <w:rPr>
          <w:rFonts w:ascii="宋体" w:hAnsi="宋体" w:cs="宋体" w:eastAsia="宋体" w:hint="default"/>
          <w:b/>
          <w:bCs/>
          <w:sz w:val="28"/>
          <w:szCs w:val="28"/>
        </w:rPr>
        <w:t>年</w:t>
      </w:r>
      <w:r>
        <w:rPr>
          <w:rFonts w:ascii="宋体" w:hAnsi="宋体" w:cs="宋体" w:eastAsia="宋体" w:hint="default"/>
          <w:b/>
          <w:bCs/>
          <w:spacing w:val="-58"/>
          <w:sz w:val="28"/>
          <w:szCs w:val="28"/>
        </w:rPr>
        <w:t> </w:t>
      </w:r>
      <w:r>
        <w:rPr>
          <w:rFonts w:ascii="Arial" w:hAnsi="Arial" w:cs="Arial" w:eastAsia="Arial" w:hint="default"/>
          <w:b/>
          <w:bCs/>
          <w:sz w:val="28"/>
          <w:szCs w:val="28"/>
        </w:rPr>
        <w:t>4</w:t>
      </w:r>
      <w:r>
        <w:rPr>
          <w:rFonts w:ascii="Arial" w:hAnsi="Arial" w:cs="Arial" w:eastAsia="Arial" w:hint="default"/>
          <w:b/>
          <w:bCs/>
          <w:spacing w:val="-9"/>
          <w:sz w:val="28"/>
          <w:szCs w:val="28"/>
        </w:rPr>
        <w:t> </w:t>
      </w:r>
      <w:r>
        <w:rPr>
          <w:rFonts w:ascii="宋体" w:hAnsi="宋体" w:cs="宋体" w:eastAsia="宋体" w:hint="default"/>
          <w:b/>
          <w:bCs/>
          <w:sz w:val="28"/>
          <w:szCs w:val="28"/>
        </w:rPr>
        <w:t>月</w:t>
      </w:r>
      <w:r>
        <w:rPr>
          <w:rFonts w:ascii="宋体" w:hAnsi="宋体" w:cs="宋体" w:eastAsia="宋体" w:hint="default"/>
          <w:b/>
          <w:bCs/>
          <w:spacing w:val="-73"/>
          <w:sz w:val="28"/>
          <w:szCs w:val="28"/>
        </w:rPr>
        <w:t> </w:t>
      </w:r>
      <w:r>
        <w:rPr>
          <w:rFonts w:ascii="Arial" w:hAnsi="Arial" w:cs="Arial" w:eastAsia="Arial" w:hint="default"/>
          <w:b/>
          <w:bCs/>
          <w:sz w:val="28"/>
          <w:szCs w:val="28"/>
        </w:rPr>
        <w:t>4</w:t>
      </w:r>
      <w:r>
        <w:rPr>
          <w:rFonts w:ascii="Arial" w:hAnsi="Arial" w:cs="Arial" w:eastAsia="Arial" w:hint="default"/>
          <w:b/>
          <w:bCs/>
          <w:spacing w:val="-10"/>
          <w:sz w:val="28"/>
          <w:szCs w:val="28"/>
        </w:rPr>
        <w:t> </w:t>
      </w:r>
      <w:r>
        <w:rPr>
          <w:rFonts w:ascii="宋体" w:hAnsi="宋体" w:cs="宋体" w:eastAsia="宋体" w:hint="default"/>
          <w:b/>
          <w:bCs/>
          <w:sz w:val="28"/>
          <w:szCs w:val="28"/>
        </w:rPr>
        <w:t>日</w:t>
      </w:r>
      <w:r>
        <w:rPr>
          <w:rFonts w:ascii="宋体" w:hAnsi="宋体" w:cs="宋体" w:eastAsia="宋体" w:hint="default"/>
          <w:sz w:val="28"/>
          <w:szCs w:val="28"/>
        </w:rPr>
      </w:r>
    </w:p>
    <w:p>
      <w:pPr>
        <w:spacing w:after="0" w:line="292" w:lineRule="auto"/>
        <w:jc w:val="left"/>
        <w:rPr>
          <w:rFonts w:ascii="宋体" w:hAnsi="宋体" w:cs="宋体" w:eastAsia="宋体" w:hint="default"/>
          <w:sz w:val="28"/>
          <w:szCs w:val="28"/>
        </w:rPr>
        <w:sectPr>
          <w:headerReference w:type="default" r:id="rId5"/>
          <w:footerReference w:type="default" r:id="rId6"/>
          <w:type w:val="continuous"/>
          <w:pgSz w:w="11910" w:h="16840"/>
          <w:pgMar w:header="748"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Heading1"/>
        <w:spacing w:line="240" w:lineRule="auto"/>
        <w:ind w:left="2804" w:right="1258"/>
        <w:jc w:val="left"/>
        <w:rPr>
          <w:b w:val="0"/>
          <w:bCs w:val="0"/>
        </w:rPr>
      </w:pPr>
      <w:bookmarkStart w:name="_TOC_250011"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公司董事会、监事会及董事、监事、高级管理人员保证年度报告内容的真</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3" w:right="151"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公司负责人鲁峰、主管会计工作负责人侯伟及会计机构负责人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会计主管人</w:t>
      </w:r>
      <w:r>
        <w:rPr>
          <w:rFonts w:ascii="宋体" w:hAnsi="宋体" w:cs="宋体" w:eastAsia="宋体" w:hint="default"/>
          <w:b/>
          <w:bCs/>
          <w:spacing w:val="1"/>
          <w:w w:val="99"/>
          <w:sz w:val="28"/>
          <w:szCs w:val="28"/>
        </w:rPr>
        <w:t> </w:t>
      </w:r>
      <w:r>
        <w:rPr>
          <w:rFonts w:ascii="宋体" w:hAnsi="宋体" w:cs="宋体" w:eastAsia="宋体" w:hint="default"/>
          <w:b/>
          <w:bCs/>
          <w:sz w:val="28"/>
          <w:szCs w:val="28"/>
        </w:rPr>
        <w:t>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镇千金声明：保证年度报告中财务报告的真实、准确、完整。</w:t>
      </w:r>
      <w:r>
        <w:rPr>
          <w:rFonts w:ascii="宋体" w:hAnsi="宋体" w:cs="宋体" w:eastAsia="宋体" w:hint="default"/>
          <w:sz w:val="28"/>
          <w:szCs w:val="28"/>
        </w:rPr>
      </w:r>
    </w:p>
    <w:p>
      <w:pPr>
        <w:spacing w:line="472" w:lineRule="auto" w:before="147"/>
        <w:ind w:left="715" w:right="151"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公司已在本报告中详细描述未来将面临的主要风险及应对措施，详情请查</w:t>
      </w:r>
      <w:r>
        <w:rPr>
          <w:rFonts w:ascii="宋体" w:hAnsi="宋体" w:cs="宋体" w:eastAsia="宋体" w:hint="default"/>
          <w:sz w:val="28"/>
          <w:szCs w:val="28"/>
        </w:rPr>
      </w:r>
    </w:p>
    <w:p>
      <w:pPr>
        <w:spacing w:line="448" w:lineRule="auto" w:before="0"/>
        <w:ind w:left="715" w:right="151" w:hanging="562"/>
        <w:jc w:val="left"/>
        <w:rPr>
          <w:rFonts w:ascii="宋体" w:hAnsi="宋体" w:cs="宋体" w:eastAsia="宋体" w:hint="default"/>
          <w:sz w:val="28"/>
          <w:szCs w:val="28"/>
        </w:rPr>
      </w:pPr>
      <w:r>
        <w:rPr>
          <w:rFonts w:ascii="宋体" w:hAnsi="宋体" w:cs="宋体" w:eastAsia="宋体" w:hint="default"/>
          <w:b/>
          <w:bCs/>
          <w:sz w:val="28"/>
          <w:szCs w:val="28"/>
        </w:rPr>
        <w:t>阅本报告</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第四节经营情况讨论与分析</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，请投资者注意投资风险。</w:t>
      </w:r>
      <w:r>
        <w:rPr>
          <w:rFonts w:ascii="宋体" w:hAnsi="宋体" w:cs="宋体" w:eastAsia="宋体" w:hint="default"/>
          <w:b/>
          <w:bCs/>
          <w:spacing w:val="1"/>
          <w:w w:val="99"/>
          <w:sz w:val="28"/>
          <w:szCs w:val="28"/>
        </w:rPr>
        <w:t> </w:t>
      </w: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4"/>
          <w:sz w:val="28"/>
          <w:szCs w:val="28"/>
        </w:rPr>
        <w:t> </w:t>
      </w:r>
      <w:r>
        <w:rPr>
          <w:rFonts w:ascii="Times New Roman" w:hAnsi="Times New Roman" w:cs="Times New Roman" w:eastAsia="Times New Roman" w:hint="default"/>
          <w:b/>
          <w:bCs/>
          <w:sz w:val="28"/>
          <w:szCs w:val="28"/>
        </w:rPr>
        <w:t>622,200,000</w:t>
      </w:r>
      <w:r>
        <w:rPr>
          <w:rFonts w:ascii="Times New Roman" w:hAnsi="Times New Roman" w:cs="Times New Roman" w:eastAsia="Times New Roman" w:hint="default"/>
          <w:b/>
          <w:bCs/>
          <w:spacing w:val="-24"/>
          <w:sz w:val="28"/>
          <w:szCs w:val="28"/>
        </w:rPr>
        <w:t> </w:t>
      </w:r>
      <w:r>
        <w:rPr>
          <w:rFonts w:ascii="宋体" w:hAnsi="宋体" w:cs="宋体" w:eastAsia="宋体" w:hint="default"/>
          <w:b/>
          <w:bCs/>
          <w:spacing w:val="-5"/>
          <w:sz w:val="28"/>
          <w:szCs w:val="28"/>
        </w:rPr>
        <w:t>为基数，向</w:t>
      </w:r>
      <w:r>
        <w:rPr>
          <w:rFonts w:ascii="宋体" w:hAnsi="宋体" w:cs="宋体" w:eastAsia="宋体" w:hint="default"/>
          <w:spacing w:val="-5"/>
          <w:sz w:val="28"/>
          <w:szCs w:val="28"/>
        </w:rPr>
      </w:r>
    </w:p>
    <w:p>
      <w:pPr>
        <w:spacing w:line="354" w:lineRule="exact" w:before="0"/>
        <w:ind w:left="153" w:right="0" w:firstLine="0"/>
        <w:jc w:val="left"/>
        <w:rPr>
          <w:rFonts w:ascii="宋体" w:hAnsi="宋体" w:cs="宋体" w:eastAsia="宋体" w:hint="default"/>
          <w:sz w:val="28"/>
          <w:szCs w:val="28"/>
        </w:rPr>
      </w:pPr>
      <w:r>
        <w:rPr>
          <w:rFonts w:ascii="宋体" w:hAnsi="宋体" w:cs="宋体" w:eastAsia="宋体" w:hint="default"/>
          <w:b/>
          <w:bCs/>
          <w:spacing w:val="1"/>
          <w:w w:val="99"/>
          <w:sz w:val="28"/>
          <w:szCs w:val="28"/>
        </w:rPr>
        <w:t>全体股东</w:t>
      </w:r>
      <w:r>
        <w:rPr>
          <w:rFonts w:ascii="宋体" w:hAnsi="宋体" w:cs="宋体" w:eastAsia="宋体" w:hint="default"/>
          <w:b/>
          <w:bCs/>
          <w:w w:val="99"/>
          <w:sz w:val="28"/>
          <w:szCs w:val="28"/>
        </w:rPr>
        <w:t>每</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1"/>
          <w:w w:val="99"/>
          <w:sz w:val="28"/>
          <w:szCs w:val="28"/>
        </w:rPr>
        <w:t>股派发现金红</w:t>
      </w:r>
      <w:r>
        <w:rPr>
          <w:rFonts w:ascii="宋体" w:hAnsi="宋体" w:cs="宋体" w:eastAsia="宋体" w:hint="default"/>
          <w:b/>
          <w:bCs/>
          <w:w w:val="99"/>
          <w:sz w:val="28"/>
          <w:szCs w:val="28"/>
        </w:rPr>
        <w:t>利</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99"/>
          <w:sz w:val="28"/>
          <w:szCs w:val="28"/>
        </w:rPr>
        <w:t>0.10</w:t>
      </w:r>
      <w:r>
        <w:rPr>
          <w:rFonts w:ascii="Times New Roman" w:hAnsi="Times New Roman" w:cs="Times New Roman" w:eastAsia="Times New Roman" w:hint="default"/>
          <w:b/>
          <w:bCs/>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spacing w:val="1"/>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spacing w:val="1"/>
          <w:w w:val="99"/>
          <w:sz w:val="28"/>
          <w:szCs w:val="28"/>
        </w:rPr>
        <w:t>送红</w:t>
      </w:r>
      <w:r>
        <w:rPr>
          <w:rFonts w:ascii="宋体" w:hAnsi="宋体" w:cs="宋体" w:eastAsia="宋体" w:hint="default"/>
          <w:b/>
          <w:bCs/>
          <w:w w:val="99"/>
          <w:sz w:val="28"/>
          <w:szCs w:val="28"/>
        </w:rPr>
        <w:t>股</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股</w:t>
      </w:r>
      <w:r>
        <w:rPr>
          <w:rFonts w:ascii="宋体" w:hAnsi="宋体" w:cs="宋体" w:eastAsia="宋体" w:hint="default"/>
          <w:b/>
          <w:bCs/>
          <w:w w:val="99"/>
          <w:sz w:val="28"/>
          <w:szCs w:val="28"/>
        </w:rPr>
        <w:t>（</w:t>
      </w:r>
      <w:r>
        <w:rPr>
          <w:rFonts w:ascii="宋体" w:hAnsi="宋体" w:cs="宋体" w:eastAsia="宋体" w:hint="default"/>
          <w:b/>
          <w:bCs/>
          <w:spacing w:val="1"/>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spacing w:val="1"/>
          <w:w w:val="99"/>
          <w:sz w:val="28"/>
          <w:szCs w:val="28"/>
        </w:rPr>
        <w:t>不以公积</w:t>
      </w:r>
      <w:r>
        <w:rPr>
          <w:rFonts w:ascii="宋体" w:hAnsi="宋体" w:cs="宋体" w:eastAsia="宋体" w:hint="default"/>
          <w:sz w:val="28"/>
          <w:szCs w:val="28"/>
        </w:rPr>
      </w:r>
    </w:p>
    <w:p>
      <w:pPr>
        <w:spacing w:before="237"/>
        <w:ind w:left="154" w:right="1258" w:firstLine="0"/>
        <w:jc w:val="left"/>
        <w:rPr>
          <w:rFonts w:ascii="宋体" w:hAnsi="宋体" w:cs="宋体" w:eastAsia="宋体" w:hint="default"/>
          <w:sz w:val="28"/>
          <w:szCs w:val="28"/>
        </w:rPr>
      </w:pPr>
      <w:r>
        <w:rPr>
          <w:rFonts w:ascii="宋体" w:hAnsi="宋体" w:cs="宋体" w:eastAsia="宋体" w:hint="default"/>
          <w:b/>
          <w:bCs/>
          <w:sz w:val="28"/>
          <w:szCs w:val="28"/>
        </w:rPr>
        <w:t>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headerReference w:type="default" r:id="rId9"/>
          <w:footerReference w:type="default" r:id="rId10"/>
          <w:pgSz w:w="11910" w:h="16840"/>
          <w:pgMar w:header="877" w:footer="982" w:top="1100" w:bottom="1180" w:left="980" w:right="98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6"/>
          <w:szCs w:val="26"/>
        </w:rPr>
      </w:pPr>
    </w:p>
    <w:p>
      <w:pPr>
        <w:spacing w:line="460" w:lineRule="exact" w:before="0"/>
        <w:ind w:left="495" w:right="49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1">
            <w:r>
              <w:rPr/>
              <w:t>第一节 重要提示、目录和释义</w:t>
            </w:r>
            <w:r>
              <w:rPr>
                <w:rFonts w:ascii="Times New Roman" w:hAnsi="Times New Roman" w:cs="Times New Roman" w:eastAsia="Times New Roman" w:hint="default"/>
              </w:rPr>
              <w:tab/>
              <w:t>2</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10">
            <w:r>
              <w:rPr/>
              <w:t>第二节 公司简介和主要财务指标</w:t>
            </w:r>
            <w:r>
              <w:rPr>
                <w:rFonts w:ascii="Times New Roman" w:hAnsi="Times New Roman" w:cs="Times New Roman" w:eastAsia="Times New Roman" w:hint="default"/>
              </w:rPr>
              <w:tab/>
              <w:t>6</w:t>
            </w:r>
          </w:hyperlink>
        </w:p>
        <w:p>
          <w:pPr>
            <w:pStyle w:val="TOC1"/>
            <w:tabs>
              <w:tab w:pos="9781" w:val="right" w:leader="dot"/>
            </w:tabs>
            <w:spacing w:line="240" w:lineRule="auto" w:before="103"/>
            <w:ind w:right="0"/>
            <w:jc w:val="left"/>
            <w:rPr>
              <w:rFonts w:ascii="Times New Roman" w:hAnsi="Times New Roman" w:cs="Times New Roman" w:eastAsia="Times New Roman" w:hint="default"/>
            </w:rPr>
          </w:pPr>
          <w:hyperlink w:history="true" w:anchor="_TOC_250009">
            <w:r>
              <w:rPr/>
              <w:t>第三节 公司业务概要</w:t>
            </w:r>
            <w:r>
              <w:rPr>
                <w:rFonts w:ascii="Times New Roman" w:hAnsi="Times New Roman" w:cs="Times New Roman" w:eastAsia="Times New Roman" w:hint="default"/>
              </w:rPr>
              <w:tab/>
              <w:t>10</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8">
            <w:r>
              <w:rPr/>
              <w:t>第四节 经营情况讨论与分析</w:t>
            </w:r>
            <w:r>
              <w:rPr>
                <w:rFonts w:ascii="Times New Roman" w:hAnsi="Times New Roman" w:cs="Times New Roman" w:eastAsia="Times New Roman" w:hint="default"/>
              </w:rPr>
              <w:tab/>
              <w:t>14</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7">
            <w:r>
              <w:rPr/>
              <w:t>第五节 重要事项</w:t>
            </w:r>
            <w:r>
              <w:rPr>
                <w:rFonts w:ascii="Times New Roman" w:hAnsi="Times New Roman" w:cs="Times New Roman" w:eastAsia="Times New Roman" w:hint="default"/>
              </w:rPr>
              <w:tab/>
              <w:t>31</w:t>
            </w:r>
          </w:hyperlink>
        </w:p>
        <w:p>
          <w:pPr>
            <w:pStyle w:val="TOC1"/>
            <w:tabs>
              <w:tab w:pos="9781" w:val="right" w:leader="dot"/>
            </w:tabs>
            <w:spacing w:line="240" w:lineRule="auto" w:before="103"/>
            <w:ind w:right="0"/>
            <w:jc w:val="left"/>
            <w:rPr>
              <w:rFonts w:ascii="Times New Roman" w:hAnsi="Times New Roman" w:cs="Times New Roman" w:eastAsia="Times New Roman" w:hint="default"/>
            </w:rPr>
          </w:pPr>
          <w:hyperlink w:history="true" w:anchor="_TOC_250006">
            <w:r>
              <w:rPr/>
              <w:t>第六节 股份变动及股东情况</w:t>
            </w:r>
            <w:r>
              <w:rPr>
                <w:rFonts w:ascii="Times New Roman" w:hAnsi="Times New Roman" w:cs="Times New Roman" w:eastAsia="Times New Roman" w:hint="default"/>
              </w:rPr>
              <w:tab/>
              <w:t>47</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5">
            <w:r>
              <w:rPr/>
              <w:t>第七节 优先股相关情况</w:t>
            </w:r>
            <w:r>
              <w:rPr>
                <w:rFonts w:ascii="Times New Roman" w:hAnsi="Times New Roman" w:cs="Times New Roman" w:eastAsia="Times New Roman" w:hint="default"/>
              </w:rPr>
              <w:tab/>
              <w:t>51</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4">
            <w:r>
              <w:rPr/>
              <w:t>第八节 董事、监事、高级管理人员和员工情况</w:t>
            </w:r>
            <w:r>
              <w:rPr>
                <w:rFonts w:ascii="Times New Roman" w:hAnsi="Times New Roman" w:cs="Times New Roman" w:eastAsia="Times New Roman" w:hint="default"/>
              </w:rPr>
              <w:tab/>
              <w:t>52</w:t>
            </w:r>
          </w:hyperlink>
        </w:p>
        <w:p>
          <w:pPr>
            <w:pStyle w:val="TOC1"/>
            <w:tabs>
              <w:tab w:pos="9781" w:val="right" w:leader="dot"/>
            </w:tabs>
            <w:spacing w:line="240" w:lineRule="auto" w:before="103"/>
            <w:ind w:right="0"/>
            <w:jc w:val="left"/>
            <w:rPr>
              <w:rFonts w:ascii="Times New Roman" w:hAnsi="Times New Roman" w:cs="Times New Roman" w:eastAsia="Times New Roman" w:hint="default"/>
            </w:rPr>
          </w:pPr>
          <w:hyperlink w:history="true" w:anchor="_TOC_250003">
            <w:r>
              <w:rPr/>
              <w:t>第九节 公司治理</w:t>
            </w:r>
            <w:r>
              <w:rPr>
                <w:rFonts w:ascii="Times New Roman" w:hAnsi="Times New Roman" w:cs="Times New Roman" w:eastAsia="Times New Roman" w:hint="default"/>
              </w:rPr>
              <w:tab/>
              <w:t>58</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2">
            <w:r>
              <w:rPr/>
              <w:t>第十节 公司债券相关情况</w:t>
            </w:r>
            <w:r>
              <w:rPr>
                <w:rFonts w:ascii="Times New Roman" w:hAnsi="Times New Roman" w:cs="Times New Roman" w:eastAsia="Times New Roman" w:hint="default"/>
              </w:rPr>
              <w:tab/>
              <w:t>63</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1">
            <w:r>
              <w:rPr/>
              <w:t>第十一节 财务报告</w:t>
            </w:r>
            <w:r>
              <w:rPr>
                <w:rFonts w:ascii="Times New Roman" w:hAnsi="Times New Roman" w:cs="Times New Roman" w:eastAsia="Times New Roman" w:hint="default"/>
              </w:rPr>
              <w:tab/>
              <w:t>64</w:t>
            </w:r>
          </w:hyperlink>
        </w:p>
        <w:p>
          <w:pPr>
            <w:pStyle w:val="TOC1"/>
            <w:tabs>
              <w:tab w:pos="9781" w:val="right" w:leader="dot"/>
            </w:tabs>
            <w:spacing w:line="240" w:lineRule="auto" w:before="103"/>
            <w:ind w:right="0"/>
            <w:jc w:val="left"/>
            <w:rPr>
              <w:rFonts w:ascii="Times New Roman" w:hAnsi="Times New Roman" w:cs="Times New Roman" w:eastAsia="Times New Roman" w:hint="default"/>
            </w:rPr>
          </w:pPr>
          <w:hyperlink w:history="true" w:anchor="_TOC_250000">
            <w:r>
              <w:rPr/>
              <w:t>第十二节 备查文件目录</w:t>
            </w:r>
            <w:r>
              <w:rPr>
                <w:rFonts w:ascii="Times New Roman" w:hAnsi="Times New Roman" w:cs="Times New Roman" w:eastAsia="Times New Roman" w:hint="default"/>
              </w:rPr>
              <w:tab/>
              <w:t>177</w:t>
            </w:r>
          </w:hyperlink>
        </w:p>
        <w:p>
          <w:pPr/>
          <w:r>
            <w:fldChar w:fldCharType="end"/>
          </w:r>
        </w:p>
      </w:sdtContent>
    </w:sdt>
    <w:p>
      <w:pPr>
        <w:spacing w:after="0"/>
        <w:sectPr>
          <w:pgSz w:w="11910" w:h="16840"/>
          <w:pgMar w:header="877" w:footer="982" w:top="1100" w:bottom="1180" w:left="980" w:right="980"/>
        </w:sectPr>
      </w:pPr>
    </w:p>
    <w:p>
      <w:pPr>
        <w:spacing w:before="893"/>
        <w:ind w:left="495" w:right="49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17"/>
          <w:szCs w:val="17"/>
        </w:rPr>
      </w:pPr>
    </w:p>
    <w:p>
      <w:pPr>
        <w:pStyle w:val="BodyText"/>
        <w:spacing w:line="240" w:lineRule="auto"/>
        <w:ind w:left="0" w:right="159"/>
        <w:jc w:val="right"/>
      </w:pPr>
      <w:r>
        <w:rPr/>
        <w:pict>
          <v:shape style="position:absolute;margin-left:56.459999pt;margin-top:-451.787964pt;width:479.2pt;height:587.6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公司、本公司、榕基软件</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福建榕基软件股份有限公司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上海榕基</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上海榕基软件开发有限公司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创华公司</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福州创华电气自动化有限公司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浙江榕基</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浙江榕基信息技术有限公司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五一公司</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榕基五一（北京）信息技术有限公司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榕基工程</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福建榕基软件工程有限公司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河南榕基</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河南榕基信息技术有限公司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中榕基公司</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北京中榕基信息技术有限公司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马鞍山榕基</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马鞍山榕基软件信息科技有限公司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榕基投资</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福建榕基投资有限公司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信阳榕基</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信阳榕基信息技术有限公司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榕基国际</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榕基国际控股有限公司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亿榕信息</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星云大数据</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福建省星云大数据应用服务有限公司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星榕基</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福建星榕基信息科技有限责任公司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福建证监局</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中国证券监督管理委员会福建监管局</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公司主营业务领域、四大业务领域</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电子政务、信息安全、质检三电工程、协同管理等</w:t>
                        </w:r>
                      </w:p>
                    </w:tc>
                  </w:tr>
                  <w:tr>
                    <w:trPr>
                      <w:trHeight w:val="629"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电子政务</w:t>
                        </w:r>
                      </w:p>
                    </w:tc>
                    <w:tc>
                      <w:tcPr>
                        <w:tcW w:w="621"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vMerge w:val="restart"/>
                        <w:tcBorders>
                          <w:top w:val="single" w:sz="4" w:space="0" w:color="000000"/>
                          <w:left w:val="single" w:sz="9" w:space="0" w:color="D3D3D3"/>
                          <w:right w:val="single" w:sz="4" w:space="0" w:color="000000"/>
                        </w:tcBorders>
                      </w:tcPr>
                      <w:p>
                        <w:pPr>
                          <w:pStyle w:val="TableParagraph"/>
                          <w:spacing w:line="316" w:lineRule="auto" w:before="51"/>
                          <w:ind w:left="16" w:right="20"/>
                          <w:jc w:val="left"/>
                          <w:rPr>
                            <w:rFonts w:ascii="宋体" w:hAnsi="宋体" w:cs="宋体" w:eastAsia="宋体" w:hint="default"/>
                            <w:sz w:val="18"/>
                            <w:szCs w:val="18"/>
                          </w:rPr>
                        </w:pPr>
                        <w:r>
                          <w:rPr>
                            <w:rFonts w:ascii="宋体" w:hAnsi="宋体" w:cs="宋体" w:eastAsia="宋体" w:hint="default"/>
                            <w:spacing w:val="-2"/>
                            <w:sz w:val="18"/>
                            <w:szCs w:val="18"/>
                          </w:rPr>
                          <w:t>公共管理组织在政务活动中，综合运用现代信息技术，实现服务职能</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和管理职能重组优化的运作模式。电子政务有狭义和广义之分。狭义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的电子政务专指政府部门的管理和服务，广义的电子政务包括各类行</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5"/>
                            <w:sz w:val="18"/>
                            <w:szCs w:val="18"/>
                          </w:rPr>
                          <w:t>政管理活动，例如电子政府（狭义电子政务）、电子党务、电子政协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电子人大</w:t>
                        </w:r>
                      </w:p>
                    </w:tc>
                  </w:tr>
                  <w:tr>
                    <w:trPr>
                      <w:trHeight w:val="392" w:hRule="exact"/>
                    </w:trPr>
                    <w:tc>
                      <w:tcPr>
                        <w:tcW w:w="3524" w:type="dxa"/>
                        <w:vMerge/>
                        <w:tcBorders>
                          <w:left w:val="single" w:sz="4" w:space="0" w:color="000000"/>
                          <w:right w:val="single" w:sz="9" w:space="0" w:color="D3D3D3"/>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3D3D3"/>
                          <w:right w:val="single" w:sz="4" w:space="0" w:color="000000"/>
                        </w:tcBorders>
                      </w:tcPr>
                      <w:p>
                        <w:pPr/>
                      </w:p>
                    </w:tc>
                  </w:tr>
                  <w:tr>
                    <w:trPr>
                      <w:trHeight w:val="629" w:hRule="exact"/>
                    </w:trPr>
                    <w:tc>
                      <w:tcPr>
                        <w:tcW w:w="3524" w:type="dxa"/>
                        <w:vMerge/>
                        <w:tcBorders>
                          <w:left w:val="single" w:sz="4" w:space="0" w:color="000000"/>
                          <w:bottom w:val="single" w:sz="4" w:space="0" w:color="000000"/>
                          <w:right w:val="single" w:sz="9" w:space="0" w:color="D3D3D3"/>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vMerge/>
                        <w:tcBorders>
                          <w:left w:val="single" w:sz="9" w:space="0" w:color="D3D3D3"/>
                          <w:bottom w:val="single" w:sz="4" w:space="0" w:color="000000"/>
                          <w:right w:val="single" w:sz="4" w:space="0" w:color="000000"/>
                        </w:tcBorders>
                      </w:tcPr>
                      <w:p>
                        <w:pPr/>
                      </w:p>
                    </w:tc>
                  </w:tr>
                  <w:tr>
                    <w:trPr>
                      <w:trHeight w:val="473"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621"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vMerge w:val="restart"/>
                        <w:tcBorders>
                          <w:top w:val="single" w:sz="4" w:space="0" w:color="000000"/>
                          <w:left w:val="single" w:sz="9" w:space="0" w:color="D3D3D3"/>
                          <w:right w:val="single" w:sz="4" w:space="0" w:color="000000"/>
                        </w:tcBorders>
                      </w:tcPr>
                      <w:p>
                        <w:pPr>
                          <w:pStyle w:val="TableParagraph"/>
                          <w:spacing w:line="316" w:lineRule="auto" w:before="51"/>
                          <w:ind w:left="16" w:right="-9"/>
                          <w:jc w:val="both"/>
                          <w:rPr>
                            <w:rFonts w:ascii="宋体" w:hAnsi="宋体" w:cs="宋体" w:eastAsia="宋体" w:hint="default"/>
                            <w:sz w:val="18"/>
                            <w:szCs w:val="18"/>
                          </w:rPr>
                        </w:pPr>
                        <w:r>
                          <w:rPr>
                            <w:rFonts w:ascii="宋体" w:hAnsi="宋体" w:cs="宋体" w:eastAsia="宋体" w:hint="default"/>
                            <w:sz w:val="18"/>
                            <w:szCs w:val="18"/>
                          </w:rPr>
                          <w:t>物联网是指通过各种信息传感设备，实时采集任何需要监控、连接、 互动的物体或过程等各种需要的信息，与互联网结合形成的一个巨大 </w:t>
                        </w:r>
                        <w:r>
                          <w:rPr>
                            <w:rFonts w:ascii="宋体" w:hAnsi="宋体" w:cs="宋体" w:eastAsia="宋体" w:hint="default"/>
                            <w:spacing w:val="-2"/>
                            <w:sz w:val="18"/>
                            <w:szCs w:val="18"/>
                          </w:rPr>
                          <w:t>网络。其目是实现物与物、物与人，所有物品与网络的连接，方便识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别、管理和控制。</w:t>
                        </w:r>
                      </w:p>
                    </w:tc>
                  </w:tr>
                  <w:tr>
                    <w:trPr>
                      <w:trHeight w:val="392" w:hRule="exact"/>
                    </w:trPr>
                    <w:tc>
                      <w:tcPr>
                        <w:tcW w:w="3524" w:type="dxa"/>
                        <w:vMerge/>
                        <w:tcBorders>
                          <w:left w:val="single" w:sz="4" w:space="0" w:color="000000"/>
                          <w:right w:val="single" w:sz="9" w:space="0" w:color="D3D3D3"/>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3D3D3"/>
                          <w:right w:val="single" w:sz="4" w:space="0" w:color="000000"/>
                        </w:tcBorders>
                      </w:tcPr>
                      <w:p>
                        <w:pPr/>
                      </w:p>
                    </w:tc>
                  </w:tr>
                  <w:tr>
                    <w:trPr>
                      <w:trHeight w:val="473" w:hRule="exact"/>
                    </w:trPr>
                    <w:tc>
                      <w:tcPr>
                        <w:tcW w:w="3524" w:type="dxa"/>
                        <w:vMerge/>
                        <w:tcBorders>
                          <w:left w:val="single" w:sz="4" w:space="0" w:color="000000"/>
                          <w:bottom w:val="single" w:sz="4" w:space="0" w:color="000000"/>
                          <w:right w:val="single" w:sz="9" w:space="0" w:color="D3D3D3"/>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vMerge/>
                        <w:tcBorders>
                          <w:left w:val="single" w:sz="9" w:space="0" w:color="D3D3D3"/>
                          <w:bottom w:val="single" w:sz="4" w:space="0" w:color="000000"/>
                          <w:right w:val="single" w:sz="4" w:space="0" w:color="000000"/>
                        </w:tcBorders>
                      </w:tcPr>
                      <w:p>
                        <w:pPr/>
                      </w:p>
                    </w:tc>
                  </w:tr>
                  <w:tr>
                    <w:trPr>
                      <w:trHeight w:val="161"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天平工程</w:t>
                        </w:r>
                      </w:p>
                    </w:tc>
                    <w:tc>
                      <w:tcPr>
                        <w:tcW w:w="621"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vMerge w:val="restart"/>
                        <w:tcBorders>
                          <w:top w:val="single" w:sz="4" w:space="0" w:color="000000"/>
                          <w:left w:val="single" w:sz="9" w:space="0" w:color="D3D3D3"/>
                          <w:right w:val="single" w:sz="4" w:space="0" w:color="000000"/>
                        </w:tcBorders>
                      </w:tcPr>
                      <w:p>
                        <w:pPr>
                          <w:pStyle w:val="TableParagraph"/>
                          <w:spacing w:line="300" w:lineRule="auto" w:before="51"/>
                          <w:ind w:left="16" w:right="113"/>
                          <w:jc w:val="left"/>
                          <w:rPr>
                            <w:rFonts w:ascii="宋体" w:hAnsi="宋体" w:cs="宋体" w:eastAsia="宋体" w:hint="default"/>
                            <w:sz w:val="18"/>
                            <w:szCs w:val="18"/>
                          </w:rPr>
                        </w:pPr>
                        <w:r>
                          <w:rPr>
                            <w:rFonts w:ascii="宋体" w:hAnsi="宋体" w:cs="宋体" w:eastAsia="宋体" w:hint="default"/>
                            <w:spacing w:val="-3"/>
                            <w:sz w:val="18"/>
                            <w:szCs w:val="18"/>
                          </w:rPr>
                          <w:t>最高人民法院在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十二五</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期间，推进全国法院信息化建设的重大举措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是国家电子政务重点业务信息系统建设项目</w:t>
                        </w:r>
                      </w:p>
                    </w:tc>
                  </w:tr>
                  <w:tr>
                    <w:trPr>
                      <w:trHeight w:val="392" w:hRule="exact"/>
                    </w:trPr>
                    <w:tc>
                      <w:tcPr>
                        <w:tcW w:w="3524" w:type="dxa"/>
                        <w:vMerge/>
                        <w:tcBorders>
                          <w:left w:val="single" w:sz="4" w:space="0" w:color="000000"/>
                          <w:right w:val="single" w:sz="9" w:space="0" w:color="D3D3D3"/>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3D3D3"/>
                          <w:right w:val="single" w:sz="4" w:space="0" w:color="000000"/>
                        </w:tcBorders>
                      </w:tcPr>
                      <w:p>
                        <w:pPr/>
                      </w:p>
                    </w:tc>
                  </w:tr>
                  <w:tr>
                    <w:trPr>
                      <w:trHeight w:val="161" w:hRule="exact"/>
                    </w:trPr>
                    <w:tc>
                      <w:tcPr>
                        <w:tcW w:w="3524" w:type="dxa"/>
                        <w:vMerge/>
                        <w:tcBorders>
                          <w:left w:val="single" w:sz="4" w:space="0" w:color="000000"/>
                          <w:bottom w:val="single" w:sz="4" w:space="0" w:color="000000"/>
                          <w:right w:val="single" w:sz="9" w:space="0" w:color="D3D3D3"/>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vMerge/>
                        <w:tcBorders>
                          <w:left w:val="single" w:sz="9" w:space="0" w:color="D3D3D3"/>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before="44"/>
        <w:ind w:left="0" w:right="158"/>
        <w:jc w:val="right"/>
      </w:pPr>
      <w:r>
        <w:rPr/>
        <w:t>，</w:t>
      </w:r>
    </w:p>
    <w:p>
      <w:pPr>
        <w:spacing w:after="0" w:line="240" w:lineRule="auto"/>
        <w:jc w:val="right"/>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524"/>
        <w:gridCol w:w="620"/>
        <w:gridCol w:w="5424"/>
      </w:tblGrid>
      <w:tr>
        <w:trPr>
          <w:trHeight w:val="133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金质工程</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9"/>
              <w:jc w:val="both"/>
              <w:rPr>
                <w:rFonts w:ascii="宋体" w:hAnsi="宋体" w:cs="宋体" w:eastAsia="宋体" w:hint="default"/>
                <w:sz w:val="18"/>
                <w:szCs w:val="18"/>
              </w:rPr>
            </w:pPr>
            <w:r>
              <w:rPr>
                <w:rFonts w:ascii="宋体" w:hAnsi="宋体" w:cs="宋体" w:eastAsia="宋体" w:hint="default"/>
                <w:sz w:val="18"/>
                <w:szCs w:val="18"/>
              </w:rPr>
              <w:t>质量监督检验检疫信息化工程，国家电子政务建设的重要组成部分。 </w:t>
            </w:r>
            <w:r>
              <w:rPr>
                <w:rFonts w:ascii="Times New Roman" w:hAnsi="Times New Roman" w:cs="Times New Roman" w:eastAsia="Times New Roman" w:hint="default"/>
                <w:sz w:val="18"/>
                <w:szCs w:val="18"/>
              </w:rPr>
              <w:t>"</w:t>
            </w:r>
            <w:r>
              <w:rPr>
                <w:rFonts w:ascii="宋体" w:hAnsi="宋体" w:cs="宋体" w:eastAsia="宋体" w:hint="default"/>
                <w:sz w:val="18"/>
                <w:szCs w:val="18"/>
              </w:rPr>
              <w:t>金质工程</w:t>
            </w:r>
            <w:r>
              <w:rPr>
                <w:rFonts w:ascii="Times New Roman" w:hAnsi="Times New Roman" w:cs="Times New Roman" w:eastAsia="Times New Roman" w:hint="default"/>
                <w:sz w:val="18"/>
                <w:szCs w:val="18"/>
              </w:rPr>
              <w:t>"</w:t>
            </w:r>
            <w:r>
              <w:rPr>
                <w:rFonts w:ascii="宋体" w:hAnsi="宋体" w:cs="宋体" w:eastAsia="宋体" w:hint="default"/>
                <w:sz w:val="18"/>
                <w:szCs w:val="18"/>
              </w:rPr>
              <w:t>的建设促进了各级质检机关向管理服务型转变，形成全国 </w:t>
            </w:r>
            <w:r>
              <w:rPr>
                <w:rFonts w:ascii="宋体" w:hAnsi="宋体" w:cs="宋体" w:eastAsia="宋体" w:hint="default"/>
                <w:spacing w:val="-2"/>
                <w:sz w:val="18"/>
                <w:szCs w:val="18"/>
              </w:rPr>
              <w:t>统一的质检网络，促进质检系统执法电子化、信息化，为生产企业和</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进出口企业带来更大的方便与效益</w:t>
            </w:r>
          </w:p>
        </w:tc>
      </w:tr>
      <w:tr>
        <w:trPr>
          <w:trHeight w:val="133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中国电子检验检疫主干系统</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中国电子检验检疫在全国范围的信息化平台及应用系统；进一步完 善、整合和推广中国电子检验检疫</w:t>
            </w:r>
            <w:r>
              <w:rPr>
                <w:rFonts w:ascii="Times New Roman" w:hAnsi="Times New Roman" w:cs="Times New Roman" w:eastAsia="Times New Roman" w:hint="default"/>
                <w:sz w:val="18"/>
                <w:szCs w:val="18"/>
              </w:rPr>
              <w:t>"</w:t>
            </w:r>
            <w:r>
              <w:rPr>
                <w:rFonts w:ascii="宋体" w:hAnsi="宋体" w:cs="宋体" w:eastAsia="宋体" w:hint="default"/>
                <w:sz w:val="18"/>
                <w:szCs w:val="18"/>
              </w:rPr>
              <w:t>十一五</w:t>
            </w:r>
            <w:r>
              <w:rPr>
                <w:rFonts w:ascii="Times New Roman" w:hAnsi="Times New Roman" w:cs="Times New Roman" w:eastAsia="Times New Roman" w:hint="default"/>
                <w:sz w:val="18"/>
                <w:szCs w:val="18"/>
              </w:rPr>
              <w:t>"</w:t>
            </w:r>
            <w:r>
              <w:rPr>
                <w:rFonts w:ascii="宋体" w:hAnsi="宋体" w:cs="宋体" w:eastAsia="宋体" w:hint="default"/>
                <w:sz w:val="18"/>
                <w:szCs w:val="18"/>
              </w:rPr>
              <w:t>时期建成的各项信息化应 </w:t>
            </w:r>
            <w:r>
              <w:rPr>
                <w:rFonts w:ascii="宋体" w:hAnsi="宋体" w:cs="宋体" w:eastAsia="宋体" w:hint="default"/>
                <w:spacing w:val="-2"/>
                <w:sz w:val="18"/>
                <w:szCs w:val="18"/>
              </w:rPr>
              <w:t>用而建成高速、泛在的信息基础云设施、实现数据大集中、应用大集</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中、支撑平台大集中的项目</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三电工程</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金质工程</w:t>
            </w:r>
            <w:r>
              <w:rPr>
                <w:rFonts w:ascii="Times New Roman" w:hAnsi="Times New Roman" w:cs="Times New Roman" w:eastAsia="Times New Roman" w:hint="default"/>
                <w:sz w:val="18"/>
                <w:szCs w:val="18"/>
              </w:rPr>
              <w:t>"</w:t>
            </w:r>
            <w:r>
              <w:rPr>
                <w:rFonts w:ascii="宋体" w:hAnsi="宋体" w:cs="宋体" w:eastAsia="宋体" w:hint="default"/>
                <w:sz w:val="18"/>
                <w:szCs w:val="18"/>
              </w:rPr>
              <w:t>的重要组成部分，包括</w:t>
            </w:r>
            <w:r>
              <w:rPr>
                <w:rFonts w:ascii="Times New Roman" w:hAnsi="Times New Roman" w:cs="Times New Roman" w:eastAsia="Times New Roman" w:hint="default"/>
                <w:sz w:val="18"/>
                <w:szCs w:val="18"/>
              </w:rPr>
              <w:t>"</w:t>
            </w:r>
            <w:r>
              <w:rPr>
                <w:rFonts w:ascii="宋体" w:hAnsi="宋体" w:cs="宋体" w:eastAsia="宋体" w:hint="default"/>
                <w:sz w:val="18"/>
                <w:szCs w:val="18"/>
              </w:rPr>
              <w:t>电子申报、电子监管、电子放行</w:t>
            </w:r>
            <w:r>
              <w:rPr>
                <w:rFonts w:ascii="Times New Roman" w:hAnsi="Times New Roman" w:cs="Times New Roman" w:eastAsia="Times New Roman"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三大电子化业务应用</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协同管理软件</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基于网络的、实现组织内部多人或者多组织共同完成管理事务、提高</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组织的灵活性和应变能力的软件</w:t>
            </w:r>
          </w:p>
        </w:tc>
      </w:tr>
    </w:tbl>
    <w:p>
      <w:pPr>
        <w:spacing w:after="0" w:line="319"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71.119995pt;margin-top:272.160004pt;width:362.65pt;height:20.8pt;mso-position-horizontal-relative:page;mso-position-vertical-relative:page;z-index:-1148440" coordorigin="3422,5443" coordsize="7253,416">
            <v:group style="position:absolute;left:3434;top:5455;width:2;height:392" coordorigin="3434,5455" coordsize="2,392">
              <v:shape style="position:absolute;left:3434;top:5455;width:2;height:392" coordorigin="3434,5455" coordsize="0,392" path="m3434,5455l3434,5846e" filled="false" stroked="true" strokeweight="1.2pt" strokecolor="#ffffff">
                <v:path arrowok="t"/>
              </v:shape>
            </v:group>
            <v:group style="position:absolute;left:3446;top:5455;width:7229;height:392" coordorigin="3446,5455" coordsize="7229,392">
              <v:shape style="position:absolute;left:3446;top:5455;width:7229;height:392" coordorigin="3446,5455" coordsize="7229,392" path="m3446,5846l10675,5846,10675,5455,3446,5455,3446,5846xe" filled="true" fillcolor="#ffffff" stroked="false">
                <v:path arrowok="t"/>
                <v:fill type="solid"/>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pStyle w:val="Heading1"/>
        <w:spacing w:line="240" w:lineRule="auto"/>
        <w:ind w:left="2644" w:right="1258"/>
        <w:jc w:val="left"/>
        <w:rPr>
          <w:b w:val="0"/>
          <w:bCs w:val="0"/>
        </w:rPr>
      </w:pPr>
      <w:bookmarkStart w:name="_TOC_250010" w:id="2"/>
      <w:r>
        <w:rPr/>
        <w:t>第二节</w:t>
      </w:r>
      <w:r>
        <w:rPr>
          <w:spacing w:val="-11"/>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258"/>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1"/>
        <w:gridCol w:w="2976"/>
        <w:gridCol w:w="2133"/>
        <w:gridCol w:w="2188"/>
      </w:tblGrid>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榕基软件</w:t>
            </w:r>
          </w:p>
        </w:tc>
        <w:tc>
          <w:tcPr>
            <w:tcW w:w="2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002474</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福建榕基软件股份有限公司</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榕基软件</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FUJIAN RONGJI </w:t>
            </w:r>
            <w:r>
              <w:rPr>
                <w:rFonts w:ascii="Times New Roman"/>
                <w:spacing w:val="-4"/>
                <w:sz w:val="18"/>
              </w:rPr>
              <w:t>SOFTWARE </w:t>
            </w:r>
            <w:r>
              <w:rPr>
                <w:rFonts w:ascii="Times New Roman"/>
                <w:sz w:val="18"/>
              </w:rPr>
              <w:t>Co.,</w:t>
            </w:r>
            <w:r>
              <w:rPr>
                <w:rFonts w:ascii="Times New Roman"/>
                <w:spacing w:val="-1"/>
                <w:sz w:val="18"/>
              </w:rPr>
              <w:t> </w:t>
            </w:r>
            <w:r>
              <w:rPr>
                <w:rFonts w:ascii="Times New Roman"/>
                <w:sz w:val="18"/>
              </w:rPr>
              <w:t>Ltd.</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89"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RONGJI</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pacing w:val="-4"/>
                <w:sz w:val="18"/>
                <w:szCs w:val="18"/>
              </w:rPr>
              <w:t>SOFTWARE</w:t>
            </w:r>
            <w:r>
              <w:rPr>
                <w:rFonts w:ascii="Times New Roman" w:hAnsi="Times New Roman" w:cs="Times New Roman" w:eastAsia="Times New Roman" w:hint="default"/>
                <w:sz w:val="18"/>
                <w:szCs w:val="18"/>
              </w:rPr>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鲁峰</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福建省福州市鼓楼区铜盘路福州软件园产业基地</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350003</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福建省福州市鼓楼区铜盘路福州软件园产业基地</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350003</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1">
              <w:r>
                <w:rPr>
                  <w:rFonts w:ascii="Times New Roman"/>
                  <w:sz w:val="18"/>
                </w:rPr>
                <w:t>http://www.rongji.com</w:t>
              </w:r>
            </w:hyperlink>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2">
              <w:r>
                <w:rPr>
                  <w:rFonts w:ascii="Times New Roman"/>
                  <w:sz w:val="18"/>
                </w:rPr>
                <w:t>rongji@rongji.com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258"/>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8"/>
        <w:gridCol w:w="3190"/>
        <w:gridCol w:w="3190"/>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万孝雄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陈略</w:t>
            </w:r>
          </w:p>
        </w:tc>
      </w:tr>
      <w:tr>
        <w:trPr>
          <w:trHeight w:val="161" w:hRule="exact"/>
        </w:trPr>
        <w:tc>
          <w:tcPr>
            <w:tcW w:w="3178"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vMerge w:val="restart"/>
            <w:tcBorders>
              <w:top w:val="single" w:sz="4" w:space="0" w:color="000000"/>
              <w:left w:val="single" w:sz="9" w:space="0" w:color="D3D3D3"/>
              <w:right w:val="single" w:sz="4" w:space="0" w:color="000000"/>
            </w:tcBorders>
          </w:tcPr>
          <w:p>
            <w:pPr>
              <w:pStyle w:val="TableParagraph"/>
              <w:spacing w:line="316" w:lineRule="auto" w:before="51"/>
              <w:ind w:left="16" w:right="95"/>
              <w:jc w:val="left"/>
              <w:rPr>
                <w:rFonts w:ascii="宋体" w:hAnsi="宋体" w:cs="宋体" w:eastAsia="宋体" w:hint="default"/>
                <w:sz w:val="18"/>
                <w:szCs w:val="18"/>
              </w:rPr>
            </w:pPr>
            <w:r>
              <w:rPr>
                <w:rFonts w:ascii="宋体" w:hAnsi="宋体" w:cs="宋体" w:eastAsia="宋体" w:hint="default"/>
                <w:sz w:val="18"/>
                <w:szCs w:val="18"/>
              </w:rPr>
              <w:t>福州市鼓楼区铜盘路福州软件园产业基 地</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福州市鼓楼区铜盘路福州软件园产业基 地</w:t>
            </w:r>
          </w:p>
        </w:tc>
      </w:tr>
      <w:tr>
        <w:trPr>
          <w:trHeight w:val="392" w:hRule="exact"/>
        </w:trPr>
        <w:tc>
          <w:tcPr>
            <w:tcW w:w="317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3D3D3"/>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8"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vMerge/>
            <w:tcBorders>
              <w:left w:val="single" w:sz="9" w:space="0" w:color="D3D3D3"/>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0591-83517761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0591-87303569</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0591-87862566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0591-87862566</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hyperlink r:id="rId13">
              <w:r>
                <w:rPr>
                  <w:rFonts w:ascii="Times New Roman"/>
                  <w:sz w:val="18"/>
                </w:rPr>
                <w:t>wanxiaoxiong@rongji.com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4">
              <w:r>
                <w:rPr>
                  <w:rFonts w:ascii="Times New Roman"/>
                  <w:sz w:val="18"/>
                </w:rPr>
                <w:t>chenlv</w:t>
              </w:r>
            </w:hyperlink>
            <w:hyperlink r:id="rId15">
              <w:r>
                <w:rPr>
                  <w:rFonts w:ascii="Times New Roman"/>
                  <w:sz w:val="18"/>
                </w:rPr>
                <w:t>e@rongji.com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258"/>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2"/>
        <w:gridCol w:w="5575"/>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6">
              <w:r>
                <w:rPr>
                  <w:rFonts w:ascii="Times New Roman"/>
                  <w:sz w:val="18"/>
                </w:rPr>
                <w:t>http://www.cninfo.com.cn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b/>
          <w:bCs/>
          <w:sz w:val="19"/>
          <w:szCs w:val="19"/>
        </w:rPr>
      </w:pPr>
    </w:p>
    <w:p>
      <w:pPr>
        <w:pStyle w:val="Heading2"/>
        <w:spacing w:line="240" w:lineRule="auto" w:before="26"/>
        <w:ind w:right="1258"/>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913500006285075795</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1258"/>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258"/>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0"/>
        <w:gridCol w:w="6917"/>
      </w:tblGrid>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北京市朝阳区建国门外大街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号赛特广场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楼</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林庆瑜、杨莹</w:t>
            </w:r>
          </w:p>
        </w:tc>
      </w:tr>
    </w:tbl>
    <w:p>
      <w:pPr>
        <w:pStyle w:val="BodyText"/>
        <w:spacing w:line="240" w:lineRule="auto" w:before="51"/>
        <w:ind w:right="1258"/>
        <w:jc w:val="left"/>
      </w:pPr>
      <w:r>
        <w:rPr/>
        <w:t>公司聘请的报告期内履行持续督导职责的保荐机构</w:t>
      </w:r>
    </w:p>
    <w:p>
      <w:pPr>
        <w:pStyle w:val="BodyText"/>
        <w:spacing w:line="338" w:lineRule="auto" w:before="11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258"/>
        <w:jc w:val="left"/>
        <w:rPr>
          <w:b w:val="0"/>
          <w:bCs w:val="0"/>
        </w:rPr>
      </w:pP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58"/>
        <w:jc w:val="left"/>
      </w:pPr>
      <w:r>
        <w:rPr/>
        <w:t>公司是否需追溯调整或重述以前年度会计数据</w:t>
      </w:r>
    </w:p>
    <w:p>
      <w:pPr>
        <w:pStyle w:val="BodyText"/>
        <w:spacing w:line="240" w:lineRule="auto" w:before="116"/>
        <w:ind w:left="153" w:right="125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0"/>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742,004,732.30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702,592,311.90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623,602,054.84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32,763,224.88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24,845,319.23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31.87%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15,830,627.57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5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19,818,711.10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12,405,680.66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59.76%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-466,762.58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85,965,802.24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57,174,908.96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50.36%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18,002,162.93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0.0527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0.0399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0.0254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0.0527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0.0399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0.0254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0.51%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2,592,957,508.72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2,135,196,120.20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21.44%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1,906,471,210.30</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1,424,157,730.23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1,403,645,637.60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1,367,295,745.91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1258"/>
        <w:jc w:val="left"/>
        <w:rPr>
          <w:b w:val="0"/>
          <w:bCs w:val="0"/>
        </w:rPr>
      </w:pP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8"/>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1258"/>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16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1258"/>
        <w:jc w:val="left"/>
        <w:rPr>
          <w:b w:val="0"/>
          <w:bCs w:val="0"/>
        </w:rPr>
      </w:pPr>
      <w:r>
        <w:rPr/>
        <w:t>八、分季度主要财务指标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143,863,417.49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154,547,726.20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155,900,669.85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287,692,918.76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10,856,497.57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9,938,675.53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4,488,566.51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7,479,485.27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5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6,531,278.56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8,631,467.51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-3,099,651.91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7,755,616.94</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-27,986,029.38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-15,600,483.19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16,769,073.99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112,783,240.82</w:t>
            </w:r>
          </w:p>
        </w:tc>
      </w:tr>
    </w:tbl>
    <w:p>
      <w:pPr>
        <w:pStyle w:val="BodyText"/>
        <w:spacing w:line="240" w:lineRule="auto" w:before="51"/>
        <w:ind w:right="1258"/>
        <w:jc w:val="left"/>
      </w:pPr>
      <w:r>
        <w:rPr/>
        <w:t>上述财务指标或其加总数是否与公司已披露季度报告、半年度报告相关财务指标存在重大差异</w:t>
      </w:r>
    </w:p>
    <w:p>
      <w:pPr>
        <w:pStyle w:val="BodyText"/>
        <w:spacing w:line="240" w:lineRule="auto" w:before="116"/>
        <w:ind w:left="153" w:right="125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right="1258"/>
        <w:jc w:val="left"/>
        <w:rPr>
          <w:b w:val="0"/>
          <w:bCs w:val="0"/>
        </w:rPr>
      </w:pPr>
      <w:r>
        <w:rPr/>
        <w:t>九、非经常性损益项目及金额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1"/>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-567,281.26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-529,037.33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7,580,033.95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6,613,758.07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5,822,237.71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8,049,481.20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8,326,697.62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14,208,765.40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-26,463.73</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1" w:type="dxa"/>
            <w:tcBorders>
              <w:top w:val="single" w:sz="4" w:space="0" w:color="000000"/>
              <w:left w:val="single" w:sz="13" w:space="0" w:color="D3D3D3"/>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-45,712.31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-39,601.21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1,981,441.42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1,915,390.93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3,694,861.49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109,814.96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10,676.55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-849.74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12,944,513.78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12,439,638.57</w:t>
            </w:r>
          </w:p>
        </w:tc>
        <w:tc>
          <w:tcPr>
            <w:tcW w:w="1522"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16,297,390.15</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pStyle w:val="BodyText"/>
        <w:spacing w:line="240" w:lineRule="auto" w:before="44"/>
        <w:ind w:left="153"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1"/>
        <w:ind w:right="13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69"/>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4"/>
        <w:gridCol w:w="2125"/>
        <w:gridCol w:w="5178"/>
      </w:tblGrid>
      <w:tr>
        <w:trPr>
          <w:trHeight w:val="402" w:hRule="exact"/>
        </w:trPr>
        <w:tc>
          <w:tcPr>
            <w:tcW w:w="22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47"/>
              <w:jc w:val="right"/>
              <w:rPr>
                <w:rFonts w:ascii="宋体" w:hAnsi="宋体" w:cs="宋体" w:eastAsia="宋体" w:hint="default"/>
                <w:sz w:val="18"/>
                <w:szCs w:val="18"/>
              </w:rPr>
            </w:pPr>
            <w:r>
              <w:rPr>
                <w:rFonts w:ascii="宋体" w:hAnsi="宋体" w:cs="宋体" w:eastAsia="宋体" w:hint="default"/>
                <w:sz w:val="18"/>
                <w:szCs w:val="18"/>
              </w:rPr>
              <w:t>项目</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7"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71"/>
              <w:jc w:val="right"/>
              <w:rPr>
                <w:rFonts w:ascii="宋体" w:hAnsi="宋体" w:cs="宋体" w:eastAsia="宋体" w:hint="default"/>
                <w:sz w:val="18"/>
                <w:szCs w:val="18"/>
              </w:rPr>
            </w:pPr>
            <w:r>
              <w:rPr>
                <w:rFonts w:ascii="宋体" w:hAnsi="宋体" w:cs="宋体" w:eastAsia="宋体" w:hint="default"/>
                <w:sz w:val="18"/>
                <w:szCs w:val="18"/>
              </w:rPr>
              <w:t>增值税税收返还</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48" w:right="0"/>
              <w:jc w:val="left"/>
              <w:rPr>
                <w:rFonts w:ascii="Times New Roman" w:hAnsi="Times New Roman" w:cs="Times New Roman" w:eastAsia="Times New Roman" w:hint="default"/>
                <w:sz w:val="18"/>
                <w:szCs w:val="18"/>
              </w:rPr>
            </w:pPr>
            <w:r>
              <w:rPr>
                <w:rFonts w:ascii="Times New Roman"/>
                <w:sz w:val="18"/>
              </w:rPr>
              <w:t>1,910,985.29</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与公司经常性经营活动相关</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428" w:right="3464"/>
        <w:jc w:val="center"/>
        <w:rPr>
          <w:b w:val="0"/>
          <w:bCs w:val="0"/>
        </w:rPr>
      </w:pPr>
      <w:bookmarkStart w:name="_TOC_250009" w:id="3"/>
      <w:r>
        <w:rPr/>
        <w:t>第三节</w:t>
      </w:r>
      <w:r>
        <w:rPr>
          <w:spacing w:val="-1"/>
        </w:rPr>
        <w:t> </w:t>
      </w:r>
      <w:r>
        <w:rPr/>
        <w:t>公司业务概要</w:t>
      </w:r>
      <w:bookmarkEnd w:id="3"/>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184"/>
        <w:jc w:val="left"/>
        <w:rPr>
          <w:b w:val="0"/>
          <w:bCs w:val="0"/>
        </w:rPr>
      </w:pP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3" w:right="6751"/>
        <w:jc w:val="left"/>
      </w:pPr>
      <w:r>
        <w:rPr/>
        <w:t>公司是否需要遵守特殊行业的披露要求 否</w:t>
      </w:r>
    </w:p>
    <w:p>
      <w:pPr>
        <w:pStyle w:val="BodyText"/>
        <w:spacing w:line="316" w:lineRule="auto" w:before="47"/>
        <w:ind w:left="153" w:right="189" w:firstLine="360"/>
        <w:jc w:val="both"/>
      </w:pPr>
      <w:r>
        <w:rPr>
          <w:spacing w:val="-2"/>
        </w:rPr>
        <w:t>公司一直专注于行业应用软件研发、系统集成和运维服务，为党政、质检、能源、司法、环保等行业提供信息系统全生</w:t>
      </w:r>
      <w:r>
        <w:rPr/>
        <w:t> </w:t>
      </w:r>
      <w:r>
        <w:rPr>
          <w:spacing w:val="-2"/>
        </w:rPr>
        <w:t>命周期、全方位的专业服务。公司是海西软件产业的龙头企业，是国内电子政务和协同管理细分领域的领先服务厂商，是国</w:t>
      </w:r>
      <w:r>
        <w:rPr>
          <w:spacing w:val="-66"/>
        </w:rPr>
        <w:t> </w:t>
      </w:r>
      <w:r>
        <w:rPr>
          <w:spacing w:val="-66"/>
        </w:rPr>
      </w:r>
      <w:r>
        <w:rPr>
          <w:spacing w:val="-2"/>
        </w:rPr>
        <w:t>内质检行业信息化服务的领导者，是法院、司法行政、环保等行业信息化的重要服务厂商，是国内通用电子政务和协同管理</w:t>
      </w:r>
      <w:r>
        <w:rPr>
          <w:spacing w:val="-66"/>
        </w:rPr>
        <w:t> </w:t>
      </w:r>
      <w:r>
        <w:rPr>
          <w:spacing w:val="-66"/>
        </w:rPr>
      </w:r>
      <w:r>
        <w:rPr/>
        <w:t>细分领域最具竞争力、拥有最多实用化客户的厂商之一。</w:t>
      </w:r>
    </w:p>
    <w:p>
      <w:pPr>
        <w:pStyle w:val="BodyText"/>
        <w:spacing w:line="316" w:lineRule="auto" w:before="81"/>
        <w:ind w:left="153" w:right="191" w:firstLine="360"/>
        <w:jc w:val="both"/>
      </w:pPr>
      <w:r>
        <w:rPr>
          <w:spacing w:val="-2"/>
        </w:rPr>
        <w:t>报告期内，公司进一步推进软件“行业化、产品化、服务化”经营战略，积极进行技术创新和商业模式创新，进一步提</w:t>
      </w:r>
      <w:r>
        <w:rPr/>
        <w:t> 升公司的核心竞争力，积极培育和拓展大数据、物联网、自主可控等新技术新业务，公司经营业绩实现了稳健增长。</w:t>
      </w:r>
    </w:p>
    <w:p>
      <w:pPr>
        <w:pStyle w:val="BodyText"/>
        <w:spacing w:line="240" w:lineRule="auto" w:before="81"/>
        <w:ind w:left="514" w:right="184"/>
        <w:jc w:val="left"/>
      </w:pPr>
      <w:r>
        <w:rPr>
          <w:rFonts w:ascii="Times New Roman" w:hAnsi="Times New Roman" w:cs="Times New Roman" w:eastAsia="Times New Roman" w:hint="default"/>
        </w:rPr>
        <w:t>1</w:t>
      </w:r>
      <w:r>
        <w:rPr/>
        <w:t>、电子政务领域</w:t>
      </w:r>
    </w:p>
    <w:p>
      <w:pPr>
        <w:pStyle w:val="BodyText"/>
        <w:spacing w:line="300" w:lineRule="auto" w:before="124"/>
        <w:ind w:right="188" w:firstLine="36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18"/>
        </w:rPr>
        <w:t> </w:t>
      </w:r>
      <w:r>
        <w:rPr>
          <w:spacing w:val="-3"/>
        </w:rPr>
        <w:t>年以来，政务信息化作为《“十三五”国家信息化规划》中国家信息化的重要领域，正不断向云化、平台化、互联</w:t>
      </w:r>
      <w:r>
        <w:rPr/>
        <w:t> 网化、智能化、服务化方向发展，市场规模呈现爆发性增长，继续保持快速发展态势。</w:t>
      </w:r>
    </w:p>
    <w:p>
      <w:pPr>
        <w:pStyle w:val="BodyText"/>
        <w:spacing w:line="312" w:lineRule="auto" w:before="94"/>
        <w:ind w:right="189" w:firstLine="360"/>
        <w:jc w:val="both"/>
      </w:pPr>
      <w:r>
        <w:rPr>
          <w:spacing w:val="-2"/>
        </w:rPr>
        <w:t>报告期内，在电子政务领域，公司持续保持较高的研发投入，积极进行大数据、自主可控等新术研究以及电子政务行业</w:t>
      </w:r>
      <w:r>
        <w:rPr/>
        <w:t> 应用的研发，在互联网</w:t>
      </w:r>
      <w:r>
        <w:rPr>
          <w:rFonts w:ascii="Times New Roman" w:hAnsi="Times New Roman" w:cs="Times New Roman" w:eastAsia="Times New Roman" w:hint="default"/>
        </w:rPr>
        <w:t>+</w:t>
      </w:r>
      <w:r>
        <w:rPr/>
        <w:t>政务、互联网</w:t>
      </w:r>
      <w:r>
        <w:rPr>
          <w:rFonts w:ascii="Times New Roman" w:hAnsi="Times New Roman" w:cs="Times New Roman" w:eastAsia="Times New Roman" w:hint="default"/>
        </w:rPr>
        <w:t>+</w:t>
      </w:r>
      <w:r>
        <w:rPr/>
        <w:t>党建、安全可靠、协同管理、法院、司法行政以及大数据、中间件等领域获得了</w:t>
      </w:r>
      <w:r>
        <w:rPr>
          <w:spacing w:val="-46"/>
        </w:rPr>
        <w:t> </w:t>
      </w:r>
      <w:r>
        <w:rPr>
          <w:rFonts w:ascii="Times New Roman" w:hAnsi="Times New Roman" w:cs="Times New Roman" w:eastAsia="Times New Roman" w:hint="default"/>
        </w:rPr>
        <w:t>20 </w:t>
      </w:r>
      <w:r>
        <w:rPr>
          <w:spacing w:val="-2"/>
        </w:rPr>
        <w:t>多项自主知识产权的软件产品和解决方案，在全国各地积极推广应用，为提升公司在电子政务领域的竞争优势、实现公司经</w:t>
      </w:r>
      <w:r>
        <w:rPr>
          <w:spacing w:val="-66"/>
        </w:rPr>
        <w:t> </w:t>
      </w:r>
      <w:r>
        <w:rPr>
          <w:spacing w:val="-66"/>
        </w:rPr>
      </w:r>
      <w:r>
        <w:rPr/>
        <w:t>营业绩的持续稳健增长提供了有效支撑。</w:t>
      </w:r>
    </w:p>
    <w:p>
      <w:pPr>
        <w:pStyle w:val="BodyText"/>
        <w:spacing w:line="240" w:lineRule="auto" w:before="85"/>
        <w:ind w:left="514" w:right="184"/>
        <w:jc w:val="left"/>
      </w:pPr>
      <w:r>
        <w:rPr/>
        <w:t>（</w:t>
      </w:r>
      <w:r>
        <w:rPr>
          <w:rFonts w:ascii="Times New Roman" w:hAnsi="Times New Roman" w:cs="Times New Roman" w:eastAsia="Times New Roman" w:hint="default"/>
        </w:rPr>
        <w:t>1</w:t>
      </w:r>
      <w:r>
        <w:rPr/>
        <w:t>）互联网</w:t>
      </w:r>
      <w:r>
        <w:rPr>
          <w:rFonts w:ascii="Times New Roman" w:hAnsi="Times New Roman" w:cs="Times New Roman" w:eastAsia="Times New Roman" w:hint="default"/>
        </w:rPr>
        <w:t>+</w:t>
      </w:r>
      <w:r>
        <w:rPr/>
        <w:t>政务</w:t>
      </w:r>
    </w:p>
    <w:p>
      <w:pPr>
        <w:pStyle w:val="BodyText"/>
        <w:spacing w:line="300" w:lineRule="auto" w:before="124"/>
        <w:ind w:right="184" w:firstLine="360"/>
        <w:jc w:val="left"/>
      </w:pPr>
      <w:r>
        <w:rPr>
          <w:rFonts w:ascii="Times New Roman" w:hAnsi="Times New Roman" w:cs="Times New Roman" w:eastAsia="Times New Roman" w:hint="default"/>
        </w:rPr>
        <w:t>2016</w:t>
      </w:r>
      <w:r>
        <w:rPr/>
        <w:t>、</w:t>
      </w:r>
      <w:r>
        <w:rPr>
          <w:rFonts w:ascii="Times New Roman" w:hAnsi="Times New Roman" w:cs="Times New Roman" w:eastAsia="Times New Roman" w:hint="default"/>
        </w:rPr>
        <w:t>2017 </w:t>
      </w:r>
      <w:r>
        <w:rPr>
          <w:spacing w:val="-2"/>
        </w:rPr>
        <w:t>年度，国务院发布了多个重要文件：《国务院办公厅关于转发国家发展改革委等部门推进“互联网</w:t>
      </w:r>
      <w:r>
        <w:rPr>
          <w:rFonts w:ascii="Times New Roman" w:hAnsi="Times New Roman" w:cs="Times New Roman" w:eastAsia="Times New Roman" w:hint="default"/>
          <w:spacing w:val="-2"/>
        </w:rPr>
        <w:t>+</w:t>
      </w:r>
      <w:r>
        <w:rPr>
          <w:spacing w:val="-2"/>
        </w:rPr>
        <w:t>政务服</w:t>
      </w:r>
      <w:r>
        <w:rPr/>
        <w:t> </w:t>
      </w:r>
      <w:r>
        <w:rPr>
          <w:spacing w:val="-3"/>
        </w:rPr>
        <w:t>务”开展信息惠民试点实施方案的通知》（国办发〔</w:t>
      </w:r>
      <w:r>
        <w:rPr>
          <w:rFonts w:ascii="Times New Roman" w:hAnsi="Times New Roman" w:cs="Times New Roman" w:eastAsia="Times New Roman" w:hint="default"/>
          <w:spacing w:val="-3"/>
        </w:rPr>
        <w:t>2016</w:t>
      </w:r>
      <w:r>
        <w:rPr>
          <w:spacing w:val="-3"/>
        </w:rPr>
        <w:t>〕</w:t>
      </w:r>
      <w:r>
        <w:rPr>
          <w:rFonts w:ascii="Times New Roman" w:hAnsi="Times New Roman" w:cs="Times New Roman" w:eastAsia="Times New Roman" w:hint="default"/>
          <w:spacing w:val="-3"/>
        </w:rPr>
        <w:t>23</w:t>
      </w:r>
      <w:r>
        <w:rPr>
          <w:rFonts w:ascii="Times New Roman" w:hAnsi="Times New Roman" w:cs="Times New Roman" w:eastAsia="Times New Roman" w:hint="default"/>
        </w:rPr>
        <w:t> </w:t>
      </w:r>
      <w:r>
        <w:rPr>
          <w:spacing w:val="-7"/>
        </w:rPr>
        <w:t>号）、《国务院关于加快推进“互联网</w:t>
      </w:r>
      <w:r>
        <w:rPr>
          <w:rFonts w:ascii="Times New Roman" w:hAnsi="Times New Roman" w:cs="Times New Roman" w:eastAsia="Times New Roman" w:hint="default"/>
          <w:spacing w:val="-7"/>
        </w:rPr>
        <w:t>+</w:t>
      </w:r>
      <w:r>
        <w:rPr>
          <w:spacing w:val="-7"/>
        </w:rPr>
        <w:t>政务服务”工作的指导</w:t>
      </w:r>
      <w:r>
        <w:rPr>
          <w:spacing w:val="-75"/>
        </w:rPr>
        <w:t> </w:t>
      </w:r>
      <w:r>
        <w:rPr>
          <w:spacing w:val="-7"/>
        </w:rPr>
        <w:t>意见》（国发〔</w:t>
      </w:r>
      <w:r>
        <w:rPr>
          <w:rFonts w:ascii="Times New Roman" w:hAnsi="Times New Roman" w:cs="Times New Roman" w:eastAsia="Times New Roman" w:hint="default"/>
          <w:spacing w:val="-7"/>
        </w:rPr>
        <w:t>2016</w:t>
      </w:r>
      <w:r>
        <w:rPr>
          <w:spacing w:val="-7"/>
        </w:rPr>
        <w:t>〕</w:t>
      </w:r>
      <w:r>
        <w:rPr>
          <w:rFonts w:ascii="Times New Roman" w:hAnsi="Times New Roman" w:cs="Times New Roman" w:eastAsia="Times New Roman" w:hint="default"/>
          <w:spacing w:val="-7"/>
        </w:rPr>
        <w:t>55</w:t>
      </w:r>
      <w:r>
        <w:rPr>
          <w:rFonts w:ascii="Times New Roman" w:hAnsi="Times New Roman" w:cs="Times New Roman" w:eastAsia="Times New Roman" w:hint="default"/>
        </w:rPr>
        <w:t> </w:t>
      </w:r>
      <w:r>
        <w:rPr>
          <w:spacing w:val="-10"/>
        </w:rPr>
        <w:t>号）、《“互联网</w:t>
      </w:r>
      <w:r>
        <w:rPr>
          <w:rFonts w:ascii="Times New Roman" w:hAnsi="Times New Roman" w:cs="Times New Roman" w:eastAsia="Times New Roman" w:hint="default"/>
          <w:spacing w:val="-10"/>
        </w:rPr>
        <w:t>+</w:t>
      </w:r>
      <w:r>
        <w:rPr>
          <w:spacing w:val="-10"/>
        </w:rPr>
        <w:t>政务服务”技术体系建设指南》（国办函〔</w:t>
      </w:r>
      <w:r>
        <w:rPr>
          <w:rFonts w:ascii="Times New Roman" w:hAnsi="Times New Roman" w:cs="Times New Roman" w:eastAsia="Times New Roman" w:hint="default"/>
          <w:spacing w:val="-10"/>
        </w:rPr>
        <w:t>2016</w:t>
      </w:r>
      <w:r>
        <w:rPr>
          <w:spacing w:val="-10"/>
        </w:rPr>
        <w:t>〕</w:t>
      </w:r>
      <w:r>
        <w:rPr>
          <w:rFonts w:ascii="Times New Roman" w:hAnsi="Times New Roman" w:cs="Times New Roman" w:eastAsia="Times New Roman" w:hint="default"/>
          <w:spacing w:val="-10"/>
        </w:rPr>
        <w:t>108</w:t>
      </w:r>
      <w:r>
        <w:rPr>
          <w:rFonts w:ascii="Times New Roman" w:hAnsi="Times New Roman" w:cs="Times New Roman" w:eastAsia="Times New Roman" w:hint="default"/>
        </w:rPr>
        <w:t> </w:t>
      </w:r>
      <w:r>
        <w:rPr>
          <w:spacing w:val="-14"/>
        </w:rPr>
        <w:t>号）、《国务院办公厅关于印</w:t>
      </w:r>
      <w:r>
        <w:rPr>
          <w:spacing w:val="-82"/>
        </w:rPr>
        <w:t> </w:t>
      </w:r>
      <w:r>
        <w:rPr>
          <w:spacing w:val="-82"/>
        </w:rPr>
      </w:r>
      <w:r>
        <w:rPr>
          <w:spacing w:val="-7"/>
        </w:rPr>
        <w:t>发政务信息系统整合共享实施方案的通知》（国办发〔</w:t>
      </w:r>
      <w:r>
        <w:rPr>
          <w:rFonts w:ascii="Times New Roman" w:hAnsi="Times New Roman" w:cs="Times New Roman" w:eastAsia="Times New Roman" w:hint="default"/>
          <w:spacing w:val="-7"/>
        </w:rPr>
        <w:t>2017</w:t>
      </w:r>
      <w:r>
        <w:rPr>
          <w:spacing w:val="-7"/>
        </w:rPr>
        <w:t>〕</w:t>
      </w:r>
      <w:r>
        <w:rPr>
          <w:rFonts w:ascii="Times New Roman" w:hAnsi="Times New Roman" w:cs="Times New Roman" w:eastAsia="Times New Roman" w:hint="default"/>
          <w:spacing w:val="-7"/>
        </w:rPr>
        <w:t>39</w:t>
      </w:r>
      <w:r>
        <w:rPr>
          <w:rFonts w:ascii="Times New Roman" w:hAnsi="Times New Roman" w:cs="Times New Roman" w:eastAsia="Times New Roman" w:hint="default"/>
          <w:spacing w:val="20"/>
        </w:rPr>
        <w:t> </w:t>
      </w:r>
      <w:r>
        <w:rPr>
          <w:spacing w:val="-8"/>
        </w:rPr>
        <w:t>号），拉开了“互联网</w:t>
      </w:r>
      <w:r>
        <w:rPr>
          <w:rFonts w:ascii="Times New Roman" w:hAnsi="Times New Roman" w:cs="Times New Roman" w:eastAsia="Times New Roman" w:hint="default"/>
          <w:spacing w:val="-8"/>
        </w:rPr>
        <w:t>+</w:t>
      </w:r>
      <w:r>
        <w:rPr>
          <w:spacing w:val="-8"/>
        </w:rPr>
        <w:t>政务服务”在全国试点和推广的序幕，</w:t>
      </w:r>
      <w:r>
        <w:rPr>
          <w:spacing w:val="-84"/>
        </w:rPr>
        <w:t> </w:t>
      </w:r>
      <w:r>
        <w:rPr>
          <w:spacing w:val="-84"/>
        </w:rPr>
      </w:r>
      <w:r>
        <w:rPr/>
        <w:t>总体目标是到</w:t>
      </w:r>
      <w:r>
        <w:rPr>
          <w:spacing w:val="-4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年建成覆盖全国的“互联网</w:t>
      </w:r>
      <w:r>
        <w:rPr>
          <w:rFonts w:ascii="Times New Roman" w:hAnsi="Times New Roman" w:cs="Times New Roman" w:eastAsia="Times New Roman" w:hint="default"/>
        </w:rPr>
        <w:t>+</w:t>
      </w:r>
      <w:r>
        <w:rPr/>
        <w:t>政务服务”体系，围绕政府治理和公共服务的改革需要，通过数据共享驱 动公共服务，大幅提升政务服务智慧化水平，让政府服务更聪明，让企业和群众办事更方便、更快捷、更有效率。</w:t>
      </w:r>
    </w:p>
    <w:p>
      <w:pPr>
        <w:pStyle w:val="BodyText"/>
        <w:spacing w:line="309" w:lineRule="auto" w:before="94"/>
        <w:ind w:right="188" w:firstLine="360"/>
        <w:jc w:val="both"/>
      </w:pPr>
      <w:r>
        <w:rPr/>
        <w:t>公司坚持技术创新，采用大数据、云计算、工作流、智能交互等新技术，积极打造政务信息资源共享平台和“互联网</w:t>
      </w:r>
      <w:r>
        <w:rPr>
          <w:rFonts w:ascii="Times New Roman" w:hAnsi="Times New Roman" w:cs="Times New Roman" w:eastAsia="Times New Roman" w:hint="default"/>
        </w:rPr>
        <w:t>+ </w:t>
      </w:r>
      <w:r>
        <w:rPr>
          <w:spacing w:val="-2"/>
        </w:rPr>
        <w:t>政务服务”一体化解决方案，在上海、河南等地成功推广应用，公司将加大市场开拓力度，依托全国营销服务网络，积极拓</w:t>
      </w:r>
      <w:r>
        <w:rPr>
          <w:spacing w:val="-68"/>
        </w:rPr>
        <w:t> </w:t>
      </w:r>
      <w:r>
        <w:rPr>
          <w:spacing w:val="-68"/>
        </w:rPr>
      </w:r>
      <w:r>
        <w:rPr/>
        <w:t>展互联网</w:t>
      </w:r>
      <w:r>
        <w:rPr>
          <w:rFonts w:ascii="Times New Roman" w:hAnsi="Times New Roman" w:cs="Times New Roman" w:eastAsia="Times New Roman" w:hint="default"/>
        </w:rPr>
        <w:t>+</w:t>
      </w:r>
      <w:r>
        <w:rPr/>
        <w:t>政务服务区域市场。</w:t>
      </w:r>
    </w:p>
    <w:p>
      <w:pPr>
        <w:pStyle w:val="BodyText"/>
        <w:spacing w:line="307" w:lineRule="auto" w:before="67"/>
        <w:ind w:left="153" w:right="91" w:firstLine="360"/>
        <w:jc w:val="left"/>
      </w:pPr>
      <w:r>
        <w:rPr/>
        <w:t>公司研发的</w:t>
      </w:r>
      <w:r>
        <w:rPr>
          <w:spacing w:val="-46"/>
        </w:rPr>
        <w:t> </w:t>
      </w:r>
      <w:r>
        <w:rPr>
          <w:rFonts w:ascii="Times New Roman" w:hAnsi="Times New Roman" w:cs="Times New Roman" w:eastAsia="Times New Roman" w:hint="default"/>
        </w:rPr>
        <w:t>12345</w:t>
      </w:r>
      <w:r>
        <w:rPr>
          <w:rFonts w:ascii="Times New Roman" w:hAnsi="Times New Roman" w:cs="Times New Roman" w:eastAsia="Times New Roman" w:hint="default"/>
          <w:spacing w:val="-1"/>
        </w:rPr>
        <w:t> </w:t>
      </w:r>
      <w:r>
        <w:rPr/>
        <w:t>便民服务平台在福建全省推广，建成覆盖福建全省各级政府</w:t>
      </w:r>
      <w:r>
        <w:rPr>
          <w:spacing w:val="-46"/>
        </w:rPr>
        <w:t> </w:t>
      </w:r>
      <w:r>
        <w:rPr>
          <w:rFonts w:ascii="Times New Roman" w:hAnsi="Times New Roman" w:cs="Times New Roman" w:eastAsia="Times New Roman" w:hint="default"/>
        </w:rPr>
        <w:t>8500</w:t>
      </w:r>
      <w:r>
        <w:rPr>
          <w:rFonts w:ascii="Times New Roman" w:hAnsi="Times New Roman" w:cs="Times New Roman" w:eastAsia="Times New Roman" w:hint="default"/>
          <w:spacing w:val="-1"/>
        </w:rPr>
        <w:t> </w:t>
      </w:r>
      <w:r>
        <w:rPr/>
        <w:t>个机关单位的协同服务平台，实现 “服务网络、受理方式、诉求时间”全覆盖，为群众提供公开、实时、互动的政务公共服务，取得卓越的社会效益。近日，</w:t>
      </w:r>
      <w:r>
        <w:rPr>
          <w:spacing w:val="-84"/>
        </w:rPr>
        <w:t> </w:t>
      </w:r>
      <w:r>
        <w:rPr>
          <w:spacing w:val="-84"/>
        </w:rPr>
      </w:r>
      <w:r>
        <w:rPr/>
        <w:t>首届数字中国建设年度最佳实践成果评选结果公示，福建省数字办推荐的“福州市</w:t>
      </w:r>
      <w:r>
        <w:rPr>
          <w:spacing w:val="-46"/>
        </w:rPr>
        <w:t> </w:t>
      </w:r>
      <w:r>
        <w:rPr>
          <w:rFonts w:ascii="Times New Roman" w:hAnsi="Times New Roman" w:cs="Times New Roman" w:eastAsia="Times New Roman" w:hint="default"/>
        </w:rPr>
        <w:t>12345</w:t>
      </w:r>
      <w:r>
        <w:rPr>
          <w:rFonts w:ascii="Times New Roman" w:hAnsi="Times New Roman" w:cs="Times New Roman" w:eastAsia="Times New Roman" w:hint="default"/>
          <w:spacing w:val="-1"/>
        </w:rPr>
        <w:t> </w:t>
      </w:r>
      <w:r>
        <w:rPr/>
        <w:t>便民服务平台”入围全国</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个最 佳实践成果。</w:t>
      </w:r>
    </w:p>
    <w:p>
      <w:pPr>
        <w:pStyle w:val="BodyText"/>
        <w:spacing w:line="312" w:lineRule="auto" w:before="87"/>
        <w:ind w:left="153" w:right="188" w:firstLine="360"/>
        <w:jc w:val="both"/>
      </w:pPr>
      <w:r>
        <w:rPr>
          <w:spacing w:val="-5"/>
        </w:rPr>
        <w:t>公司研发的公共信用信息平台，实现公共信用信息的归集、处理、整合、共享、应用、反馈、异议和修复的全流程管理，</w:t>
      </w:r>
      <w:r>
        <w:rPr/>
        <w:t> </w:t>
      </w:r>
      <w:r>
        <w:rPr>
          <w:spacing w:val="-2"/>
        </w:rPr>
        <w:t>提供信用发布、信用应用、信用监管、信用关系基因图谱和信用大数据分析等服务。依托该平台建设的河南省公共信用信息</w:t>
      </w:r>
      <w:r>
        <w:rPr>
          <w:spacing w:val="-66"/>
        </w:rPr>
        <w:t> </w:t>
      </w:r>
      <w:r>
        <w:rPr>
          <w:spacing w:val="-66"/>
        </w:rPr>
      </w:r>
      <w:r>
        <w:rPr/>
        <w:t>平台，入围全国</w:t>
      </w:r>
      <w:r>
        <w:rPr>
          <w:spacing w:val="-46"/>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家省级信用平台前五强，被国家公共信用信息中心授予“全国信用信息共享平台和信用门户网站一体化 </w:t>
      </w:r>
      <w:r>
        <w:rPr>
          <w:spacing w:val="-10"/>
        </w:rPr>
        <w:t>标准化平台网站”。</w:t>
      </w:r>
    </w:p>
    <w:p>
      <w:pPr>
        <w:pStyle w:val="BodyText"/>
        <w:spacing w:line="360" w:lineRule="auto" w:before="85"/>
        <w:ind w:left="514" w:right="184"/>
        <w:jc w:val="left"/>
      </w:pPr>
      <w:r>
        <w:rPr/>
        <w:t>（</w:t>
      </w:r>
      <w:r>
        <w:rPr>
          <w:rFonts w:ascii="Times New Roman" w:hAnsi="Times New Roman" w:cs="Times New Roman" w:eastAsia="Times New Roman" w:hint="default"/>
        </w:rPr>
        <w:t>2</w:t>
      </w:r>
      <w:r>
        <w:rPr/>
        <w:t>）互联网</w:t>
      </w:r>
      <w:r>
        <w:rPr>
          <w:rFonts w:ascii="Times New Roman" w:hAnsi="Times New Roman" w:cs="Times New Roman" w:eastAsia="Times New Roman" w:hint="default"/>
        </w:rPr>
        <w:t>+</w:t>
      </w:r>
      <w:r>
        <w:rPr/>
        <w:t>党建 </w:t>
      </w:r>
      <w:r>
        <w:rPr>
          <w:spacing w:val="-2"/>
        </w:rPr>
        <w:t>公司研发党员教育管理服务平台，采用云计算、移动互联网、大数据等技术，为党员服务、教育、管理提供一体化、智</w:t>
      </w:r>
    </w:p>
    <w:p>
      <w:pPr>
        <w:spacing w:after="0" w:line="360"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00" w:lineRule="auto" w:before="44"/>
        <w:ind w:left="153" w:right="188"/>
        <w:jc w:val="both"/>
      </w:pPr>
      <w:r>
        <w:rPr/>
        <w:t>能化服务平台。该平台采用“互联网</w:t>
      </w:r>
      <w:r>
        <w:rPr>
          <w:rFonts w:ascii="Times New Roman" w:hAnsi="Times New Roman" w:cs="Times New Roman" w:eastAsia="Times New Roman" w:hint="default"/>
        </w:rPr>
        <w:t>+</w:t>
      </w:r>
      <w:r>
        <w:rPr/>
        <w:t>党建”的新模式，在福建省“党员</w:t>
      </w:r>
      <w:r>
        <w:rPr>
          <w:spacing w:val="-46"/>
        </w:rPr>
        <w:t> </w:t>
      </w:r>
      <w:r>
        <w:rPr>
          <w:rFonts w:ascii="Times New Roman" w:hAnsi="Times New Roman" w:cs="Times New Roman" w:eastAsia="Times New Roman" w:hint="default"/>
        </w:rPr>
        <w:t>e</w:t>
      </w:r>
      <w:r>
        <w:rPr>
          <w:rFonts w:ascii="Times New Roman" w:hAnsi="Times New Roman" w:cs="Times New Roman" w:eastAsia="Times New Roman" w:hint="default"/>
          <w:spacing w:val="-1"/>
        </w:rPr>
        <w:t> </w:t>
      </w:r>
      <w:r>
        <w:rPr/>
        <w:t>家”项目成功应用并通过验收，取得了良好的应 </w:t>
      </w:r>
      <w:r>
        <w:rPr>
          <w:spacing w:val="-7"/>
        </w:rPr>
        <w:t>用成果。平台纵向覆盖省、市、区</w:t>
      </w:r>
      <w:r>
        <w:rPr>
          <w:rFonts w:ascii="Times New Roman" w:hAnsi="Times New Roman" w:cs="Times New Roman" w:eastAsia="Times New Roman" w:hint="default"/>
          <w:spacing w:val="-7"/>
        </w:rPr>
        <w:t>/</w:t>
      </w:r>
      <w:r>
        <w:rPr>
          <w:spacing w:val="-7"/>
        </w:rPr>
        <w:t>县、乡</w:t>
      </w:r>
      <w:r>
        <w:rPr>
          <w:rFonts w:ascii="Times New Roman" w:hAnsi="Times New Roman" w:cs="Times New Roman" w:eastAsia="Times New Roman" w:hint="default"/>
          <w:spacing w:val="-7"/>
        </w:rPr>
        <w:t>/</w:t>
      </w:r>
      <w:r>
        <w:rPr>
          <w:spacing w:val="-7"/>
        </w:rPr>
        <w:t>镇、村</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spacing w:val="-3"/>
        </w:rPr>
        <w:t>个层级，入驻全省党组织</w:t>
      </w:r>
      <w:r>
        <w:rPr>
          <w:spacing w:val="-42"/>
        </w:rPr>
        <w:t> </w:t>
      </w:r>
      <w:r>
        <w:rPr>
          <w:rFonts w:ascii="Times New Roman" w:hAnsi="Times New Roman" w:cs="Times New Roman" w:eastAsia="Times New Roman" w:hint="default"/>
        </w:rPr>
        <w:t>10.8</w:t>
      </w:r>
      <w:r>
        <w:rPr>
          <w:rFonts w:ascii="Times New Roman" w:hAnsi="Times New Roman" w:cs="Times New Roman" w:eastAsia="Times New Roman" w:hint="default"/>
          <w:spacing w:val="3"/>
        </w:rPr>
        <w:t> </w:t>
      </w:r>
      <w:r>
        <w:rPr>
          <w:spacing w:val="-4"/>
        </w:rPr>
        <w:t>万个，入驻党员</w:t>
      </w:r>
      <w:r>
        <w:rPr>
          <w:spacing w:val="-42"/>
        </w:rPr>
        <w:t> </w:t>
      </w:r>
      <w:r>
        <w:rPr>
          <w:rFonts w:ascii="Times New Roman" w:hAnsi="Times New Roman" w:cs="Times New Roman" w:eastAsia="Times New Roman" w:hint="default"/>
          <w:spacing w:val="-3"/>
        </w:rPr>
        <w:t>211</w:t>
      </w:r>
      <w:r>
        <w:rPr>
          <w:rFonts w:ascii="Times New Roman" w:hAnsi="Times New Roman" w:cs="Times New Roman" w:eastAsia="Times New Roman" w:hint="default"/>
          <w:spacing w:val="3"/>
        </w:rPr>
        <w:t> </w:t>
      </w:r>
      <w:r>
        <w:rPr>
          <w:spacing w:val="-3"/>
        </w:rPr>
        <w:t>万人；横向可与政府、</w:t>
      </w:r>
      <w:r>
        <w:rPr>
          <w:spacing w:val="-88"/>
        </w:rPr>
        <w:t> </w:t>
      </w:r>
      <w:r>
        <w:rPr>
          <w:spacing w:val="-88"/>
        </w:rPr>
      </w:r>
      <w:r>
        <w:rPr/>
        <w:t>金融机构、人事、社保、扶贫组织等公共服务转接服务能力。公司已形成标准的“互联网</w:t>
      </w:r>
      <w:r>
        <w:rPr>
          <w:rFonts w:ascii="Times New Roman" w:hAnsi="Times New Roman" w:cs="Times New Roman" w:eastAsia="Times New Roman" w:hint="default"/>
        </w:rPr>
        <w:t>+</w:t>
      </w:r>
      <w:r>
        <w:rPr/>
        <w:t>党建”产品、解决方案和推广及 服务模式，为进一步拓展运营服务和全国市场奠定良好的基础。</w:t>
      </w:r>
    </w:p>
    <w:p>
      <w:pPr>
        <w:pStyle w:val="BodyText"/>
        <w:spacing w:line="360" w:lineRule="auto" w:before="94"/>
        <w:ind w:left="513" w:right="184"/>
        <w:jc w:val="left"/>
      </w:pPr>
      <w:r>
        <w:rPr/>
        <w:t>（</w:t>
      </w:r>
      <w:r>
        <w:rPr>
          <w:rFonts w:ascii="Times New Roman" w:hAnsi="Times New Roman" w:cs="Times New Roman" w:eastAsia="Times New Roman" w:hint="default"/>
        </w:rPr>
        <w:t>3</w:t>
      </w:r>
      <w:r>
        <w:rPr/>
        <w:t>）自主可控 </w:t>
      </w:r>
      <w:r>
        <w:rPr>
          <w:spacing w:val="-2"/>
        </w:rPr>
        <w:t>构建自主可控、安全可靠的信息技术体系，培育形成具有国际竞争力的产业生态，已成为国家保障信息化建设和实现网</w:t>
      </w:r>
    </w:p>
    <w:p>
      <w:pPr>
        <w:pStyle w:val="BodyText"/>
        <w:spacing w:line="236" w:lineRule="exact"/>
        <w:ind w:left="153" w:right="0"/>
        <w:jc w:val="both"/>
      </w:pPr>
      <w:r>
        <w:rPr/>
        <w:t>络安全的立足之本，这一国家战略决策将深刻影响我国未来信息化的发展和</w:t>
      </w:r>
      <w:r>
        <w:rPr>
          <w:spacing w:val="-46"/>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市场的竞争格局。</w:t>
      </w:r>
    </w:p>
    <w:p>
      <w:pPr>
        <w:pStyle w:val="BodyText"/>
        <w:spacing w:line="316" w:lineRule="auto" w:before="125"/>
        <w:ind w:left="153" w:right="191" w:firstLine="360"/>
        <w:jc w:val="both"/>
      </w:pPr>
      <w:r>
        <w:rPr>
          <w:spacing w:val="-2"/>
        </w:rPr>
        <w:t>报告期内，随着相关政策的进一步推动和落地，国产安全可靠基础软硬件产品和技术基本完成初步的螺旋迭代，基本形</w:t>
      </w:r>
      <w:r>
        <w:rPr/>
        <w:t> </w:t>
      </w:r>
      <w:r>
        <w:rPr>
          <w:spacing w:val="-2"/>
        </w:rPr>
        <w:t>成较完整的产业链，基本可以满足党政办公、保密计算机、国防军用等领域的功能、性能要求，自主可控领域的需求开始呈</w:t>
      </w:r>
      <w:r>
        <w:rPr>
          <w:spacing w:val="-66"/>
        </w:rPr>
        <w:t> </w:t>
      </w:r>
      <w:r>
        <w:rPr>
          <w:spacing w:val="-66"/>
        </w:rPr>
      </w:r>
      <w:r>
        <w:rPr/>
        <w:t>现稳健增长。</w:t>
      </w:r>
    </w:p>
    <w:p>
      <w:pPr>
        <w:pStyle w:val="BodyText"/>
        <w:spacing w:line="316" w:lineRule="auto" w:before="81"/>
        <w:ind w:left="153" w:right="191" w:firstLine="360"/>
        <w:jc w:val="both"/>
      </w:pPr>
      <w:r>
        <w:rPr>
          <w:spacing w:val="-2"/>
        </w:rPr>
        <w:t>公司围绕进一步加速发展自主可控业务战略，致力于成为国家自主可控安全可靠行业应用细分领域的领先服务商，加大</w:t>
      </w:r>
      <w:r>
        <w:rPr/>
        <w:t> </w:t>
      </w:r>
      <w:r>
        <w:rPr>
          <w:spacing w:val="-2"/>
        </w:rPr>
        <w:t>相关技术研发投入，加强自主可控重点实验室建设。公司采用微服务架构、大数据等新技术对安全可靠基础应用平台、党政</w:t>
      </w:r>
      <w:r>
        <w:rPr>
          <w:spacing w:val="-66"/>
        </w:rPr>
        <w:t> </w:t>
      </w:r>
      <w:r>
        <w:rPr>
          <w:spacing w:val="-66"/>
        </w:rPr>
      </w:r>
      <w:r>
        <w:rPr>
          <w:spacing w:val="-2"/>
        </w:rPr>
        <w:t>办公系统、电子公文处理系统、电子公文交换系统等自主软件产品进行重构和深度研发，在确保技术先进性的同时，进一步</w:t>
      </w:r>
      <w:r>
        <w:rPr>
          <w:spacing w:val="-66"/>
        </w:rPr>
        <w:t> </w:t>
      </w:r>
      <w:r>
        <w:rPr>
          <w:spacing w:val="-66"/>
        </w:rPr>
      </w:r>
      <w:r>
        <w:rPr>
          <w:spacing w:val="-2"/>
        </w:rPr>
        <w:t>提升用户体验水平，提升整体解决方案的竞争优势。与国产基础软硬件相关厂商开展全面合作，对共性关键技术以及一体化</w:t>
      </w:r>
      <w:r>
        <w:rPr>
          <w:spacing w:val="-66"/>
        </w:rPr>
        <w:t> </w:t>
      </w:r>
      <w:r>
        <w:rPr>
          <w:spacing w:val="-66"/>
        </w:rPr>
      </w:r>
      <w:r>
        <w:rPr>
          <w:spacing w:val="-2"/>
        </w:rPr>
        <w:t>适配、系统集成、系统性能、可靠性及系统迁移等重点难点问题进行联合攻关和测试验证。公司积极开展项目示范应用，为</w:t>
      </w:r>
      <w:r>
        <w:rPr>
          <w:spacing w:val="-66"/>
        </w:rPr>
        <w:t> </w:t>
      </w:r>
      <w:r>
        <w:rPr>
          <w:spacing w:val="-66"/>
        </w:rPr>
      </w:r>
      <w:r>
        <w:rPr/>
        <w:t>促进自主可控发展战略奠定坚实的基础。</w:t>
      </w:r>
    </w:p>
    <w:p>
      <w:pPr>
        <w:pStyle w:val="BodyText"/>
        <w:spacing w:line="360" w:lineRule="auto" w:before="80"/>
        <w:ind w:left="513" w:right="184"/>
        <w:jc w:val="left"/>
      </w:pPr>
      <w:r>
        <w:rPr/>
        <w:t>（</w:t>
      </w:r>
      <w:r>
        <w:rPr>
          <w:rFonts w:ascii="Times New Roman" w:hAnsi="Times New Roman" w:cs="Times New Roman" w:eastAsia="Times New Roman" w:hint="default"/>
        </w:rPr>
        <w:t>4</w:t>
      </w:r>
      <w:r>
        <w:rPr/>
        <w:t>）协同管理 </w:t>
      </w:r>
      <w:r>
        <w:rPr>
          <w:spacing w:val="-2"/>
        </w:rPr>
        <w:t>协同管理软件作为行业应用软件重要的细分领域，呈现出智能化、云化、移动化、平台化和国产化等发展趋势特征，保</w:t>
      </w:r>
    </w:p>
    <w:p>
      <w:pPr>
        <w:pStyle w:val="BodyText"/>
        <w:spacing w:line="222" w:lineRule="exact"/>
        <w:ind w:left="153" w:right="0"/>
        <w:jc w:val="both"/>
      </w:pPr>
      <w:r>
        <w:rPr/>
        <w:t>持持续快速的增长势头。</w:t>
      </w:r>
    </w:p>
    <w:p>
      <w:pPr>
        <w:pStyle w:val="BodyText"/>
        <w:spacing w:line="316" w:lineRule="auto" w:before="139"/>
        <w:ind w:left="153" w:right="191" w:firstLine="360"/>
        <w:jc w:val="both"/>
      </w:pPr>
      <w:r>
        <w:rPr>
          <w:spacing w:val="-2"/>
        </w:rPr>
        <w:t>报告期内，公司采用大数据、云计算等技术，结合国家最新发布的电子公文、电子文件、移动办公等保安全等国家规范</w:t>
      </w:r>
      <w:r>
        <w:rPr/>
        <w:t> </w:t>
      </w:r>
      <w:r>
        <w:rPr>
          <w:spacing w:val="-2"/>
        </w:rPr>
        <w:t>标准，对新一代智能云化协同办公平台、数字档案平台、移动应用服务平台等进行标准化改造和深度研发，继续提升在协同</w:t>
      </w:r>
      <w:r>
        <w:rPr>
          <w:spacing w:val="-66"/>
        </w:rPr>
        <w:t> </w:t>
      </w:r>
      <w:r>
        <w:rPr>
          <w:spacing w:val="-66"/>
        </w:rPr>
      </w:r>
      <w:r>
        <w:rPr>
          <w:spacing w:val="-5"/>
        </w:rPr>
        <w:t>管理细分领域内的竞争优势，在福建、浙江、江西、湖北、上海、河南等区域的党政、能源、司法行政、社保、旅游、交通、</w:t>
      </w:r>
      <w:r>
        <w:rPr>
          <w:spacing w:val="-78"/>
        </w:rPr>
        <w:t> </w:t>
      </w:r>
      <w:r>
        <w:rPr>
          <w:spacing w:val="-78"/>
        </w:rPr>
      </w:r>
      <w:r>
        <w:rPr/>
        <w:t>能源等行业进一步推广应用，业绩取得较大增长。</w:t>
      </w:r>
    </w:p>
    <w:p>
      <w:pPr>
        <w:pStyle w:val="BodyText"/>
        <w:spacing w:line="360" w:lineRule="auto" w:before="80"/>
        <w:ind w:left="513" w:right="184"/>
        <w:jc w:val="left"/>
      </w:pPr>
      <w:r>
        <w:rPr/>
        <w:t>（</w:t>
      </w:r>
      <w:r>
        <w:rPr>
          <w:rFonts w:ascii="Times New Roman" w:hAnsi="Times New Roman" w:cs="Times New Roman" w:eastAsia="Times New Roman" w:hint="default"/>
        </w:rPr>
        <w:t>5</w:t>
      </w:r>
      <w:r>
        <w:rPr/>
        <w:t>）法院行业 </w:t>
      </w:r>
      <w:r>
        <w:rPr>
          <w:spacing w:val="-2"/>
        </w:rPr>
        <w:t>法院行业“天平工程”是国家电子政务建设的重要组成，最高人民法院发布的《人民法院信息化建设五年发展规划》要</w:t>
      </w:r>
    </w:p>
    <w:p>
      <w:pPr>
        <w:pStyle w:val="BodyText"/>
        <w:spacing w:line="236" w:lineRule="exact"/>
        <w:ind w:left="153" w:right="0"/>
        <w:jc w:val="both"/>
      </w:pPr>
      <w:r>
        <w:rPr/>
        <w:t>求全面建设人民法院信息化</w:t>
      </w:r>
      <w:r>
        <w:rPr>
          <w:spacing w:val="-66"/>
        </w:rPr>
        <w:t> </w:t>
      </w:r>
      <w:r>
        <w:rPr>
          <w:rFonts w:ascii="Times New Roman" w:hAnsi="Times New Roman" w:cs="Times New Roman" w:eastAsia="Times New Roman" w:hint="default"/>
        </w:rPr>
        <w:t>3.0</w:t>
      </w:r>
      <w:r>
        <w:rPr>
          <w:rFonts w:ascii="Times New Roman" w:hAnsi="Times New Roman" w:cs="Times New Roman" w:eastAsia="Times New Roman" w:hint="default"/>
          <w:spacing w:val="-21"/>
        </w:rPr>
        <w:t> </w:t>
      </w:r>
      <w:r>
        <w:rPr/>
        <w:t>版，打造智慧法院，强化保障体系，提升应用成效，为推进人民法院各项事业发展提供有力</w:t>
      </w:r>
    </w:p>
    <w:p>
      <w:pPr>
        <w:pStyle w:val="BodyText"/>
        <w:spacing w:line="240" w:lineRule="auto" w:before="63"/>
        <w:ind w:left="153" w:right="0"/>
        <w:jc w:val="both"/>
      </w:pPr>
      <w:r>
        <w:rPr/>
        <w:t>的信息技术服务与保障。</w:t>
      </w:r>
    </w:p>
    <w:p>
      <w:pPr>
        <w:pStyle w:val="BodyText"/>
        <w:spacing w:line="312" w:lineRule="auto" w:before="139"/>
        <w:ind w:left="153" w:right="191" w:firstLine="360"/>
        <w:jc w:val="both"/>
      </w:pPr>
      <w:r>
        <w:rPr/>
        <w:t>报告期内，公司继续深入研究智慧法院和人民法院信息化</w:t>
      </w:r>
      <w:r>
        <w:rPr>
          <w:spacing w:val="-64"/>
        </w:rPr>
        <w:t> </w:t>
      </w:r>
      <w:r>
        <w:rPr>
          <w:rFonts w:ascii="Times New Roman" w:hAnsi="Times New Roman" w:cs="Times New Roman" w:eastAsia="Times New Roman" w:hint="default"/>
        </w:rPr>
        <w:t>3.0</w:t>
      </w:r>
      <w:r>
        <w:rPr>
          <w:rFonts w:ascii="Times New Roman" w:hAnsi="Times New Roman" w:cs="Times New Roman" w:eastAsia="Times New Roman" w:hint="default"/>
          <w:spacing w:val="-19"/>
        </w:rPr>
        <w:t> </w:t>
      </w:r>
      <w:r>
        <w:rPr/>
        <w:t>版建设需求，采用微服务架构、大数据、云计算和人工智 </w:t>
      </w:r>
      <w:r>
        <w:rPr>
          <w:spacing w:val="-2"/>
        </w:rPr>
        <w:t>能等新技术，对司法综合管理信息系统及相关应用软件系统进行全面重构升级，进一步提升了公司在法院行业的竞争力。公</w:t>
      </w:r>
      <w:r>
        <w:rPr>
          <w:spacing w:val="-66"/>
        </w:rPr>
        <w:t> </w:t>
      </w:r>
      <w:r>
        <w:rPr>
          <w:spacing w:val="-66"/>
        </w:rPr>
      </w:r>
      <w:r>
        <w:rPr>
          <w:spacing w:val="-2"/>
        </w:rPr>
        <w:t>司成功中标福建、河南、宁夏等地法院系统新版法标审判业务系统、司法大数据分析、减刑假释、电子卷宗、移动办公办案</w:t>
      </w:r>
      <w:r>
        <w:rPr>
          <w:spacing w:val="-69"/>
        </w:rPr>
        <w:t> </w:t>
      </w:r>
      <w:r>
        <w:rPr>
          <w:spacing w:val="-69"/>
        </w:rPr>
      </w:r>
      <w:r>
        <w:rPr/>
        <w:t>等项目，为进一步拓展全国法院行业市场奠定了良好的基础。</w:t>
      </w:r>
    </w:p>
    <w:p>
      <w:pPr>
        <w:pStyle w:val="BodyText"/>
        <w:spacing w:line="240" w:lineRule="auto" w:before="83"/>
        <w:ind w:left="513" w:right="184"/>
        <w:jc w:val="left"/>
      </w:pPr>
      <w:r>
        <w:rPr/>
        <w:t>（</w:t>
      </w:r>
      <w:r>
        <w:rPr>
          <w:rFonts w:ascii="Times New Roman" w:hAnsi="Times New Roman" w:cs="Times New Roman" w:eastAsia="Times New Roman" w:hint="default"/>
        </w:rPr>
        <w:t>6</w:t>
      </w:r>
      <w:r>
        <w:rPr/>
        <w:t>）司法行政行业</w:t>
      </w:r>
    </w:p>
    <w:p>
      <w:pPr>
        <w:pStyle w:val="BodyText"/>
        <w:spacing w:line="309" w:lineRule="auto" w:before="125"/>
        <w:ind w:left="153" w:right="91" w:firstLine="360"/>
        <w:jc w:val="left"/>
      </w:pPr>
      <w:r>
        <w:rPr>
          <w:spacing w:val="-3"/>
        </w:rPr>
        <w:t>近年来，司法部大力推进全国司法行政行业信息化建设工作，提出到</w:t>
      </w:r>
      <w:r>
        <w:rPr>
          <w:spacing w:val="-43"/>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spacing w:val="-5"/>
        </w:rPr>
        <w:t>年，建成涵盖司法行政各项业务的“一站式”</w:t>
      </w:r>
      <w:r>
        <w:rPr/>
        <w:t> 司法行政信息化综合管理平台，实现信息化与司法行政的深度融合，以信息化推动司法行政工作提升到一个新水平，因此，</w:t>
      </w:r>
      <w:r>
        <w:rPr>
          <w:spacing w:val="-84"/>
        </w:rPr>
        <w:t> </w:t>
      </w:r>
      <w:r>
        <w:rPr>
          <w:spacing w:val="-84"/>
        </w:rPr>
      </w:r>
      <w:r>
        <w:rPr/>
        <w:t>司法行政信息化需求强劲，市场规模得到快速发展。</w:t>
      </w:r>
    </w:p>
    <w:p>
      <w:pPr>
        <w:pStyle w:val="BodyText"/>
        <w:spacing w:line="316" w:lineRule="auto" w:before="86"/>
        <w:ind w:left="153" w:right="191" w:firstLine="360"/>
        <w:jc w:val="both"/>
      </w:pPr>
      <w:r>
        <w:rPr>
          <w:spacing w:val="-5"/>
        </w:rPr>
        <w:t>报告期内，公司继续加大司法行政行业信息化解决方案研发投入，进一步完善司法行政、监狱管理等行业应用解决方案，</w:t>
      </w:r>
      <w:r>
        <w:rPr/>
        <w:t> </w:t>
      </w:r>
      <w:r>
        <w:rPr>
          <w:spacing w:val="-2"/>
        </w:rPr>
        <w:t>司法行政综合信息管理平台、监狱综合信息管理平台、司法社区矫正管理系统等解决方案在福建、河南等地多个项目推广应</w:t>
      </w:r>
      <w:r>
        <w:rPr>
          <w:spacing w:val="-66"/>
        </w:rPr>
        <w:t> </w:t>
      </w:r>
      <w:r>
        <w:rPr>
          <w:spacing w:val="-66"/>
        </w:rPr>
      </w:r>
      <w:r>
        <w:rPr/>
        <w:t>用，公司司法行政行业业务保持稳健增长。</w:t>
      </w:r>
    </w:p>
    <w:p>
      <w:pPr>
        <w:pStyle w:val="BodyText"/>
        <w:spacing w:line="240" w:lineRule="auto" w:before="80"/>
        <w:ind w:left="513" w:right="184"/>
        <w:jc w:val="left"/>
      </w:pPr>
      <w:r>
        <w:rPr>
          <w:rFonts w:ascii="Times New Roman" w:hAnsi="Times New Roman" w:cs="Times New Roman" w:eastAsia="Times New Roman" w:hint="default"/>
          <w:spacing w:val="-4"/>
        </w:rPr>
        <w:t>2</w:t>
      </w:r>
      <w:r>
        <w:rPr>
          <w:spacing w:val="-4"/>
        </w:rPr>
        <w:t>、在质检信息化领域，公司拥有丰富的三电工程企业端软件开发和服务和建设经验，是“金质工程”的领先服务厂商。</w:t>
      </w:r>
    </w:p>
    <w:p>
      <w:pPr>
        <w:pStyle w:val="BodyText"/>
        <w:spacing w:line="300" w:lineRule="auto" w:before="63"/>
        <w:ind w:left="153" w:right="245"/>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至</w:t>
      </w:r>
      <w:r>
        <w:rPr>
          <w:spacing w:val="-46"/>
        </w:rPr>
        <w:t> </w:t>
      </w:r>
      <w:r>
        <w:rPr>
          <w:rFonts w:ascii="Times New Roman" w:hAnsi="Times New Roman" w:cs="Times New Roman" w:eastAsia="Times New Roman" w:hint="default"/>
        </w:rPr>
        <w:t>10 </w:t>
      </w:r>
      <w:r>
        <w:rPr/>
        <w:t>月，公司承建的中国电子检验检疫主干系统 </w:t>
      </w:r>
      <w:r>
        <w:rPr>
          <w:rFonts w:ascii="Times New Roman" w:hAnsi="Times New Roman" w:cs="Times New Roman" w:eastAsia="Times New Roman" w:hint="default"/>
        </w:rPr>
        <w:t>e-CIQ</w:t>
      </w:r>
      <w:r>
        <w:rPr>
          <w:rFonts w:ascii="Times New Roman" w:hAnsi="Times New Roman" w:cs="Times New Roman" w:eastAsia="Times New Roman" w:hint="default"/>
          <w:spacing w:val="-2"/>
        </w:rPr>
        <w:t> </w:t>
      </w:r>
      <w:r>
        <w:rPr/>
        <w:t>完成全国试运行推广，</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月，主干系统在全国检 验检疫机构全面正式运行，</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年将围绕质检总局主干系统为基础，推动直属局项目开发及产品推广、销售。</w:t>
      </w:r>
    </w:p>
    <w:p>
      <w:pPr>
        <w:spacing w:after="0" w:line="300" w:lineRule="auto"/>
        <w:jc w:val="both"/>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07" w:lineRule="auto" w:before="44"/>
        <w:ind w:right="189" w:firstLine="359"/>
        <w:jc w:val="both"/>
      </w:pPr>
      <w:r>
        <w:rPr>
          <w:rFonts w:ascii="Times New Roman" w:hAnsi="Times New Roman" w:cs="Times New Roman" w:eastAsia="Times New Roman" w:hint="default"/>
        </w:rPr>
        <w:t>2017 </w:t>
      </w:r>
      <w:r>
        <w:rPr/>
        <w:t>年</w:t>
      </w:r>
      <w:r>
        <w:rPr>
          <w:spacing w:val="-45"/>
        </w:rPr>
        <w:t> </w:t>
      </w:r>
      <w:r>
        <w:rPr>
          <w:rFonts w:ascii="Times New Roman" w:hAnsi="Times New Roman" w:cs="Times New Roman" w:eastAsia="Times New Roman" w:hint="default"/>
        </w:rPr>
        <w:t>5 </w:t>
      </w:r>
      <w:r>
        <w:rPr>
          <w:spacing w:val="-4"/>
        </w:rPr>
        <w:t>月，国务院发布《政府信息系统整合共享实施方案》，要求</w:t>
      </w:r>
      <w:r>
        <w:rPr>
          <w:spacing w:val="-45"/>
        </w:rPr>
        <w:t> </w:t>
      </w:r>
      <w:r>
        <w:rPr>
          <w:rFonts w:ascii="Times New Roman" w:hAnsi="Times New Roman" w:cs="Times New Roman" w:eastAsia="Times New Roman" w:hint="default"/>
        </w:rPr>
        <w:t>2018 </w:t>
      </w:r>
      <w:r>
        <w:rPr/>
        <w:t>年</w:t>
      </w:r>
      <w:r>
        <w:rPr>
          <w:spacing w:val="-45"/>
        </w:rPr>
        <w:t> </w:t>
      </w:r>
      <w:r>
        <w:rPr>
          <w:rFonts w:ascii="Times New Roman" w:hAnsi="Times New Roman" w:cs="Times New Roman" w:eastAsia="Times New Roman" w:hint="default"/>
        </w:rPr>
        <w:t>6 </w:t>
      </w:r>
      <w:r>
        <w:rPr/>
        <w:t>月底前实现国务院各部门整合后的政务 信息系统，统一接入国家数据共享交换平台，初步实现国务院部门和地方政务信息系统互联互通。</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年，国务院机构改 </w:t>
      </w:r>
      <w:r>
        <w:rPr>
          <w:spacing w:val="-2"/>
        </w:rPr>
        <w:t>革方案中，将国家质量监督检验检疫总局的出入境检验检疫管理职责和队伍划入海关总署，未来职能配置与部门管理组织架</w:t>
      </w:r>
      <w:r>
        <w:rPr>
          <w:spacing w:val="-64"/>
        </w:rPr>
        <w:t> </w:t>
      </w:r>
      <w:r>
        <w:rPr>
          <w:spacing w:val="-64"/>
        </w:rPr>
      </w:r>
      <w:r>
        <w:rPr/>
        <w:t>构变化，有望带动从中央到地方直属机构大量政务信息系统建设的新增需求，为公司带来新的市场机遇。</w:t>
      </w:r>
    </w:p>
    <w:p>
      <w:pPr>
        <w:pStyle w:val="BodyText"/>
        <w:spacing w:line="240" w:lineRule="auto" w:before="88"/>
        <w:ind w:left="514" w:right="184"/>
        <w:jc w:val="left"/>
      </w:pPr>
      <w:r>
        <w:rPr/>
        <w:t>结合国家质检总局“十三五”规划，公司依托主干系统进行业务拓展：</w:t>
      </w:r>
    </w:p>
    <w:p>
      <w:pPr>
        <w:pStyle w:val="BodyText"/>
        <w:spacing w:line="309" w:lineRule="auto" w:before="137"/>
        <w:ind w:right="188" w:firstLine="360"/>
        <w:jc w:val="both"/>
      </w:pPr>
      <w:r>
        <w:rPr>
          <w:spacing w:val="-4"/>
        </w:rPr>
        <w:t>（</w:t>
      </w:r>
      <w:r>
        <w:rPr>
          <w:rFonts w:ascii="Times New Roman" w:hAnsi="Times New Roman" w:cs="Times New Roman" w:eastAsia="Times New Roman" w:hint="default"/>
          <w:spacing w:val="-4"/>
        </w:rPr>
        <w:t>1</w:t>
      </w:r>
      <w:r>
        <w:rPr>
          <w:spacing w:val="-4"/>
        </w:rPr>
        <w:t>）建设业务规则智能管控平台，包括“四个平台”（总局规则大集中数据平台、规则智能管控平台、规则智能监控平</w:t>
      </w:r>
      <w:r>
        <w:rPr/>
        <w:t> </w:t>
      </w:r>
      <w:r>
        <w:rPr>
          <w:spacing w:val="-9"/>
        </w:rPr>
        <w:t>台、规则集成服务平台、）、“二个体系”（规则运行支撑管理体系、数据应用安全和风险保障体系），实现检验检疫业务规则</w:t>
      </w:r>
      <w:r>
        <w:rPr>
          <w:spacing w:val="-36"/>
        </w:rPr>
        <w:t> </w:t>
      </w:r>
      <w:r>
        <w:rPr>
          <w:spacing w:val="-36"/>
        </w:rPr>
      </w:r>
      <w:r>
        <w:rPr/>
        <w:t>的全统一、大集中和智能化决策指挥、管控监控、服务支撑和安全风险保障。</w:t>
      </w:r>
    </w:p>
    <w:p>
      <w:pPr>
        <w:pStyle w:val="BodyText"/>
        <w:spacing w:line="300" w:lineRule="auto" w:before="86"/>
        <w:ind w:right="198" w:firstLine="360"/>
        <w:jc w:val="both"/>
      </w:pPr>
      <w:r>
        <w:rPr/>
        <w:t>（</w:t>
      </w:r>
      <w:r>
        <w:rPr>
          <w:rFonts w:ascii="Times New Roman" w:hAnsi="Times New Roman" w:cs="Times New Roman" w:eastAsia="Times New Roman" w:hint="default"/>
        </w:rPr>
        <w:t>2</w:t>
      </w:r>
      <w:r>
        <w:rPr/>
        <w:t>）建设通关单联网核查系统改造，实现检验检疫与海关业务信息共享，联合监管，业务上打击逃漏检行为，规范进 出口秩序；另一方面简化通关手续，降低企业贸易成本，提高口岸通关效率，改善贸易自由化、便利化。</w:t>
      </w:r>
    </w:p>
    <w:p>
      <w:pPr>
        <w:pStyle w:val="BodyText"/>
        <w:spacing w:line="300" w:lineRule="auto" w:before="94"/>
        <w:ind w:right="198" w:firstLine="360"/>
        <w:jc w:val="both"/>
      </w:pPr>
      <w:r>
        <w:rPr/>
        <w:t>（</w:t>
      </w:r>
      <w:r>
        <w:rPr>
          <w:rFonts w:ascii="Times New Roman" w:hAnsi="Times New Roman" w:cs="Times New Roman" w:eastAsia="Times New Roman" w:hint="default"/>
        </w:rPr>
        <w:t>3</w:t>
      </w:r>
      <w:r>
        <w:rPr/>
        <w:t>）建设主干系统大数据订阅平台，建设检验检疫各业务系统之间的数据订阅平台，构建统一的体系，实现数据按需 汇聚、数据资源目录管理、按需数据订阅、实时共享交换等管控，避免重复采集，缓解交换压力，提高数据的利用效率。</w:t>
      </w:r>
    </w:p>
    <w:p>
      <w:pPr>
        <w:pStyle w:val="BodyText"/>
        <w:spacing w:line="300" w:lineRule="auto" w:before="92"/>
        <w:ind w:right="198" w:firstLine="360"/>
        <w:jc w:val="both"/>
      </w:pPr>
      <w:r>
        <w:rPr/>
        <w:t>（</w:t>
      </w:r>
      <w:r>
        <w:rPr>
          <w:rFonts w:ascii="Times New Roman" w:hAnsi="Times New Roman" w:cs="Times New Roman" w:eastAsia="Times New Roman" w:hint="default"/>
        </w:rPr>
        <w:t>4</w:t>
      </w:r>
      <w:r>
        <w:rPr/>
        <w:t>）建设检验检疫大数据平台，建设检验检疫大数据的应用，汇聚整合检验检疫各业务系统的大数据，开展服务国家 中央决策、服务地方经济发展、服务企业和社会公众、加强检验检疫事业发展的检验检疫大数据分析与应用。</w:t>
      </w:r>
    </w:p>
    <w:p>
      <w:pPr>
        <w:pStyle w:val="BodyText"/>
        <w:spacing w:line="309" w:lineRule="auto" w:before="94"/>
        <w:ind w:right="90" w:firstLine="360"/>
        <w:jc w:val="left"/>
      </w:pPr>
      <w:r>
        <w:rPr>
          <w:spacing w:val="-5"/>
        </w:rPr>
        <w:t>（</w:t>
      </w:r>
      <w:r>
        <w:rPr>
          <w:rFonts w:ascii="Times New Roman" w:hAnsi="Times New Roman" w:cs="Times New Roman" w:eastAsia="Times New Roman" w:hint="default"/>
          <w:spacing w:val="-5"/>
        </w:rPr>
        <w:t>5</w:t>
      </w:r>
      <w:r>
        <w:rPr>
          <w:spacing w:val="-5"/>
        </w:rPr>
        <w:t>）建设 </w:t>
      </w:r>
      <w:r>
        <w:rPr>
          <w:rFonts w:ascii="Times New Roman" w:hAnsi="Times New Roman" w:cs="Times New Roman" w:eastAsia="Times New Roman" w:hint="default"/>
        </w:rPr>
        <w:t>e-CIQ</w:t>
      </w:r>
      <w:r>
        <w:rPr>
          <w:rFonts w:ascii="Times New Roman" w:hAnsi="Times New Roman" w:cs="Times New Roman" w:eastAsia="Times New Roman" w:hint="default"/>
          <w:spacing w:val="-27"/>
        </w:rPr>
        <w:t> </w:t>
      </w:r>
      <w:r>
        <w:rPr>
          <w:spacing w:val="-4"/>
        </w:rPr>
        <w:t>移动系统，构建“五横三纵”总体架构。移动主干系统自底向上分为五层：基础环境层、数据资源层、</w:t>
      </w:r>
      <w:r>
        <w:rPr/>
        <w:t> 核心组件层、移动应用层、展现层。围绕五层，通过数据交换及服务集成，实现与总局、直属局各接口系统之间互联互通、</w:t>
      </w:r>
      <w:r>
        <w:rPr>
          <w:spacing w:val="-84"/>
        </w:rPr>
        <w:t> </w:t>
      </w:r>
      <w:r>
        <w:rPr>
          <w:spacing w:val="-84"/>
        </w:rPr>
      </w:r>
      <w:r>
        <w:rPr/>
        <w:t>协同协作，完成数据交换及共享，构建“五横三纵”总体架构。</w:t>
      </w:r>
    </w:p>
    <w:p>
      <w:pPr>
        <w:pStyle w:val="BodyText"/>
        <w:spacing w:line="360" w:lineRule="auto" w:before="86"/>
        <w:ind w:left="514" w:right="184" w:firstLine="90"/>
        <w:jc w:val="left"/>
      </w:pPr>
      <w:r>
        <w:rPr>
          <w:rFonts w:ascii="Times New Roman" w:hAnsi="Times New Roman" w:cs="Times New Roman" w:eastAsia="Times New Roman" w:hint="default"/>
        </w:rPr>
        <w:t>3</w:t>
      </w:r>
      <w:r>
        <w:rPr/>
        <w:t>、在物联网运营服务领域 </w:t>
      </w:r>
      <w:r>
        <w:rPr>
          <w:spacing w:val="-2"/>
        </w:rPr>
        <w:t>控股子公司容大物联网以电力行业为主要目标客户，推进物联网应用技术的研发及在电力行业信息化建设领域的持续拓</w:t>
      </w:r>
    </w:p>
    <w:p>
      <w:pPr>
        <w:pStyle w:val="BodyText"/>
        <w:spacing w:line="222" w:lineRule="exact"/>
        <w:ind w:right="184"/>
        <w:jc w:val="left"/>
      </w:pPr>
      <w:r>
        <w:rPr/>
        <w:t>展。</w:t>
      </w:r>
    </w:p>
    <w:p>
      <w:pPr>
        <w:pStyle w:val="BodyText"/>
        <w:spacing w:line="316" w:lineRule="auto" w:before="139"/>
        <w:ind w:right="189" w:firstLine="360"/>
        <w:jc w:val="both"/>
      </w:pPr>
      <w:r>
        <w:rPr>
          <w:spacing w:val="-2"/>
        </w:rPr>
        <w:t>控股子公司星榕基以物联网领域为方向，运营业务为主业的公司。公司基于福建省物联网公共支撑平台及福建省中小企</w:t>
      </w:r>
      <w:r>
        <w:rPr/>
        <w:t> 业信息化云服务公共平台，发展物联网、中小企业信息化、党建信息化、行业信息化四大业务。</w:t>
      </w:r>
    </w:p>
    <w:p>
      <w:pPr>
        <w:pStyle w:val="BodyText"/>
        <w:spacing w:line="240" w:lineRule="auto" w:before="81"/>
        <w:ind w:left="514" w:right="184"/>
        <w:jc w:val="left"/>
      </w:pPr>
      <w:r>
        <w:rPr/>
        <w:t>当前业务开展情况如下：</w:t>
      </w:r>
    </w:p>
    <w:p>
      <w:pPr>
        <w:pStyle w:val="BodyText"/>
        <w:spacing w:line="307" w:lineRule="auto" w:before="137"/>
        <w:ind w:right="198" w:firstLine="360"/>
        <w:jc w:val="both"/>
      </w:pPr>
      <w:r>
        <w:rPr/>
        <w:t>（</w:t>
      </w:r>
      <w:r>
        <w:rPr>
          <w:rFonts w:ascii="Times New Roman" w:hAnsi="Times New Roman" w:cs="Times New Roman" w:eastAsia="Times New Roman" w:hint="default"/>
        </w:rPr>
        <w:t>1</w:t>
      </w:r>
      <w:r>
        <w:rPr/>
        <w:t>）全力布局物联网业务。依托获得的福建省物联网公共支撑平台运营资格，确定了“</w:t>
      </w:r>
      <w:r>
        <w:rPr>
          <w:rFonts w:ascii="Times New Roman" w:hAnsi="Times New Roman" w:cs="Times New Roman" w:eastAsia="Times New Roman" w:hint="default"/>
        </w:rPr>
        <w:t>1+N+1</w:t>
      </w:r>
      <w:r>
        <w:rPr/>
        <w:t>”的物联网运营规划， 基</w:t>
      </w:r>
      <w:r>
        <w:rPr>
          <w:spacing w:val="-1"/>
        </w:rPr>
        <w:t> </w:t>
      </w:r>
      <w:r>
        <w:rPr/>
        <w:t>于“</w:t>
      </w:r>
      <w:r>
        <w:rPr>
          <w:rFonts w:ascii="Times New Roman" w:hAnsi="Times New Roman" w:cs="Times New Roman" w:eastAsia="Times New Roman" w:hint="default"/>
        </w:rPr>
        <w:t>1</w:t>
      </w:r>
      <w:r>
        <w:rPr/>
        <w:t>”个物联网公共支撑平台，服务“</w:t>
      </w:r>
      <w:r>
        <w:rPr>
          <w:rFonts w:ascii="Times New Roman" w:hAnsi="Times New Roman" w:cs="Times New Roman" w:eastAsia="Times New Roman" w:hint="default"/>
        </w:rPr>
        <w:t>N</w:t>
      </w:r>
      <w:r>
        <w:rPr/>
        <w:t>”个物联网行业应用，设立“</w:t>
      </w:r>
      <w:r>
        <w:rPr>
          <w:rFonts w:ascii="Times New Roman" w:hAnsi="Times New Roman" w:cs="Times New Roman" w:eastAsia="Times New Roman" w:hint="default"/>
        </w:rPr>
        <w:t>1</w:t>
      </w:r>
      <w:r>
        <w:rPr/>
        <w:t>”个双创孵化基地，实现平台数据真正流动起 来，带动全 省物联网产品升级和产业发展。经过一年多的摸索与实践，公司已开始向教育、消防、智慧生态等行业应用提 供支撑和服务。</w:t>
      </w:r>
    </w:p>
    <w:p>
      <w:pPr>
        <w:pStyle w:val="BodyText"/>
        <w:spacing w:line="300" w:lineRule="auto" w:before="88"/>
        <w:ind w:right="224" w:firstLine="360"/>
        <w:jc w:val="both"/>
      </w:pPr>
      <w:r>
        <w:rPr/>
        <w:t>（</w:t>
      </w:r>
      <w:r>
        <w:rPr>
          <w:rFonts w:ascii="Times New Roman" w:hAnsi="Times New Roman" w:cs="Times New Roman" w:eastAsia="Times New Roman" w:hint="default"/>
        </w:rPr>
        <w:t>2</w:t>
      </w:r>
      <w:r>
        <w:rPr/>
        <w:t>）孵化中小企业云平台。完成平台</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版本上线试运行和验收，围绕</w:t>
      </w:r>
      <w:r>
        <w:rPr>
          <w:spacing w:val="-46"/>
        </w:rPr>
        <w:t> </w:t>
      </w:r>
      <w:r>
        <w:rPr>
          <w:rFonts w:ascii="Times New Roman" w:hAnsi="Times New Roman" w:cs="Times New Roman" w:eastAsia="Times New Roman" w:hint="default"/>
        </w:rPr>
        <w:t>ICT</w:t>
      </w:r>
      <w:r>
        <w:rPr>
          <w:rFonts w:ascii="Times New Roman" w:hAnsi="Times New Roman" w:cs="Times New Roman" w:eastAsia="Times New Roman" w:hint="default"/>
          <w:spacing w:val="-1"/>
        </w:rPr>
        <w:t> </w:t>
      </w:r>
      <w:r>
        <w:rPr/>
        <w:t>服务、应用服务、政务服务等领域，为中 小 企业提供标准化、规范化、集约化的信息化服务。下一步将启动</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版本建设，重点服务工业企业和进出口企业。</w:t>
      </w:r>
    </w:p>
    <w:p>
      <w:pPr>
        <w:pStyle w:val="BodyText"/>
        <w:spacing w:line="240" w:lineRule="auto" w:before="75"/>
        <w:ind w:left="514" w:right="184"/>
        <w:jc w:val="left"/>
      </w:pPr>
      <w:r>
        <w:rPr/>
        <w:t>（</w:t>
      </w:r>
      <w:r>
        <w:rPr>
          <w:rFonts w:ascii="Times New Roman" w:hAnsi="Times New Roman" w:cs="Times New Roman" w:eastAsia="Times New Roman" w:hint="default"/>
        </w:rPr>
        <w:t>3</w:t>
      </w:r>
      <w:r>
        <w:rPr/>
        <w:t>）持续服务党建信息化，为全国推广和进一步增值运营打下良好基础。</w:t>
      </w:r>
    </w:p>
    <w:p>
      <w:pPr>
        <w:spacing w:line="240" w:lineRule="auto" w:before="0"/>
        <w:rPr>
          <w:rFonts w:ascii="宋体" w:hAnsi="宋体" w:cs="宋体" w:eastAsia="宋体" w:hint="default"/>
          <w:sz w:val="24"/>
          <w:szCs w:val="24"/>
        </w:rPr>
      </w:pPr>
    </w:p>
    <w:p>
      <w:pPr>
        <w:pStyle w:val="Heading2"/>
        <w:spacing w:line="240" w:lineRule="auto"/>
        <w:ind w:right="184"/>
        <w:jc w:val="left"/>
        <w:rPr>
          <w:b w:val="0"/>
          <w:bCs w:val="0"/>
        </w:rPr>
      </w:pP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84"/>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28"/>
        <w:gridCol w:w="6528"/>
      </w:tblGrid>
      <w:tr>
        <w:trPr>
          <w:trHeight w:val="186" w:hRule="exact"/>
        </w:trPr>
        <w:tc>
          <w:tcPr>
            <w:tcW w:w="3028" w:type="dxa"/>
            <w:tcBorders>
              <w:top w:val="single" w:sz="4" w:space="0" w:color="000000"/>
              <w:left w:val="single" w:sz="4" w:space="0" w:color="000000"/>
              <w:bottom w:val="nil" w:sz="6" w:space="0" w:color="auto"/>
              <w:right w:val="single" w:sz="4" w:space="0" w:color="000000"/>
            </w:tcBorders>
            <w:shd w:val="clear" w:color="auto" w:fill="D3D3D3"/>
          </w:tcPr>
          <w:p>
            <w:pPr/>
          </w:p>
        </w:tc>
        <w:tc>
          <w:tcPr>
            <w:tcW w:w="652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302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28" w:type="dxa"/>
            <w:tcBorders>
              <w:top w:val="nil" w:sz="6" w:space="0" w:color="auto"/>
              <w:left w:val="single" w:sz="4" w:space="0" w:color="000000"/>
              <w:bottom w:val="single" w:sz="4" w:space="0" w:color="000000"/>
              <w:right w:val="single" w:sz="4" w:space="0" w:color="000000"/>
            </w:tcBorders>
            <w:shd w:val="clear" w:color="auto" w:fill="D3D3D3"/>
          </w:tcPr>
          <w:p>
            <w:pPr/>
          </w:p>
        </w:tc>
        <w:tc>
          <w:tcPr>
            <w:tcW w:w="652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0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0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0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40"/>
        </w:sectPr>
      </w:pPr>
    </w:p>
    <w:p>
      <w:pPr>
        <w:spacing w:line="240" w:lineRule="auto" w:before="2"/>
        <w:rPr>
          <w:rFonts w:ascii="宋体" w:hAnsi="宋体" w:cs="宋体" w:eastAsia="宋体" w:hint="default"/>
          <w:b/>
          <w:bCs/>
          <w:sz w:val="24"/>
          <w:szCs w:val="24"/>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3044;top:14;width:2;height:393" coordorigin="3044,14" coordsize="2,393">
              <v:shape style="position:absolute;left:3044;top:14;width:2;height:393" coordorigin="3044,14" coordsize="0,393" path="m3044,14l3044,407e" filled="false" stroked="true" strokeweight="1.140pt" strokecolor="#d3d3d3">
                <v:path arrowok="t"/>
              </v:shape>
            </v:group>
            <v:group style="position:absolute;left:37;top:14;width:2996;height:393" coordorigin="37,14" coordsize="2996,393">
              <v:shape style="position:absolute;left:37;top:14;width:2996;height:393" coordorigin="37,14" coordsize="2996,393" path="m37,407l3032,407,3032,14,37,14,37,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3052;height:2" coordorigin="5,412" coordsize="3052,2">
              <v:shape style="position:absolute;left:5;top:412;width:3052;height:2" coordorigin="5,412" coordsize="3052,0" path="m5,412l3056,412e" filled="false" stroked="true" strokeweight=".47998pt" strokecolor="#000000">
                <v:path arrowok="t"/>
              </v:shape>
            </v:group>
            <v:group style="position:absolute;left:3061;top:14;width:2;height:402" coordorigin="3061,14" coordsize="2,402">
              <v:shape style="position:absolute;left:3061;top:14;width:2;height:402" coordorigin="3061,14" coordsize="0,402" path="m3061,14l3061,416e" filled="false" stroked="true" strokeweight=".48001pt" strokecolor="#000000">
                <v:path arrowok="t"/>
              </v:shape>
            </v:group>
            <v:group style="position:absolute;left:3066;top:412;width:6507;height:2" coordorigin="3066,412" coordsize="6507,2">
              <v:shape style="position:absolute;left:3066;top:412;width:6507;height:2" coordorigin="3066,412" coordsize="6507,0" path="m3066,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0;top:10;width:3040;height:402"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宋体" w:hAnsi="宋体" w:cs="宋体" w:eastAsia="宋体" w:hint="default"/>
                          <w:sz w:val="18"/>
                          <w:szCs w:val="18"/>
                        </w:rPr>
                        <w:t>在建工程</w:t>
                      </w:r>
                    </w:p>
                  </w:txbxContent>
                </v:textbox>
                <w10:wrap type="none"/>
              </v:shape>
              <v:shape style="position:absolute;left:3049;top:10;width:6528;height:402" type="#_x0000_t202" filled="false" stroked="false">
                <v:textbox inset="0,0,0,0">
                  <w:txbxContent>
                    <w:p>
                      <w:pPr>
                        <w:spacing w:before="56"/>
                        <w:ind w:left="39" w:right="0" w:firstLine="0"/>
                        <w:jc w:val="left"/>
                        <w:rPr>
                          <w:rFonts w:ascii="宋体" w:hAnsi="宋体" w:cs="宋体" w:eastAsia="宋体" w:hint="default"/>
                          <w:sz w:val="18"/>
                          <w:szCs w:val="18"/>
                        </w:rPr>
                      </w:pPr>
                      <w:r>
                        <w:rPr>
                          <w:rFonts w:ascii="宋体" w:hAnsi="宋体" w:cs="宋体" w:eastAsia="宋体" w:hint="default"/>
                          <w:sz w:val="18"/>
                          <w:szCs w:val="18"/>
                        </w:rPr>
                        <w:t>本报告期增加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亿元，主要是上海榕基软件园工程投入增加</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b/>
          <w:bCs/>
          <w:sz w:val="18"/>
          <w:szCs w:val="18"/>
        </w:rPr>
      </w:pPr>
    </w:p>
    <w:p>
      <w:pPr>
        <w:pStyle w:val="Heading3"/>
        <w:spacing w:line="240" w:lineRule="auto" w:before="35"/>
        <w:ind w:right="184"/>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84"/>
        <w:jc w:val="left"/>
        <w:rPr>
          <w:b w:val="0"/>
          <w:bCs w:val="0"/>
        </w:rPr>
      </w:pP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3" w:right="6751"/>
        <w:jc w:val="left"/>
      </w:pPr>
      <w:r>
        <w:rPr/>
        <w:t>公司是否需要遵守特殊行业的披露要求 否</w:t>
      </w:r>
    </w:p>
    <w:p>
      <w:pPr>
        <w:pStyle w:val="BodyText"/>
        <w:spacing w:line="316" w:lineRule="auto" w:before="47"/>
        <w:ind w:right="191" w:firstLine="359"/>
        <w:jc w:val="both"/>
      </w:pPr>
      <w:r>
        <w:rPr>
          <w:spacing w:val="-5"/>
        </w:rPr>
        <w:t>公司一直专注于行业应用软件研发、系统集成和运维服务，经过多年的不懈努力，已在客户资源、技术创新、行业经验、</w:t>
      </w:r>
      <w:r>
        <w:rPr/>
        <w:t> 企业管理与人力资源、销售和服务网络等方面形成了公司的核心竞争力，成为国内知名的软件产品和服务提供商。</w:t>
      </w:r>
    </w:p>
    <w:p>
      <w:pPr>
        <w:pStyle w:val="BodyText"/>
        <w:spacing w:line="381" w:lineRule="auto" w:before="81"/>
        <w:ind w:left="514" w:right="184"/>
        <w:jc w:val="left"/>
      </w:pPr>
      <w:r>
        <w:rPr/>
        <w:t>1、客户资源 </w:t>
      </w:r>
      <w:r>
        <w:rPr>
          <w:spacing w:val="-2"/>
        </w:rPr>
        <w:t>公司经过25年的发展和积累，客户涵盖了党政、质检、能源、司法、环保等行业，拥有了广泛、优质的客户资源，公司</w:t>
      </w:r>
    </w:p>
    <w:p>
      <w:pPr>
        <w:pStyle w:val="BodyText"/>
        <w:spacing w:line="206" w:lineRule="exact"/>
        <w:ind w:right="0"/>
        <w:jc w:val="left"/>
      </w:pPr>
      <w:r>
        <w:rPr/>
        <w:t>客户群整体质量突出。公司始终强调品牌建设，重视客户需求，技术支持和服务到位，客户满意度和忠诚度较高，客户对公</w:t>
      </w:r>
    </w:p>
    <w:p>
      <w:pPr>
        <w:pStyle w:val="BodyText"/>
        <w:spacing w:line="379" w:lineRule="auto" w:before="76"/>
        <w:ind w:left="514" w:right="4950" w:hanging="360"/>
        <w:jc w:val="left"/>
      </w:pPr>
      <w:r>
        <w:rPr/>
        <w:t>司各类产品形成了较强的粘性，稳定客户的保有率不断提高。 2、技术研发</w:t>
      </w:r>
    </w:p>
    <w:p>
      <w:pPr>
        <w:pStyle w:val="BodyText"/>
        <w:spacing w:line="316" w:lineRule="auto" w:before="34"/>
        <w:ind w:right="189" w:firstLine="360"/>
        <w:jc w:val="both"/>
      </w:pPr>
      <w:r>
        <w:rPr/>
        <w:t>公司连续16年被评为“国家规划布局内重点软件企业”、是“国家863计划成果产业化基地”和“国家火炬计划重点高 </w:t>
      </w:r>
      <w:r>
        <w:rPr>
          <w:spacing w:val="-2"/>
        </w:rPr>
        <w:t>新技术企业”，被认定为“福建省省级企业技术中心”、“福建省软件技术研发中心”、“福州软件园博士后工作站榕基分</w:t>
      </w:r>
      <w:r>
        <w:rPr>
          <w:spacing w:val="-69"/>
        </w:rPr>
        <w:t> </w:t>
      </w:r>
      <w:r>
        <w:rPr>
          <w:spacing w:val="-69"/>
        </w:rPr>
      </w:r>
      <w:r>
        <w:rPr>
          <w:spacing w:val="-2"/>
        </w:rPr>
        <w:t>站”和“福建省创新型企业”，曾荣获“中国十大创新软件企业”、“福建省知识产权优势企业”、“福建省战略性新兴产</w:t>
      </w:r>
      <w:r>
        <w:rPr>
          <w:spacing w:val="-72"/>
        </w:rPr>
        <w:t> </w:t>
      </w:r>
      <w:r>
        <w:rPr>
          <w:spacing w:val="-72"/>
        </w:rPr>
      </w:r>
      <w:r>
        <w:rPr>
          <w:spacing w:val="-2"/>
        </w:rPr>
        <w:t>业骨干企业”。公司作为中国软件产品开发与销售的先行者之一，建立了以企业技术中心为核心的创新体系，多次承担国家</w:t>
      </w:r>
      <w:r>
        <w:rPr>
          <w:spacing w:val="-66"/>
        </w:rPr>
        <w:t> </w:t>
      </w:r>
      <w:r>
        <w:rPr>
          <w:spacing w:val="-66"/>
        </w:rPr>
      </w:r>
      <w:r>
        <w:rPr/>
        <w:t>863项目、电子信息产业发展基金、创新基金以及高科技产业化专项基金项目课题，在所处领域中拥有多项国内领先的创新 技术，已形成较强的核心技术竞争力。</w:t>
      </w:r>
    </w:p>
    <w:p>
      <w:pPr>
        <w:pStyle w:val="BodyText"/>
        <w:spacing w:line="316" w:lineRule="auto" w:before="81"/>
        <w:ind w:right="189" w:firstLine="360"/>
        <w:jc w:val="both"/>
      </w:pPr>
      <w:r>
        <w:rPr>
          <w:spacing w:val="-2"/>
        </w:rPr>
        <w:t>公司结合自身条件和外部市场环境，在云计算、大数据、移动办公云平台、智慧城市、中小企业信息化等方向上取得了</w:t>
      </w:r>
      <w:r>
        <w:rPr/>
        <w:t> </w:t>
      </w:r>
      <w:r>
        <w:rPr>
          <w:spacing w:val="-2"/>
        </w:rPr>
        <w:t>技术创新。截至目前，公司拥有“榕基”品牌的自主知识产权包括31项专利，166项计算机软件著作权及108项软件产品登记</w:t>
      </w:r>
      <w:r>
        <w:rPr>
          <w:spacing w:val="-58"/>
        </w:rPr>
        <w:t> </w:t>
      </w:r>
      <w:r>
        <w:rPr>
          <w:spacing w:val="-58"/>
        </w:rPr>
      </w:r>
      <w:r>
        <w:rPr>
          <w:spacing w:val="-2"/>
        </w:rPr>
        <w:t>证书。公司多个自主知识产权的软件产品和技术达到国内领先水平和国际先进水平，近年来有多个自主产品被列入国家和省</w:t>
      </w:r>
      <w:r>
        <w:rPr>
          <w:spacing w:val="-64"/>
        </w:rPr>
        <w:t> </w:t>
      </w:r>
      <w:r>
        <w:rPr>
          <w:spacing w:val="-64"/>
        </w:rPr>
      </w:r>
      <w:r>
        <w:rPr/>
        <w:t>部级创新产品，获得多项国家、省、市科技进步奖和优秀产品等荣誉。</w:t>
      </w:r>
    </w:p>
    <w:p>
      <w:pPr>
        <w:pStyle w:val="BodyText"/>
        <w:spacing w:line="381" w:lineRule="auto" w:before="80"/>
        <w:ind w:left="514" w:right="184"/>
        <w:jc w:val="left"/>
      </w:pPr>
      <w:r>
        <w:rPr/>
        <w:t>3、行业经验 </w:t>
      </w:r>
      <w:r>
        <w:rPr>
          <w:spacing w:val="-2"/>
        </w:rPr>
        <w:t>公司作为主营业务领域的龙头企业和骨干企业，具备突出的行业业务理解能力，具备较强的综合集成、软件开发、数据</w:t>
      </w:r>
    </w:p>
    <w:p>
      <w:pPr>
        <w:pStyle w:val="BodyText"/>
        <w:spacing w:line="206" w:lineRule="exact"/>
        <w:ind w:right="91"/>
        <w:jc w:val="left"/>
      </w:pPr>
      <w:r>
        <w:rPr/>
        <w:t>服务、安全运维等一体化综合服务能力，承担了金质工程、金环工程、天平工程、SG186工程、信息安全内控运维、政府政</w:t>
      </w:r>
    </w:p>
    <w:p>
      <w:pPr>
        <w:pStyle w:val="BodyText"/>
        <w:spacing w:line="381" w:lineRule="auto" w:before="76"/>
        <w:ind w:left="514" w:right="90" w:hanging="360"/>
        <w:jc w:val="left"/>
      </w:pPr>
      <w:r>
        <w:rPr/>
        <w:t>务云计算平台等国家重大信息化项目以及多个行业核心业务支撑系统和关键共性技术平台，具有典型示范和辐射带动作用。</w:t>
      </w:r>
      <w:r>
        <w:rPr>
          <w:spacing w:val="-84"/>
        </w:rPr>
        <w:t> </w:t>
      </w:r>
      <w:r>
        <w:rPr>
          <w:spacing w:val="-84"/>
        </w:rPr>
      </w:r>
      <w:r>
        <w:rPr/>
        <w:t>4、人力优势</w:t>
      </w:r>
      <w:r>
        <w:rPr/>
        <w:t> </w:t>
      </w:r>
      <w:r>
        <w:rPr>
          <w:spacing w:val="-2"/>
        </w:rPr>
        <w:t>公司在多年的经营实践中形成了稳定的、受过良好教育又具有行业经验的核心管理团队和优秀的、富有经验的研发技术</w:t>
      </w:r>
    </w:p>
    <w:p>
      <w:pPr>
        <w:pStyle w:val="BodyText"/>
        <w:spacing w:line="206" w:lineRule="exact"/>
        <w:ind w:right="91"/>
        <w:jc w:val="left"/>
      </w:pPr>
      <w:r>
        <w:rPr>
          <w:spacing w:val="-5"/>
        </w:rPr>
        <w:t>团队。公司建立了人员招聘体系、职务职责体系、薪酬福利体系、绩效考核体系、研发和创新激励体系等一系列机制，吸引、</w:t>
      </w:r>
    </w:p>
    <w:p>
      <w:pPr>
        <w:pStyle w:val="BodyText"/>
        <w:spacing w:line="316" w:lineRule="auto" w:before="76"/>
        <w:ind w:right="184"/>
        <w:jc w:val="left"/>
      </w:pPr>
      <w:r>
        <w:rPr>
          <w:spacing w:val="-2"/>
        </w:rPr>
        <w:t>培养了一支技术水平高、经验丰富、富有团队协作精神，且对公司的企业文化有较高的认同感的研发技术团队，为公司规模</w:t>
      </w:r>
      <w:r>
        <w:rPr>
          <w:spacing w:val="-66"/>
        </w:rPr>
        <w:t> </w:t>
      </w:r>
      <w:r>
        <w:rPr>
          <w:spacing w:val="-66"/>
        </w:rPr>
      </w:r>
      <w:r>
        <w:rPr/>
        <w:t>化发展提供了有力的保障。</w:t>
      </w:r>
    </w:p>
    <w:p>
      <w:pPr>
        <w:pStyle w:val="BodyText"/>
        <w:spacing w:line="381" w:lineRule="auto" w:before="81"/>
        <w:ind w:left="514" w:right="90"/>
        <w:jc w:val="left"/>
      </w:pPr>
      <w:r>
        <w:rPr/>
        <w:t>5、销售和服务网络 公司总部设在福州，在北京、上海、深圳、杭州和郑州设立五个区域分部，在全国设立了20多家分子公司。报告期内，</w:t>
      </w:r>
    </w:p>
    <w:p>
      <w:pPr>
        <w:pStyle w:val="BodyText"/>
        <w:spacing w:line="206" w:lineRule="exact"/>
        <w:ind w:right="91"/>
        <w:jc w:val="left"/>
      </w:pPr>
      <w:r>
        <w:rPr/>
        <w:t>公司新建、扩建营销与运维服务网点共120多个，提高了营销与运维服务网点的覆盖率，完善了包括客户服务支持系统、客</w:t>
      </w:r>
    </w:p>
    <w:p>
      <w:pPr>
        <w:pStyle w:val="BodyText"/>
        <w:spacing w:line="240" w:lineRule="auto" w:before="76"/>
        <w:ind w:right="184"/>
        <w:jc w:val="left"/>
      </w:pPr>
      <w:r>
        <w:rPr/>
        <w:t>户服务中心、服务管理体系在内的运维服务体系，提高了公司的运维服务能力和服务质量，进一步提高了市场占有率。</w:t>
      </w:r>
    </w:p>
    <w:p>
      <w:pPr>
        <w:spacing w:after="0" w:line="240" w:lineRule="auto"/>
        <w:jc w:val="left"/>
        <w:sectPr>
          <w:pgSz w:w="11910" w:h="16840"/>
          <w:pgMar w:header="877" w:footer="982" w:top="110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2965" w:right="1258"/>
        <w:jc w:val="left"/>
        <w:rPr>
          <w:b w:val="0"/>
          <w:bCs w:val="0"/>
        </w:rPr>
      </w:pPr>
      <w:bookmarkStart w:name="_TOC_250008" w:id="4"/>
      <w:r>
        <w:rPr/>
        <w:t>第四节</w:t>
      </w:r>
      <w:r>
        <w:rPr>
          <w:spacing w:val="-10"/>
        </w:rPr>
        <w:t> </w:t>
      </w:r>
      <w:r>
        <w:rPr/>
        <w:t>经营情况讨论与分析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513" w:right="151"/>
        <w:jc w:val="left"/>
      </w:pPr>
      <w:r>
        <w:rPr>
          <w:rFonts w:ascii="Times New Roman" w:hAnsi="Times New Roman" w:cs="Times New Roman" w:eastAsia="Times New Roman" w:hint="default"/>
        </w:rPr>
        <w:t>1</w:t>
      </w:r>
      <w:r>
        <w:rPr/>
        <w:t>、总体经营情况 </w:t>
      </w:r>
      <w:r>
        <w:rPr>
          <w:spacing w:val="-2"/>
        </w:rPr>
        <w:t>报告期内，在公司经营管理班子和全体员工的共同努力下，公司继续推进软件</w:t>
      </w:r>
      <w:r>
        <w:rPr>
          <w:rFonts w:ascii="Times New Roman" w:hAnsi="Times New Roman" w:cs="Times New Roman" w:eastAsia="Times New Roman" w:hint="default"/>
          <w:spacing w:val="-2"/>
        </w:rPr>
        <w:t>“</w:t>
      </w:r>
      <w:r>
        <w:rPr>
          <w:spacing w:val="-2"/>
        </w:rPr>
        <w:t>行业化、产品化、服务化</w:t>
      </w:r>
      <w:r>
        <w:rPr>
          <w:rFonts w:ascii="Times New Roman" w:hAnsi="Times New Roman" w:cs="Times New Roman" w:eastAsia="Times New Roman" w:hint="default"/>
          <w:spacing w:val="-2"/>
        </w:rPr>
        <w:t>”</w:t>
      </w:r>
      <w:r>
        <w:rPr>
          <w:spacing w:val="-2"/>
        </w:rPr>
        <w:t>经营布局，持</w:t>
      </w:r>
    </w:p>
    <w:p>
      <w:pPr>
        <w:pStyle w:val="BodyText"/>
        <w:spacing w:line="199" w:lineRule="exact"/>
        <w:ind w:right="0"/>
        <w:jc w:val="both"/>
      </w:pPr>
      <w:r>
        <w:rPr/>
        <w:t>续加大产品研发的投入和力度，巩固了电子政务、协同管理等领域的综合竞争优势，积极培育以云计算、大数据、物联网技</w:t>
      </w:r>
    </w:p>
    <w:p>
      <w:pPr>
        <w:pStyle w:val="BodyText"/>
        <w:spacing w:line="240" w:lineRule="auto" w:before="76"/>
        <w:ind w:right="0"/>
        <w:jc w:val="both"/>
      </w:pPr>
      <w:r>
        <w:rPr/>
        <w:t>术为基础的新业务，致力于传统和创新两大运营服务体系建设，开拓了新的业务增长点，提升了公司的竞争力。</w:t>
      </w:r>
    </w:p>
    <w:p>
      <w:pPr>
        <w:pStyle w:val="BodyText"/>
        <w:spacing w:line="300" w:lineRule="auto" w:before="136"/>
        <w:ind w:right="235" w:firstLine="360"/>
        <w:jc w:val="both"/>
        <w:rPr>
          <w:rFonts w:ascii="Times New Roman" w:hAnsi="Times New Roman" w:cs="Times New Roman" w:eastAsia="Times New Roman" w:hint="default"/>
        </w:rPr>
      </w:pPr>
      <w:r>
        <w:rPr>
          <w:rFonts w:ascii="Times New Roman" w:hAnsi="Times New Roman" w:cs="Times New Roman" w:eastAsia="Times New Roman" w:hint="default"/>
        </w:rPr>
        <w:t>2017</w:t>
      </w:r>
      <w:r>
        <w:rPr/>
        <w:t>年公司共实现营业收入</w:t>
      </w:r>
      <w:r>
        <w:rPr>
          <w:rFonts w:ascii="Times New Roman" w:hAnsi="Times New Roman" w:cs="Times New Roman" w:eastAsia="Times New Roman" w:hint="default"/>
        </w:rPr>
        <w:t>74,200.47</w:t>
      </w:r>
      <w:r>
        <w:rPr/>
        <w:t>万元，比上年同期增加</w:t>
      </w:r>
      <w:r>
        <w:rPr>
          <w:rFonts w:ascii="Times New Roman" w:hAnsi="Times New Roman" w:cs="Times New Roman" w:eastAsia="Times New Roman" w:hint="default"/>
        </w:rPr>
        <w:t>5.61%</w:t>
      </w:r>
      <w:r>
        <w:rPr/>
        <w:t>；归属于上市公司股东的净利润为</w:t>
      </w:r>
      <w:r>
        <w:rPr>
          <w:rFonts w:ascii="Times New Roman" w:hAnsi="Times New Roman" w:cs="Times New Roman" w:eastAsia="Times New Roman" w:hint="default"/>
        </w:rPr>
        <w:t>3,276.32</w:t>
      </w:r>
      <w:r>
        <w:rPr/>
        <w:t>万元，比 上年同期增加</w:t>
      </w:r>
      <w:r>
        <w:rPr>
          <w:rFonts w:ascii="Times New Roman" w:hAnsi="Times New Roman" w:cs="Times New Roman" w:eastAsia="Times New Roman" w:hint="default"/>
        </w:rPr>
        <w:t>31.87%</w:t>
      </w:r>
      <w:r>
        <w:rPr/>
        <w:t>；营业成本比上年同期增加</w:t>
      </w:r>
      <w:r>
        <w:rPr>
          <w:rFonts w:ascii="Times New Roman" w:hAnsi="Times New Roman" w:cs="Times New Roman" w:eastAsia="Times New Roman" w:hint="default"/>
        </w:rPr>
        <w:t>4.72%</w:t>
      </w:r>
      <w:r>
        <w:rPr/>
        <w:t>；销售费用比上年同期减少</w:t>
      </w:r>
      <w:r>
        <w:rPr>
          <w:rFonts w:ascii="Times New Roman" w:hAnsi="Times New Roman" w:cs="Times New Roman" w:eastAsia="Times New Roman" w:hint="default"/>
        </w:rPr>
        <w:t>7.97%</w:t>
      </w:r>
      <w:r>
        <w:rPr/>
        <w:t>，管理费用比上年同期增加</w:t>
      </w:r>
      <w:r>
        <w:rPr>
          <w:rFonts w:ascii="Times New Roman" w:hAnsi="Times New Roman" w:cs="Times New Roman" w:eastAsia="Times New Roman" w:hint="default"/>
        </w:rPr>
        <w:t>1.67%</w:t>
      </w:r>
    </w:p>
    <w:p>
      <w:pPr>
        <w:pStyle w:val="BodyText"/>
        <w:spacing w:line="300" w:lineRule="auto" w:before="13"/>
        <w:ind w:right="188"/>
        <w:jc w:val="both"/>
      </w:pPr>
      <w:r>
        <w:rPr/>
        <w:t>；财务费用比上年同期增加</w:t>
      </w:r>
      <w:r>
        <w:rPr>
          <w:rFonts w:ascii="Times New Roman" w:hAnsi="Times New Roman" w:cs="Times New Roman" w:eastAsia="Times New Roman" w:hint="default"/>
        </w:rPr>
        <w:t>90.41%</w:t>
      </w:r>
      <w:r>
        <w:rPr/>
        <w:t>，主要是报告期利息支出较上年同期增加较多；经营活动产生的现金流量净额较上年同 期增加</w:t>
      </w:r>
      <w:r>
        <w:rPr>
          <w:rFonts w:ascii="Times New Roman" w:hAnsi="Times New Roman" w:cs="Times New Roman" w:eastAsia="Times New Roman" w:hint="default"/>
        </w:rPr>
        <w:t>50.36%</w:t>
      </w:r>
      <w:r>
        <w:rPr/>
        <w:t>，主要是报告期销售商品、提供劳务收到的现金增加及支付的其他与经营活动有关的现金减少；投资活动产 生的现金流量净额较上年同期减少</w:t>
      </w:r>
      <w:r>
        <w:rPr>
          <w:rFonts w:ascii="Times New Roman" w:hAnsi="Times New Roman" w:cs="Times New Roman" w:eastAsia="Times New Roman" w:hint="default"/>
        </w:rPr>
        <w:t>4,318.45%</w:t>
      </w:r>
      <w:r>
        <w:rPr/>
        <w:t>，主要是报告期理财产品净额增加；筹资活动产生的现金流量净额较上年同期 增加</w:t>
      </w:r>
      <w:r>
        <w:rPr>
          <w:rFonts w:ascii="Times New Roman" w:hAnsi="Times New Roman" w:cs="Times New Roman" w:eastAsia="Times New Roman" w:hint="default"/>
        </w:rPr>
        <w:t>500.86%</w:t>
      </w:r>
      <w:r>
        <w:rPr/>
        <w:t>，主要是报告期短期借款增加。</w:t>
      </w:r>
    </w:p>
    <w:p>
      <w:pPr>
        <w:pStyle w:val="BodyText"/>
        <w:spacing w:line="240" w:lineRule="auto" w:before="77"/>
        <w:ind w:left="514" w:right="1258"/>
        <w:jc w:val="left"/>
      </w:pPr>
      <w:r>
        <w:rPr>
          <w:rFonts w:ascii="Times New Roman" w:hAnsi="Times New Roman" w:cs="Times New Roman" w:eastAsia="Times New Roman" w:hint="default"/>
        </w:rPr>
        <w:t>2</w:t>
      </w:r>
      <w:r>
        <w:rPr/>
        <w:t>、报告期内公司重要经营管理事项回顾</w:t>
      </w:r>
    </w:p>
    <w:p>
      <w:pPr>
        <w:pStyle w:val="BodyText"/>
        <w:spacing w:line="300" w:lineRule="auto" w:before="124"/>
        <w:ind w:right="149" w:firstLine="36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4</w:t>
      </w:r>
      <w:r>
        <w:rPr/>
        <w:t>月，公司自主研发的行政类案同判专题分析系统软件，获得最高人民法院信息中心颁发的</w:t>
      </w:r>
      <w:r>
        <w:rPr>
          <w:rFonts w:ascii="Times New Roman" w:hAnsi="Times New Roman" w:cs="Times New Roman" w:eastAsia="Times New Roman" w:hint="default"/>
        </w:rPr>
        <w:t>“</w:t>
      </w:r>
      <w:r>
        <w:rPr/>
        <w:t>第一届司法大数据专 </w:t>
      </w:r>
      <w:r>
        <w:rPr>
          <w:spacing w:val="-1"/>
        </w:rPr>
        <w:t>题协作研究三等奖</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5</w:t>
      </w:r>
      <w:r>
        <w:rPr>
          <w:spacing w:val="-1"/>
        </w:rPr>
        <w:t>月，公司研发的</w:t>
      </w:r>
      <w:r>
        <w:rPr>
          <w:rFonts w:ascii="Times New Roman" w:hAnsi="Times New Roman" w:cs="Times New Roman" w:eastAsia="Times New Roman" w:hint="default"/>
          <w:spacing w:val="-1"/>
        </w:rPr>
        <w:t>“</w:t>
      </w:r>
      <w:r>
        <w:rPr>
          <w:spacing w:val="-1"/>
        </w:rPr>
        <w:t>泗泾城市</w:t>
      </w:r>
      <w:r>
        <w:rPr>
          <w:rFonts w:ascii="Times New Roman" w:hAnsi="Times New Roman" w:cs="Times New Roman" w:eastAsia="Times New Roman" w:hint="default"/>
          <w:spacing w:val="-1"/>
        </w:rPr>
        <w:t>e</w:t>
      </w:r>
      <w:r>
        <w:rPr>
          <w:spacing w:val="-1"/>
        </w:rPr>
        <w:t>管家</w:t>
      </w:r>
      <w:r>
        <w:rPr>
          <w:rFonts w:ascii="Times New Roman" w:hAnsi="Times New Roman" w:cs="Times New Roman" w:eastAsia="Times New Roman" w:hint="default"/>
          <w:spacing w:val="-1"/>
        </w:rPr>
        <w:t>”</w:t>
      </w:r>
      <w:r>
        <w:rPr>
          <w:spacing w:val="-1"/>
        </w:rPr>
        <w:t>软件在</w:t>
      </w:r>
      <w:r>
        <w:rPr>
          <w:rFonts w:ascii="Times New Roman" w:hAnsi="Times New Roman" w:cs="Times New Roman" w:eastAsia="Times New Roman" w:hint="default"/>
          <w:spacing w:val="-1"/>
        </w:rPr>
        <w:t>“</w:t>
      </w:r>
      <w:r>
        <w:rPr>
          <w:spacing w:val="-1"/>
        </w:rPr>
        <w:t>第三届上海社会建设十大创新项目评选</w:t>
      </w:r>
      <w:r>
        <w:rPr>
          <w:rFonts w:ascii="Times New Roman" w:hAnsi="Times New Roman" w:cs="Times New Roman" w:eastAsia="Times New Roman" w:hint="default"/>
          <w:spacing w:val="-1"/>
        </w:rPr>
        <w:t>”</w:t>
      </w:r>
      <w:r>
        <w:rPr>
          <w:spacing w:val="-1"/>
        </w:rPr>
        <w:t>中斩获</w:t>
      </w:r>
      <w:r>
        <w:rPr>
          <w:rFonts w:ascii="Times New Roman" w:hAnsi="Times New Roman" w:cs="Times New Roman" w:eastAsia="Times New Roman" w:hint="default"/>
          <w:spacing w:val="-1"/>
        </w:rPr>
        <w:t>“</w:t>
      </w:r>
      <w:r>
        <w:rPr>
          <w:spacing w:val="-1"/>
        </w:rPr>
        <w:t>优秀创新项</w:t>
      </w:r>
      <w:r>
        <w:rPr>
          <w:spacing w:val="-46"/>
        </w:rPr>
        <w:t> </w:t>
      </w:r>
      <w:r>
        <w:rPr/>
        <w:t>目奖</w:t>
      </w:r>
      <w:r>
        <w:rPr>
          <w:rFonts w:ascii="Times New Roman" w:hAnsi="Times New Roman" w:cs="Times New Roman" w:eastAsia="Times New Roman" w:hint="default"/>
        </w:rPr>
        <w:t>”</w:t>
      </w:r>
      <w:r>
        <w:rPr/>
        <w:t>。</w:t>
      </w:r>
    </w:p>
    <w:p>
      <w:pPr>
        <w:pStyle w:val="BodyText"/>
        <w:spacing w:line="300" w:lineRule="auto" w:before="75"/>
        <w:ind w:right="149" w:firstLine="360"/>
        <w:jc w:val="both"/>
      </w:pPr>
      <w:r>
        <w:rPr>
          <w:spacing w:val="-1"/>
        </w:rPr>
        <w:t>（</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5</w:t>
      </w:r>
      <w:r>
        <w:rPr>
          <w:spacing w:val="-1"/>
        </w:rPr>
        <w:t>月，榕基工程获得</w:t>
      </w:r>
      <w:r>
        <w:rPr>
          <w:rFonts w:ascii="Times New Roman" w:hAnsi="Times New Roman" w:cs="Times New Roman" w:eastAsia="Times New Roman" w:hint="default"/>
          <w:spacing w:val="-1"/>
        </w:rPr>
        <w:t>SEI</w:t>
      </w:r>
      <w:r>
        <w:rPr>
          <w:spacing w:val="-1"/>
        </w:rPr>
        <w:t>审核颁发的</w:t>
      </w:r>
      <w:r>
        <w:rPr>
          <w:rFonts w:ascii="Times New Roman" w:hAnsi="Times New Roman" w:cs="Times New Roman" w:eastAsia="Times New Roman" w:hint="default"/>
          <w:spacing w:val="-1"/>
        </w:rPr>
        <w:t>CMMI5</w:t>
      </w:r>
      <w:r>
        <w:rPr>
          <w:spacing w:val="-1"/>
        </w:rPr>
        <w:t>级评估认证证书，标志着公司的研发管理、质量管理等能力已达到国际</w:t>
      </w:r>
      <w:r>
        <w:rPr/>
        <w:t> </w:t>
      </w:r>
      <w:r>
        <w:rPr>
          <w:spacing w:val="-2"/>
        </w:rPr>
        <w:t>先进水平；</w:t>
      </w:r>
      <w:r>
        <w:rPr>
          <w:rFonts w:ascii="Times New Roman" w:hAnsi="Times New Roman" w:cs="Times New Roman" w:eastAsia="Times New Roman" w:hint="default"/>
          <w:spacing w:val="-2"/>
        </w:rPr>
        <w:t>5</w:t>
      </w:r>
      <w:r>
        <w:rPr>
          <w:spacing w:val="-2"/>
        </w:rPr>
        <w:t>月，公司获得福建省质量管理协会授予的</w:t>
      </w:r>
      <w:r>
        <w:rPr>
          <w:rFonts w:ascii="Times New Roman" w:hAnsi="Times New Roman" w:cs="Times New Roman" w:eastAsia="Times New Roman" w:hint="default"/>
          <w:spacing w:val="-2"/>
        </w:rPr>
        <w:t>“</w:t>
      </w:r>
      <w:r>
        <w:rPr>
          <w:spacing w:val="-2"/>
        </w:rPr>
        <w:t>福建省用户满意企业</w:t>
      </w:r>
      <w:r>
        <w:rPr>
          <w:rFonts w:ascii="Times New Roman" w:hAnsi="Times New Roman" w:cs="Times New Roman" w:eastAsia="Times New Roman" w:hint="default"/>
          <w:spacing w:val="-2"/>
        </w:rPr>
        <w:t>”</w:t>
      </w:r>
      <w:r>
        <w:rPr>
          <w:spacing w:val="-2"/>
        </w:rPr>
        <w:t>荣誉称号；</w:t>
      </w:r>
      <w:r>
        <w:rPr>
          <w:rFonts w:ascii="Times New Roman" w:hAnsi="Times New Roman" w:cs="Times New Roman" w:eastAsia="Times New Roman" w:hint="default"/>
          <w:spacing w:val="-2"/>
        </w:rPr>
        <w:t>6</w:t>
      </w:r>
      <w:r>
        <w:rPr>
          <w:spacing w:val="-2"/>
        </w:rPr>
        <w:t>月，获得福建省科学技术厅授予的</w:t>
      </w:r>
      <w:r>
        <w:rPr>
          <w:spacing w:val="-42"/>
        </w:rPr>
        <w:t> </w:t>
      </w:r>
      <w:r>
        <w:rPr>
          <w:spacing w:val="-42"/>
        </w:rPr>
      </w:r>
      <w:r>
        <w:rPr>
          <w:rFonts w:ascii="Times New Roman" w:hAnsi="Times New Roman" w:cs="Times New Roman" w:eastAsia="Times New Roman" w:hint="default"/>
        </w:rPr>
        <w:t>“</w:t>
      </w:r>
      <w:r>
        <w:rPr/>
        <w:t>福建省首批省级新型研发机构</w:t>
      </w:r>
      <w:r>
        <w:rPr>
          <w:rFonts w:ascii="Times New Roman" w:hAnsi="Times New Roman" w:cs="Times New Roman" w:eastAsia="Times New Roman" w:hint="default"/>
        </w:rPr>
        <w:t>”</w:t>
      </w:r>
      <w:r>
        <w:rPr/>
        <w:t>荣誉称号。</w:t>
      </w:r>
    </w:p>
    <w:p>
      <w:pPr>
        <w:pStyle w:val="BodyText"/>
        <w:spacing w:line="240" w:lineRule="auto" w:before="75"/>
        <w:ind w:left="514" w:right="151"/>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w:t>
      </w:r>
      <w:r>
        <w:rPr/>
        <w:t>华融榕基软件员工持股</w:t>
      </w:r>
      <w:r>
        <w:rPr>
          <w:rFonts w:ascii="Times New Roman" w:hAnsi="Times New Roman" w:cs="Times New Roman" w:eastAsia="Times New Roman" w:hint="default"/>
        </w:rPr>
        <w:t>1</w:t>
      </w:r>
      <w:r>
        <w:rPr/>
        <w:t>号定向资产管理计划</w:t>
      </w:r>
      <w:r>
        <w:rPr>
          <w:rFonts w:ascii="Times New Roman" w:hAnsi="Times New Roman" w:cs="Times New Roman" w:eastAsia="Times New Roman" w:hint="default"/>
        </w:rPr>
        <w:t>”</w:t>
      </w:r>
      <w:r>
        <w:rPr/>
        <w:t>通过二级市场购入的方式累计购买公司股票</w:t>
      </w:r>
    </w:p>
    <w:p>
      <w:pPr>
        <w:pStyle w:val="BodyText"/>
        <w:spacing w:line="240" w:lineRule="auto" w:before="63"/>
        <w:ind w:right="0"/>
        <w:jc w:val="both"/>
      </w:pPr>
      <w:r>
        <w:rPr>
          <w:rFonts w:ascii="Times New Roman" w:hAnsi="Times New Roman" w:cs="Times New Roman" w:eastAsia="Times New Roman" w:hint="default"/>
        </w:rPr>
        <w:t>1,867,900</w:t>
      </w:r>
      <w:r>
        <w:rPr/>
        <w:t>股，占公司总股本约为</w:t>
      </w:r>
      <w:r>
        <w:rPr>
          <w:rFonts w:ascii="Times New Roman" w:hAnsi="Times New Roman" w:cs="Times New Roman" w:eastAsia="Times New Roman" w:hint="default"/>
        </w:rPr>
        <w:t>0.30%</w:t>
      </w:r>
      <w:r>
        <w:rPr/>
        <w:t>，成交金额为</w:t>
      </w:r>
      <w:r>
        <w:rPr>
          <w:rFonts w:ascii="Times New Roman" w:hAnsi="Times New Roman" w:cs="Times New Roman" w:eastAsia="Times New Roman" w:hint="default"/>
        </w:rPr>
        <w:t>19,584,134.59</w:t>
      </w:r>
      <w:r>
        <w:rPr/>
        <w:t>元，成交均价约为人民币</w:t>
      </w:r>
      <w:r>
        <w:rPr>
          <w:rFonts w:ascii="Times New Roman" w:hAnsi="Times New Roman" w:cs="Times New Roman" w:eastAsia="Times New Roman" w:hint="default"/>
        </w:rPr>
        <w:t>10.4846</w:t>
      </w:r>
      <w:r>
        <w:rPr/>
        <w:t>元</w:t>
      </w:r>
      <w:r>
        <w:rPr>
          <w:rFonts w:ascii="Times New Roman" w:hAnsi="Times New Roman" w:cs="Times New Roman" w:eastAsia="Times New Roman" w:hint="default"/>
        </w:rPr>
        <w:t>/</w:t>
      </w:r>
      <w:r>
        <w:rPr/>
        <w:t>股。</w:t>
      </w:r>
    </w:p>
    <w:p>
      <w:pPr>
        <w:pStyle w:val="BodyText"/>
        <w:spacing w:line="300" w:lineRule="auto" w:before="124"/>
        <w:ind w:right="158"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日，华融榕基软件员工持股</w:t>
      </w:r>
      <w:r>
        <w:rPr>
          <w:rFonts w:ascii="Times New Roman" w:hAnsi="Times New Roman" w:cs="Times New Roman" w:eastAsia="Times New Roman" w:hint="default"/>
        </w:rPr>
        <w:t>2</w:t>
      </w:r>
      <w:r>
        <w:rPr/>
        <w:t>号定向资产管理计划（第二期）已通过二级市场购入的方式累计购买公司股 票</w:t>
      </w:r>
      <w:r>
        <w:rPr>
          <w:rFonts w:ascii="Times New Roman" w:hAnsi="Times New Roman" w:cs="Times New Roman" w:eastAsia="Times New Roman" w:hint="default"/>
        </w:rPr>
        <w:t>2,629,101</w:t>
      </w:r>
      <w:r>
        <w:rPr/>
        <w:t>股，占公司总股本约为</w:t>
      </w:r>
      <w:r>
        <w:rPr>
          <w:rFonts w:ascii="Times New Roman" w:hAnsi="Times New Roman" w:cs="Times New Roman" w:eastAsia="Times New Roman" w:hint="default"/>
        </w:rPr>
        <w:t>0.42%</w:t>
      </w:r>
      <w:r>
        <w:rPr/>
        <w:t>，成交金额为</w:t>
      </w:r>
      <w:r>
        <w:rPr>
          <w:rFonts w:ascii="Times New Roman" w:hAnsi="Times New Roman" w:cs="Times New Roman" w:eastAsia="Times New Roman" w:hint="default"/>
        </w:rPr>
        <w:t>24,419,002.20</w:t>
      </w:r>
      <w:r>
        <w:rPr/>
        <w:t>元，成交均价约为人民币</w:t>
      </w:r>
      <w:r>
        <w:rPr>
          <w:rFonts w:ascii="Times New Roman" w:hAnsi="Times New Roman" w:cs="Times New Roman" w:eastAsia="Times New Roman" w:hint="default"/>
        </w:rPr>
        <w:t>9.29</w:t>
      </w:r>
      <w:r>
        <w:rPr/>
        <w:t>元</w:t>
      </w:r>
      <w:r>
        <w:rPr>
          <w:rFonts w:ascii="Times New Roman" w:hAnsi="Times New Roman" w:cs="Times New Roman" w:eastAsia="Times New Roman" w:hint="default"/>
        </w:rPr>
        <w:t>/</w:t>
      </w:r>
      <w:r>
        <w:rPr/>
        <w:t>股。</w:t>
      </w:r>
    </w:p>
    <w:p>
      <w:pPr>
        <w:pStyle w:val="BodyText"/>
        <w:spacing w:line="240" w:lineRule="auto" w:before="75"/>
        <w:ind w:left="513"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日，华融榕基软件员工持股</w:t>
      </w:r>
      <w:r>
        <w:rPr>
          <w:rFonts w:ascii="Times New Roman" w:hAnsi="Times New Roman" w:cs="Times New Roman" w:eastAsia="Times New Roman" w:hint="default"/>
        </w:rPr>
        <w:t>3</w:t>
      </w:r>
      <w:r>
        <w:rPr/>
        <w:t>号定向资产管理计划（第三期）已通过二级市场购入的方式累计购买公司股票</w:t>
      </w:r>
    </w:p>
    <w:p>
      <w:pPr>
        <w:pStyle w:val="BodyText"/>
        <w:spacing w:line="360" w:lineRule="auto" w:before="63"/>
        <w:ind w:left="513" w:right="1786" w:hanging="360"/>
        <w:jc w:val="left"/>
      </w:pPr>
      <w:r>
        <w:rPr>
          <w:rFonts w:ascii="Times New Roman" w:hAnsi="Times New Roman" w:cs="Times New Roman" w:eastAsia="Times New Roman" w:hint="default"/>
        </w:rPr>
        <w:t>7,856,200</w:t>
      </w:r>
      <w:r>
        <w:rPr/>
        <w:t>股，占公司总股本约为</w:t>
      </w:r>
      <w:r>
        <w:rPr>
          <w:rFonts w:ascii="Times New Roman" w:hAnsi="Times New Roman" w:cs="Times New Roman" w:eastAsia="Times New Roman" w:hint="default"/>
        </w:rPr>
        <w:t>1.26%</w:t>
      </w:r>
      <w:r>
        <w:rPr/>
        <w:t>，成交金额为</w:t>
      </w:r>
      <w:r>
        <w:rPr>
          <w:rFonts w:ascii="Times New Roman" w:hAnsi="Times New Roman" w:cs="Times New Roman" w:eastAsia="Times New Roman" w:hint="default"/>
        </w:rPr>
        <w:t>58,225,118.51</w:t>
      </w:r>
      <w:r>
        <w:rPr/>
        <w:t>元，成交均价约为人民币</w:t>
      </w:r>
      <w:r>
        <w:rPr>
          <w:rFonts w:ascii="Times New Roman" w:hAnsi="Times New Roman" w:cs="Times New Roman" w:eastAsia="Times New Roman" w:hint="default"/>
        </w:rPr>
        <w:t>7.41</w:t>
      </w:r>
      <w:r>
        <w:rPr/>
        <w:t>元</w:t>
      </w:r>
      <w:r>
        <w:rPr>
          <w:rFonts w:ascii="Times New Roman" w:hAnsi="Times New Roman" w:cs="Times New Roman" w:eastAsia="Times New Roman" w:hint="default"/>
        </w:rPr>
        <w:t>/</w:t>
      </w:r>
      <w:r>
        <w:rPr/>
        <w:t>股。</w:t>
      </w:r>
      <w:r>
        <w:rPr>
          <w:spacing w:val="-2"/>
        </w:rPr>
        <w:t> </w:t>
      </w:r>
      <w:r>
        <w:rPr/>
        <w:t>榕基软件员工持股</w:t>
      </w:r>
      <w:r>
        <w:rPr>
          <w:rFonts w:ascii="Times New Roman" w:hAnsi="Times New Roman" w:cs="Times New Roman" w:eastAsia="Times New Roman" w:hint="default"/>
        </w:rPr>
        <w:t>3</w:t>
      </w:r>
      <w:r>
        <w:rPr/>
        <w:t>期共计购买</w:t>
      </w:r>
      <w:r>
        <w:rPr>
          <w:rFonts w:ascii="Times New Roman" w:hAnsi="Times New Roman" w:cs="Times New Roman" w:eastAsia="Times New Roman" w:hint="default"/>
        </w:rPr>
        <w:t>12,353,201</w:t>
      </w:r>
      <w:r>
        <w:rPr/>
        <w:t>股，占公司总股本约为</w:t>
      </w:r>
      <w:r>
        <w:rPr>
          <w:rFonts w:ascii="Times New Roman" w:hAnsi="Times New Roman" w:cs="Times New Roman" w:eastAsia="Times New Roman" w:hint="default"/>
        </w:rPr>
        <w:t>1.99%</w:t>
      </w:r>
      <w:r>
        <w:rPr/>
        <w:t>。</w:t>
      </w:r>
    </w:p>
    <w:p>
      <w:pPr>
        <w:pStyle w:val="BodyText"/>
        <w:spacing w:line="300" w:lineRule="auto" w:before="24"/>
        <w:ind w:left="153" w:right="148" w:firstLine="360"/>
        <w:jc w:val="both"/>
      </w:pPr>
      <w:r>
        <w:rPr>
          <w:spacing w:val="-3"/>
        </w:rPr>
        <w:t>（</w:t>
      </w:r>
      <w:r>
        <w:rPr>
          <w:rFonts w:ascii="Times New Roman" w:hAnsi="Times New Roman" w:cs="Times New Roman" w:eastAsia="Times New Roman" w:hint="default"/>
          <w:spacing w:val="-3"/>
        </w:rPr>
        <w:t>4</w:t>
      </w:r>
      <w:r>
        <w:rPr>
          <w:spacing w:val="-3"/>
        </w:rPr>
        <w:t>）</w:t>
      </w:r>
      <w:r>
        <w:rPr>
          <w:rFonts w:ascii="Times New Roman" w:hAnsi="Times New Roman" w:cs="Times New Roman" w:eastAsia="Times New Roman" w:hint="default"/>
          <w:spacing w:val="-3"/>
        </w:rPr>
        <w:t>6</w:t>
      </w:r>
      <w:r>
        <w:rPr>
          <w:spacing w:val="-3"/>
        </w:rPr>
        <w:t>月，公司与浙江共同电子科技有限公司、福建大观电子科技有限公司共同出资成立福建容大物联网科技有限公司</w:t>
      </w:r>
      <w:r>
        <w:rPr>
          <w:rFonts w:ascii="Times New Roman" w:hAnsi="Times New Roman" w:cs="Times New Roman" w:eastAsia="Times New Roman" w:hint="default"/>
          <w:spacing w:val="-3"/>
        </w:rPr>
        <w:t>,</w:t>
      </w:r>
      <w:r>
        <w:rPr>
          <w:rFonts w:ascii="Times New Roman" w:hAnsi="Times New Roman" w:cs="Times New Roman" w:eastAsia="Times New Roman" w:hint="default"/>
        </w:rPr>
        <w:t> </w:t>
      </w:r>
      <w:r>
        <w:rPr>
          <w:spacing w:val="-1"/>
        </w:rPr>
        <w:t>推进物联网应用技术的研发及在电力行业信息化建设领域的拓展；</w:t>
      </w:r>
      <w:r>
        <w:rPr>
          <w:rFonts w:ascii="Times New Roman" w:hAnsi="Times New Roman" w:cs="Times New Roman" w:eastAsia="Times New Roman" w:hint="default"/>
          <w:spacing w:val="-1"/>
        </w:rPr>
        <w:t>7</w:t>
      </w:r>
      <w:r>
        <w:rPr>
          <w:spacing w:val="-1"/>
        </w:rPr>
        <w:t>月，福建榕基收购智润科技</w:t>
      </w:r>
      <w:r>
        <w:rPr>
          <w:rFonts w:ascii="Times New Roman" w:hAnsi="Times New Roman" w:cs="Times New Roman" w:eastAsia="Times New Roman" w:hint="default"/>
          <w:spacing w:val="-1"/>
        </w:rPr>
        <w:t>3%</w:t>
      </w:r>
      <w:r>
        <w:rPr>
          <w:spacing w:val="-1"/>
        </w:rPr>
        <w:t>股权，进一步拓展公司在</w:t>
      </w:r>
      <w:r>
        <w:rPr>
          <w:spacing w:val="-86"/>
        </w:rPr>
        <w:t> </w:t>
      </w:r>
      <w:r>
        <w:rPr>
          <w:spacing w:val="-86"/>
        </w:rPr>
      </w:r>
      <w:r>
        <w:rPr/>
        <w:t>物联网领域业务布局；</w:t>
      </w:r>
      <w:r>
        <w:rPr>
          <w:rFonts w:ascii="Times New Roman" w:hAnsi="Times New Roman" w:cs="Times New Roman" w:eastAsia="Times New Roman" w:hint="default"/>
        </w:rPr>
        <w:t>8</w:t>
      </w:r>
      <w:r>
        <w:rPr/>
        <w:t>月，智润科技与福州两家国企成立了福水智联技术有限公司推进智慧水务。</w:t>
      </w:r>
    </w:p>
    <w:p>
      <w:pPr>
        <w:pStyle w:val="BodyText"/>
        <w:spacing w:line="300" w:lineRule="auto" w:before="75"/>
        <w:ind w:left="153" w:right="151" w:firstLine="360"/>
        <w:jc w:val="both"/>
      </w:pPr>
      <w:r>
        <w:rPr>
          <w:spacing w:val="-2"/>
        </w:rPr>
        <w:t>（</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7</w:t>
      </w:r>
      <w:r>
        <w:rPr>
          <w:spacing w:val="-2"/>
        </w:rPr>
        <w:t>月，公司承建的中国地质专业资源知识服务大数据平台项目通过专家终验。此平台顺应了国家宏观政策走向，也</w:t>
      </w:r>
      <w:r>
        <w:rPr/>
        <w:t> 进一步增强了公司大数据应用研发实力。</w:t>
      </w:r>
    </w:p>
    <w:p>
      <w:pPr>
        <w:pStyle w:val="BodyText"/>
        <w:spacing w:line="300" w:lineRule="auto" w:before="94"/>
        <w:ind w:right="166" w:firstLine="360"/>
        <w:jc w:val="both"/>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9</w:t>
      </w:r>
      <w:r>
        <w:rPr/>
        <w:t>月，公司与河南省信阳市行政服务中心签订</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政务服务</w:t>
      </w:r>
      <w:r>
        <w:rPr>
          <w:rFonts w:ascii="Times New Roman" w:hAnsi="Times New Roman" w:cs="Times New Roman" w:eastAsia="Times New Roman" w:hint="default"/>
        </w:rPr>
        <w:t>”</w:t>
      </w:r>
      <w:r>
        <w:rPr/>
        <w:t>项目合作框架协议，主要承担信阳市网上政务服 务平台及政务实体大厅等项目建设，实现线上、线下政务服务融合运行。</w:t>
      </w:r>
    </w:p>
    <w:p>
      <w:pPr>
        <w:pStyle w:val="BodyText"/>
        <w:spacing w:line="300" w:lineRule="auto" w:before="92"/>
        <w:ind w:left="153" w:right="158" w:firstLine="360"/>
        <w:jc w:val="both"/>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12</w:t>
      </w:r>
      <w:r>
        <w:rPr/>
        <w:t>月，公司承建的河南省公共信用信息平台，在全国</w:t>
      </w:r>
      <w:r>
        <w:rPr>
          <w:rFonts w:ascii="Times New Roman" w:hAnsi="Times New Roman" w:cs="Times New Roman" w:eastAsia="Times New Roman" w:hint="default"/>
        </w:rPr>
        <w:t>29</w:t>
      </w:r>
      <w:r>
        <w:rPr/>
        <w:t>家省级以上信用平台和网站中评选中入围前五强，并获得 国家公共信用信息中心授予的</w:t>
      </w:r>
      <w:r>
        <w:rPr>
          <w:rFonts w:ascii="Times New Roman" w:hAnsi="Times New Roman" w:cs="Times New Roman" w:eastAsia="Times New Roman" w:hint="default"/>
        </w:rPr>
        <w:t>“</w:t>
      </w:r>
      <w:r>
        <w:rPr/>
        <w:t>全国信用信息共享平台和信用门户网站一体化标准化平台网站</w:t>
      </w:r>
      <w:r>
        <w:rPr>
          <w:rFonts w:ascii="Times New Roman" w:hAnsi="Times New Roman" w:cs="Times New Roman" w:eastAsia="Times New Roman" w:hint="default"/>
        </w:rPr>
        <w:t>”</w:t>
      </w:r>
      <w:r>
        <w:rPr/>
        <w:t>荣誉称号。</w:t>
      </w:r>
    </w:p>
    <w:p>
      <w:pPr>
        <w:pStyle w:val="BodyText"/>
        <w:spacing w:line="300" w:lineRule="auto" w:before="75"/>
        <w:ind w:right="158" w:firstLine="360"/>
        <w:jc w:val="both"/>
      </w:pP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12</w:t>
      </w:r>
      <w:r>
        <w:rPr/>
        <w:t>月，公司承建的河南省郑州市政协网络升级改造应用软件项目通过终验。此项目建设是郑州市政协在推进电子 政务建设方面迈出的重要步伐。</w:t>
      </w:r>
    </w:p>
    <w:p>
      <w:pPr>
        <w:spacing w:after="0" w:line="300" w:lineRule="auto"/>
        <w:jc w:val="both"/>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pStyle w:val="BodyText"/>
        <w:spacing w:line="309" w:lineRule="auto" w:before="44"/>
        <w:ind w:left="153" w:right="150" w:firstLine="360"/>
        <w:jc w:val="both"/>
      </w:pPr>
      <w:r>
        <w:rPr/>
        <w:t>（</w:t>
      </w:r>
      <w:r>
        <w:rPr>
          <w:rFonts w:ascii="Times New Roman" w:hAnsi="Times New Roman" w:cs="Times New Roman" w:eastAsia="Times New Roman" w:hint="default"/>
        </w:rPr>
        <w:t>9</w:t>
      </w:r>
      <w:r>
        <w:rPr/>
        <w:t>）</w:t>
      </w:r>
      <w:r>
        <w:rPr>
          <w:rFonts w:ascii="Times New Roman" w:hAnsi="Times New Roman" w:cs="Times New Roman" w:eastAsia="Times New Roman" w:hint="default"/>
        </w:rPr>
        <w:t>12</w:t>
      </w:r>
      <w:r>
        <w:rPr/>
        <w:t>月，公司承建的福建省核与辐射环境监管系统项目完成终验并正式交付运行。该系统在</w:t>
      </w:r>
      <w:r>
        <w:rPr>
          <w:rFonts w:ascii="Times New Roman" w:hAnsi="Times New Roman" w:cs="Times New Roman" w:eastAsia="Times New Roman" w:hint="default"/>
        </w:rPr>
        <w:t>2017</w:t>
      </w:r>
      <w:r>
        <w:rPr/>
        <w:t>年金砖国家领导人 </w:t>
      </w:r>
      <w:r>
        <w:rPr>
          <w:spacing w:val="-2"/>
        </w:rPr>
        <w:t>厦门会晤期间，对福建全省辐射环境监测数据进行实时监控，为厦门会晤核与辐射应急会商指挥中心提供了有力的基础监测</w:t>
      </w:r>
      <w:r>
        <w:rPr>
          <w:spacing w:val="-64"/>
        </w:rPr>
        <w:t> </w:t>
      </w:r>
      <w:r>
        <w:rPr>
          <w:spacing w:val="-64"/>
        </w:rPr>
      </w:r>
      <w:r>
        <w:rPr/>
        <w:t>数据支撑。</w:t>
      </w:r>
    </w:p>
    <w:p>
      <w:pPr>
        <w:pStyle w:val="BodyText"/>
        <w:spacing w:line="300" w:lineRule="auto" w:before="86"/>
        <w:ind w:left="153" w:right="184" w:firstLine="360"/>
        <w:jc w:val="both"/>
      </w:pPr>
      <w:r>
        <w:rPr/>
        <w:t>（</w:t>
      </w:r>
      <w:r>
        <w:rPr>
          <w:rFonts w:ascii="Times New Roman" w:hAnsi="Times New Roman" w:cs="Times New Roman" w:eastAsia="Times New Roman" w:hint="default"/>
        </w:rPr>
        <w:t>10</w:t>
      </w:r>
      <w:r>
        <w:rPr/>
        <w:t>）</w:t>
      </w:r>
      <w:r>
        <w:rPr>
          <w:rFonts w:ascii="Times New Roman" w:hAnsi="Times New Roman" w:cs="Times New Roman" w:eastAsia="Times New Roman" w:hint="default"/>
        </w:rPr>
        <w:t>12</w:t>
      </w:r>
      <w:r>
        <w:rPr/>
        <w:t>月，公司承建的</w:t>
      </w:r>
      <w:r>
        <w:rPr>
          <w:spacing w:val="-19"/>
        </w:rPr>
        <w:t> </w:t>
      </w:r>
      <w:r>
        <w:rPr>
          <w:rFonts w:ascii="Times New Roman" w:hAnsi="Times New Roman" w:cs="Times New Roman" w:eastAsia="Times New Roman" w:hint="default"/>
        </w:rPr>
        <w:t>“2+26”</w:t>
      </w:r>
      <w:r>
        <w:rPr/>
        <w:t>城市（即京津冀及周边地区山东、山西、河南三省份）空气质量自动监测站数据采集 与传输项目通过验收。该系统将</w:t>
      </w:r>
      <w:r>
        <w:rPr>
          <w:spacing w:val="-19"/>
        </w:rPr>
        <w:t> </w:t>
      </w:r>
      <w:r>
        <w:rPr>
          <w:rFonts w:ascii="Times New Roman" w:hAnsi="Times New Roman" w:cs="Times New Roman" w:eastAsia="Times New Roman" w:hint="default"/>
        </w:rPr>
        <w:t>“2+26”</w:t>
      </w:r>
      <w:r>
        <w:rPr/>
        <w:t>城市三百余个区县的地方站自建空气质量自动站直联中国环境监测总站，使总站能 够快速获取各监测站点的空气质量实时数据。</w:t>
      </w:r>
    </w:p>
    <w:p>
      <w:pPr>
        <w:pStyle w:val="BodyText"/>
        <w:spacing w:line="300" w:lineRule="auto" w:before="92"/>
        <w:ind w:left="153" w:right="158" w:firstLine="360"/>
        <w:jc w:val="both"/>
      </w:pPr>
      <w:r>
        <w:rPr/>
        <w:t>（</w:t>
      </w:r>
      <w:r>
        <w:rPr>
          <w:rFonts w:ascii="Times New Roman" w:hAnsi="Times New Roman" w:cs="Times New Roman" w:eastAsia="Times New Roman" w:hint="default"/>
        </w:rPr>
        <w:t>11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月，由公司牵头，福建省公安厅技防办、科通处，福建省安防行业协会等十余家单位参与编写的《公共 安全视频监控接入技术规范》正式成为福建省地方标准，并于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24</w:t>
      </w:r>
      <w:r>
        <w:rPr/>
        <w:t>日起全面实施。</w:t>
      </w:r>
    </w:p>
    <w:p>
      <w:pPr>
        <w:pStyle w:val="BodyText"/>
        <w:spacing w:line="240" w:lineRule="auto" w:before="75"/>
        <w:ind w:left="513" w:right="0"/>
        <w:jc w:val="left"/>
      </w:pPr>
      <w:r>
        <w:rPr/>
        <w:t>（</w:t>
      </w:r>
      <w:r>
        <w:rPr>
          <w:rFonts w:ascii="Times New Roman" w:hAnsi="Times New Roman" w:cs="Times New Roman" w:eastAsia="Times New Roman" w:hint="default"/>
        </w:rPr>
        <w:t>12</w:t>
      </w:r>
      <w:r>
        <w:rPr/>
        <w:t>）报告期内，公司新获得</w:t>
      </w:r>
      <w:r>
        <w:rPr>
          <w:rFonts w:ascii="Times New Roman" w:hAnsi="Times New Roman" w:cs="Times New Roman" w:eastAsia="Times New Roman" w:hint="default"/>
        </w:rPr>
        <w:t>6</w:t>
      </w:r>
      <w:r>
        <w:rPr/>
        <w:t>项专利、</w:t>
      </w:r>
      <w:r>
        <w:rPr>
          <w:rFonts w:ascii="Times New Roman" w:hAnsi="Times New Roman" w:cs="Times New Roman" w:eastAsia="Times New Roman" w:hint="default"/>
        </w:rPr>
        <w:t>37</w:t>
      </w:r>
      <w:r>
        <w:rPr/>
        <w:t>项计算机软件著作权。截至目前，公司拥有</w:t>
      </w:r>
      <w:r>
        <w:rPr>
          <w:rFonts w:ascii="Times New Roman" w:hAnsi="Times New Roman" w:cs="Times New Roman" w:eastAsia="Times New Roman" w:hint="default"/>
        </w:rPr>
        <w:t>“</w:t>
      </w:r>
      <w:r>
        <w:rPr/>
        <w:t>榕基</w:t>
      </w:r>
      <w:r>
        <w:rPr>
          <w:rFonts w:ascii="Times New Roman" w:hAnsi="Times New Roman" w:cs="Times New Roman" w:eastAsia="Times New Roman" w:hint="default"/>
        </w:rPr>
        <w:t>”</w:t>
      </w:r>
      <w:r>
        <w:rPr/>
        <w:t>品牌的自主知识产权包括</w:t>
      </w:r>
    </w:p>
    <w:p>
      <w:pPr>
        <w:pStyle w:val="BodyText"/>
        <w:spacing w:line="240" w:lineRule="auto" w:before="63"/>
        <w:ind w:left="153" w:right="0"/>
        <w:jc w:val="left"/>
      </w:pPr>
      <w:r>
        <w:rPr>
          <w:rFonts w:ascii="Times New Roman" w:hAnsi="Times New Roman" w:cs="Times New Roman" w:eastAsia="Times New Roman" w:hint="default"/>
        </w:rPr>
        <w:t>45</w:t>
      </w:r>
      <w:r>
        <w:rPr/>
        <w:t>项专利（发明专利</w:t>
      </w:r>
      <w:r>
        <w:rPr>
          <w:rFonts w:ascii="Times New Roman" w:hAnsi="Times New Roman" w:cs="Times New Roman" w:eastAsia="Times New Roman" w:hint="default"/>
        </w:rPr>
        <w:t>25</w:t>
      </w:r>
      <w:r>
        <w:rPr/>
        <w:t>项，实用新型专利</w:t>
      </w:r>
      <w:r>
        <w:rPr>
          <w:rFonts w:ascii="Times New Roman" w:hAnsi="Times New Roman" w:cs="Times New Roman" w:eastAsia="Times New Roman" w:hint="default"/>
        </w:rPr>
        <w:t>15</w:t>
      </w:r>
      <w:r>
        <w:rPr/>
        <w:t>项、外观新型专利</w:t>
      </w:r>
      <w:r>
        <w:rPr>
          <w:rFonts w:ascii="Times New Roman" w:hAnsi="Times New Roman" w:cs="Times New Roman" w:eastAsia="Times New Roman" w:hint="default"/>
        </w:rPr>
        <w:t>5</w:t>
      </w:r>
      <w:r>
        <w:rPr/>
        <w:t>项），</w:t>
      </w:r>
      <w:r>
        <w:rPr>
          <w:rFonts w:ascii="Times New Roman" w:hAnsi="Times New Roman" w:cs="Times New Roman" w:eastAsia="Times New Roman" w:hint="default"/>
        </w:rPr>
        <w:t>212</w:t>
      </w:r>
      <w:r>
        <w:rPr/>
        <w:t>项计算机软件著作权及</w:t>
      </w:r>
      <w:r>
        <w:rPr>
          <w:rFonts w:ascii="Times New Roman" w:hAnsi="Times New Roman" w:cs="Times New Roman" w:eastAsia="Times New Roman" w:hint="default"/>
        </w:rPr>
        <w:t>108</w:t>
      </w:r>
      <w:r>
        <w:rPr/>
        <w:t>项软件产品登记证书。</w:t>
      </w:r>
    </w:p>
    <w:p>
      <w:pPr>
        <w:spacing w:line="240" w:lineRule="auto" w:before="2"/>
        <w:rPr>
          <w:rFonts w:ascii="宋体" w:hAnsi="宋体" w:cs="宋体" w:eastAsia="宋体" w:hint="default"/>
          <w:sz w:val="24"/>
          <w:szCs w:val="24"/>
        </w:rPr>
      </w:pPr>
    </w:p>
    <w:p>
      <w:pPr>
        <w:pStyle w:val="Heading2"/>
        <w:spacing w:line="240" w:lineRule="auto"/>
        <w:ind w:right="1258"/>
        <w:jc w:val="left"/>
        <w:rPr>
          <w:b w:val="0"/>
          <w:bCs w:val="0"/>
        </w:rPr>
      </w:pP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4" w:right="54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1258"/>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7"/>
        <w:gridCol w:w="1588"/>
        <w:gridCol w:w="1598"/>
      </w:tblGrid>
      <w:tr>
        <w:trPr>
          <w:trHeight w:val="205"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7" w:hRule="exact"/>
        </w:trPr>
        <w:tc>
          <w:tcPr>
            <w:tcW w:w="1596" w:type="dxa"/>
            <w:vMerge w:val="restart"/>
            <w:tcBorders>
              <w:top w:val="nil" w:sz="6" w:space="0" w:color="auto"/>
              <w:left w:val="single" w:sz="4" w:space="0" w:color="000000"/>
              <w:right w:val="single" w:sz="4" w:space="0" w:color="000000"/>
            </w:tcBorders>
            <w:shd w:val="clear" w:color="auto" w:fill="D3D3D3"/>
          </w:tcPr>
          <w:p>
            <w:pPr/>
          </w:p>
        </w:tc>
        <w:tc>
          <w:tcPr>
            <w:tcW w:w="3188" w:type="dxa"/>
            <w:gridSpan w:val="2"/>
            <w:vMerge/>
            <w:tcBorders>
              <w:left w:val="single" w:sz="4" w:space="0" w:color="000000"/>
              <w:bottom w:val="single" w:sz="4" w:space="0" w:color="000000"/>
              <w:right w:val="single" w:sz="4" w:space="0" w:color="000000"/>
            </w:tcBorders>
            <w:shd w:val="clear" w:color="auto" w:fill="D3D3D3"/>
          </w:tcPr>
          <w:p>
            <w:pPr/>
          </w:p>
        </w:tc>
        <w:tc>
          <w:tcPr>
            <w:tcW w:w="3185" w:type="dxa"/>
            <w:gridSpan w:val="2"/>
            <w:vMerge/>
            <w:tcBorders>
              <w:left w:val="single" w:sz="4" w:space="0" w:color="000000"/>
              <w:bottom w:val="single" w:sz="4" w:space="0" w:color="000000"/>
              <w:right w:val="single" w:sz="4" w:space="0" w:color="000000"/>
            </w:tcBorders>
            <w:shd w:val="clear" w:color="auto" w:fill="D3D3D3"/>
          </w:tcPr>
          <w:p>
            <w:pPr/>
          </w:p>
        </w:tc>
        <w:tc>
          <w:tcPr>
            <w:tcW w:w="15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5" w:type="dxa"/>
            <w:vMerge/>
            <w:tcBorders>
              <w:left w:val="single" w:sz="4" w:space="0" w:color="000000"/>
              <w:bottom w:val="single" w:sz="4" w:space="0" w:color="000000"/>
              <w:right w:val="single" w:sz="4" w:space="0" w:color="000000"/>
            </w:tcBorders>
            <w:shd w:val="clear" w:color="auto" w:fill="D3D3D3"/>
          </w:tcPr>
          <w:p>
            <w:pPr/>
          </w:p>
        </w:tc>
        <w:tc>
          <w:tcPr>
            <w:tcW w:w="1597" w:type="dxa"/>
            <w:vMerge/>
            <w:tcBorders>
              <w:left w:val="single" w:sz="4" w:space="0" w:color="000000"/>
              <w:bottom w:val="single" w:sz="4" w:space="0" w:color="000000"/>
              <w:right w:val="single" w:sz="4" w:space="0" w:color="000000"/>
            </w:tcBorders>
            <w:shd w:val="clear" w:color="auto" w:fill="D3D3D3"/>
          </w:tcPr>
          <w:p>
            <w:pPr/>
          </w:p>
        </w:tc>
        <w:tc>
          <w:tcPr>
            <w:tcW w:w="1588" w:type="dxa"/>
            <w:vMerge/>
            <w:tcBorders>
              <w:left w:val="single" w:sz="4" w:space="0" w:color="000000"/>
              <w:bottom w:val="single" w:sz="4" w:space="0" w:color="000000"/>
              <w:right w:val="single" w:sz="4" w:space="0" w:color="000000"/>
            </w:tcBorders>
            <w:shd w:val="clear" w:color="auto" w:fill="D3D3D3"/>
          </w:tcPr>
          <w:p>
            <w:pPr/>
          </w:p>
        </w:tc>
        <w:tc>
          <w:tcPr>
            <w:tcW w:w="159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742,004,732.30</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702,592,311.90</w:t>
            </w:r>
          </w:p>
        </w:tc>
        <w:tc>
          <w:tcPr>
            <w:tcW w:w="1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159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5.61%</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740,560,542.18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99.81%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702,147,251.91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99.94%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园区租赁行业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1,444,190.12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445,059.99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224.49%</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374,050,333.01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433,785,305.49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61.74%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-13.77%</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软件产品及服务收 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366,510,209.17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49.39%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268,361,946.42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38.20%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36.57%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软件园租赁收入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1,444,190.12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445,059.99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224.49%</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116,553,641.85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100,061,298.55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14.24%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153,013,490.78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189,210,989.65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26.93%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303,859,947.64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40.95%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284,337,236.18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40.47%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119,144,831.28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86,857,175.56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12.36%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37.17%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49,432,820.75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42,125,611.96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980" w:right="980"/>
        </w:sectPr>
      </w:pPr>
    </w:p>
    <w:p>
      <w:pPr>
        <w:pStyle w:val="BodyText"/>
        <w:spacing w:line="34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单位：元</w:t>
      </w:r>
    </w:p>
    <w:p>
      <w:pPr>
        <w:spacing w:after="0" w:line="240" w:lineRule="auto"/>
        <w:jc w:val="left"/>
        <w:sectPr>
          <w:type w:val="continuous"/>
          <w:pgSz w:w="11910" w:h="16840"/>
          <w:pgMar w:top="1060" w:bottom="1180" w:left="980" w:right="980"/>
          <w:cols w:num="2" w:equalWidth="0">
            <w:col w:w="3215" w:space="5704"/>
            <w:col w:w="103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信息技术行业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740,560,542.18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495,578,219.91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0.59%</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374,050,333.01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329,037,766.60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-13.43%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-0.35%</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软件产品及服务 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366,510,209.17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166,540,453.31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77.25%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-10.43%</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116,553,641.85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87,579,225.29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37.45%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-11.46%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153,013,490.78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108,086,940.63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-16.38%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303,859,947.64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175,330,042.91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6.43%</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119,144,831.28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84,580,071.01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29.60%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4.15%</w:t>
            </w:r>
          </w:p>
        </w:tc>
      </w:tr>
    </w:tbl>
    <w:p>
      <w:pPr>
        <w:pStyle w:val="BodyText"/>
        <w:spacing w:line="240" w:lineRule="auto" w:before="51"/>
        <w:ind w:right="151"/>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2"/>
        <w:ind w:left="153"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258"/>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25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3"/>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82"/>
        <w:gridCol w:w="1606"/>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val="restart"/>
            <w:tcBorders>
              <w:top w:val="single" w:sz="4" w:space="0" w:color="000000"/>
              <w:left w:val="single" w:sz="4" w:space="0" w:color="000000"/>
              <w:right w:val="single" w:sz="9" w:space="0" w:color="D3D3D3"/>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374,050,333.01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433,785,305.49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-13.77%</w:t>
            </w:r>
          </w:p>
        </w:tc>
      </w:tr>
      <w:tr>
        <w:trPr>
          <w:trHeight w:val="402" w:hRule="exact"/>
        </w:trPr>
        <w:tc>
          <w:tcPr>
            <w:tcW w:w="1596" w:type="dxa"/>
            <w:vMerge/>
            <w:tcBorders>
              <w:left w:val="single" w:sz="4" w:space="0" w:color="000000"/>
              <w:bottom w:val="single" w:sz="4" w:space="0" w:color="000000"/>
              <w:right w:val="single" w:sz="9" w:space="0" w:color="D3D3D3"/>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180,968,786.13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216,431,912.75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-16.39%</w:t>
            </w:r>
          </w:p>
        </w:tc>
      </w:tr>
    </w:tbl>
    <w:p>
      <w:pPr>
        <w:pStyle w:val="BodyText"/>
        <w:spacing w:line="240" w:lineRule="auto" w:before="51"/>
        <w:ind w:right="1258"/>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3"/>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258"/>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82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否</w:t>
      </w:r>
    </w:p>
    <w:p>
      <w:pPr>
        <w:pStyle w:val="BodyText"/>
        <w:spacing w:line="240" w:lineRule="auto" w:before="39"/>
        <w:ind w:right="1258"/>
        <w:jc w:val="left"/>
      </w:pPr>
      <w:r>
        <w:rPr/>
        <w:t>请详见</w:t>
      </w:r>
      <w:r>
        <w:rPr>
          <w:rFonts w:ascii="Times New Roman" w:hAnsi="Times New Roman" w:cs="Times New Roman" w:eastAsia="Times New Roman" w:hint="default"/>
        </w:rPr>
        <w:t>“</w:t>
      </w:r>
      <w:r>
        <w:rPr/>
        <w:t>第五节</w:t>
      </w:r>
      <w:r>
        <w:rPr>
          <w:spacing w:val="-20"/>
        </w:rPr>
        <w:t> </w:t>
      </w:r>
      <w:r>
        <w:rPr/>
        <w:t>重要事项</w:t>
      </w:r>
      <w:r>
        <w:rPr>
          <w:rFonts w:ascii="Times New Roman" w:hAnsi="Times New Roman" w:cs="Times New Roman" w:eastAsia="Times New Roman" w:hint="default"/>
        </w:rPr>
        <w:t>/</w:t>
      </w:r>
      <w:r>
        <w:rPr/>
        <w:t>十七、重大合同及其履行情况</w:t>
      </w:r>
      <w:r>
        <w:rPr>
          <w:rFonts w:ascii="Times New Roman" w:hAnsi="Times New Roman" w:cs="Times New Roman" w:eastAsia="Times New Roman" w:hint="default"/>
        </w:rPr>
        <w:t>/4</w:t>
      </w:r>
      <w:r>
        <w:rPr/>
        <w:t>、其他重大合同</w:t>
      </w:r>
      <w:r>
        <w:rPr>
          <w:rFonts w:ascii="Times New Roman" w:hAnsi="Times New Roman" w:cs="Times New Roman" w:eastAsia="Times New Roman" w:hint="default"/>
        </w:rPr>
        <w:t>”</w:t>
      </w:r>
      <w:r>
        <w:rPr/>
        <w:t>。</w:t>
      </w:r>
    </w:p>
    <w:p>
      <w:pPr>
        <w:spacing w:after="0" w:line="240" w:lineRule="auto"/>
        <w:jc w:val="left"/>
        <w:sectPr>
          <w:type w:val="continuous"/>
          <w:pgSz w:w="11910" w:h="16840"/>
          <w:pgMar w:top="106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258"/>
        <w:jc w:val="left"/>
      </w:pPr>
      <w:r>
        <w:rPr/>
        <w:t>产品分类</w:t>
      </w:r>
    </w:p>
    <w:p>
      <w:pPr>
        <w:pStyle w:val="BodyText"/>
        <w:spacing w:line="240" w:lineRule="auto" w:before="116"/>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329,037,766.60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380,082,541.65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-13.43%</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软件产品及服务 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166,540,453.31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93,960,058.46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77.25%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软件园租赁收入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1,207,718.07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347,911.30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247.13%</w:t>
            </w:r>
          </w:p>
        </w:tc>
      </w:tr>
    </w:tbl>
    <w:p>
      <w:pPr>
        <w:pStyle w:val="BodyText"/>
        <w:spacing w:line="240" w:lineRule="auto" w:before="51"/>
        <w:ind w:right="1258"/>
        <w:jc w:val="left"/>
      </w:pPr>
      <w:r>
        <w:rPr/>
        <w:t>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5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3"/>
        <w:ind w:left="514" w:right="1258"/>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月，本公司投资设立福建容大物联网科技有限公司，持股比例为</w:t>
      </w:r>
      <w:r>
        <w:rPr>
          <w:spacing w:val="-46"/>
        </w:rPr>
        <w:t> </w:t>
      </w:r>
      <w:r>
        <w:rPr>
          <w:rFonts w:ascii="Times New Roman" w:hAnsi="Times New Roman" w:cs="Times New Roman" w:eastAsia="Times New Roman" w:hint="default"/>
        </w:rPr>
        <w:t>51.00%</w:t>
      </w:r>
      <w:r>
        <w:rPr/>
        <w:t>。</w:t>
      </w:r>
    </w:p>
    <w:p>
      <w:pPr>
        <w:spacing w:line="240" w:lineRule="auto" w:before="9"/>
        <w:rPr>
          <w:rFonts w:ascii="宋体" w:hAnsi="宋体" w:cs="宋体" w:eastAsia="宋体" w:hint="default"/>
          <w:sz w:val="25"/>
          <w:szCs w:val="25"/>
        </w:rPr>
      </w:pPr>
    </w:p>
    <w:p>
      <w:pPr>
        <w:pStyle w:val="Heading3"/>
        <w:spacing w:line="240" w:lineRule="auto"/>
        <w:ind w:right="1258"/>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258"/>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58"/>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173,049,101.28</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23.32%</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3.92%</w:t>
            </w:r>
          </w:p>
        </w:tc>
      </w:tr>
    </w:tbl>
    <w:p>
      <w:pPr>
        <w:pStyle w:val="BodyText"/>
        <w:spacing w:line="240" w:lineRule="auto" w:before="51"/>
        <w:ind w:right="1258"/>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2"/>
        <w:gridCol w:w="3143"/>
      </w:tblGrid>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45,620,235.85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6.15%</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39,426,179.25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5.31%</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34,603,773.58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4.66%</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29,074,491.24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3.92%</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24,324,421.37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3.28%</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173,049,101.28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23.32%</w:t>
            </w:r>
          </w:p>
        </w:tc>
      </w:tr>
    </w:tbl>
    <w:p>
      <w:pPr>
        <w:pStyle w:val="BodyText"/>
        <w:spacing w:line="240" w:lineRule="auto" w:before="51"/>
        <w:ind w:right="1258"/>
        <w:jc w:val="left"/>
      </w:pPr>
      <w:r>
        <w:rPr/>
        <w:t>主要客户其他情况说明</w:t>
      </w:r>
    </w:p>
    <w:p>
      <w:pPr>
        <w:pStyle w:val="BodyText"/>
        <w:spacing w:line="340" w:lineRule="auto" w:before="116"/>
        <w:ind w:right="8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after="0" w:line="340" w:lineRule="auto"/>
        <w:jc w:val="left"/>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242,391,818.11</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47.41%</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258"/>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79"/>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89,572,641.51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64,317,542.23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57,303,542.18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16,054,700.85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15,143,391.33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242,391,818.11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47.41%</w:t>
            </w:r>
          </w:p>
        </w:tc>
      </w:tr>
    </w:tbl>
    <w:p>
      <w:pPr>
        <w:pStyle w:val="BodyText"/>
        <w:spacing w:line="240" w:lineRule="auto" w:before="51"/>
        <w:ind w:right="1258"/>
        <w:jc w:val="left"/>
      </w:pPr>
      <w:r>
        <w:rPr/>
        <w:t>主要供应商其他情况说明</w:t>
      </w:r>
    </w:p>
    <w:p>
      <w:pPr>
        <w:pStyle w:val="BodyText"/>
        <w:spacing w:line="240" w:lineRule="auto" w:before="117"/>
        <w:ind w:left="153"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258"/>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7"/>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42,344,621.61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46,012,793.69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-7.97%</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183,934,746.37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180,912,113.26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1.67%</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10,373,399.01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5,447,921.17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90.41%</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主要为利息支出增加</w:t>
            </w: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9" w:lineRule="auto" w:before="101"/>
        <w:ind w:right="170" w:firstLine="420"/>
        <w:jc w:val="left"/>
      </w:pPr>
      <w:r>
        <w:rPr/>
        <w:t>报告期内研发支出主要用于榕基易贸商务平台、检验检疫数据分析展现平台、榕基核与辐射环境安全监管平台、榕基 安全可靠电子政务应用平台等项目的研发，研发进展等情况详见开发支出。</w:t>
      </w:r>
    </w:p>
    <w:p>
      <w:pPr>
        <w:pStyle w:val="BodyText"/>
        <w:spacing w:line="240" w:lineRule="auto" w:before="56"/>
        <w:ind w:right="1258"/>
        <w:jc w:val="left"/>
      </w:pPr>
      <w:r>
        <w:rPr/>
        <w:t>公司研发投入情况</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2"/>
        <w:gridCol w:w="2392"/>
        <w:gridCol w:w="2392"/>
      </w:tblGrid>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11.39%</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111,057,384.47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91,879,906.70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20.87%</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47,399,133.40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34,114,110.72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38.94%</w:t>
            </w:r>
          </w:p>
        </w:tc>
      </w:tr>
      <w:tr>
        <w:trPr>
          <w:trHeight w:val="714"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97"/>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pStyle w:val="BodyText"/>
        <w:spacing w:line="240" w:lineRule="auto" w:before="44"/>
        <w:ind w:left="153" w:right="1258"/>
        <w:jc w:val="left"/>
      </w:pPr>
      <w:r>
        <w:rPr/>
        <w:t>研发投入总额占营业收入的比重较上年发生显著变化的原因</w:t>
      </w:r>
    </w:p>
    <w:p>
      <w:pPr>
        <w:pStyle w:val="BodyText"/>
        <w:spacing w:line="340" w:lineRule="auto" w:before="116"/>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0"/>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258"/>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4"/>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841,104,276.81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824,250,364.47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755,138,474.57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767,075,455.51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85,965,802.24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57,174,908.96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50.36%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1,222,329,971.29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1,827,905,974.82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-33.13%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2,010,827,042.50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1,809,214,359.48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11.14%</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-788,497,071.21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18,691,615.34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-4,318.45%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621,120,000.00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302,000,000.00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105.67%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303,102,849.08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249,073,113.93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21.69%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318,017,150.92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52,926,886.07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500.86%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-389,886,143.44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134,573,475.90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-389.72%</w:t>
            </w:r>
          </w:p>
        </w:tc>
      </w:tr>
    </w:tbl>
    <w:p>
      <w:pPr>
        <w:pStyle w:val="BodyText"/>
        <w:spacing w:line="240" w:lineRule="auto" w:before="51"/>
        <w:ind w:right="1258"/>
        <w:jc w:val="left"/>
      </w:pPr>
      <w:r>
        <w:rPr/>
        <w:t>相关数据同比发生重大变动的主要影响因素说明</w:t>
      </w:r>
    </w:p>
    <w:p>
      <w:pPr>
        <w:pStyle w:val="BodyText"/>
        <w:spacing w:line="240" w:lineRule="auto" w:before="116"/>
        <w:ind w:left="153"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2"/>
        <w:ind w:right="151" w:firstLine="360"/>
        <w:jc w:val="left"/>
      </w:pPr>
      <w:r>
        <w:rPr>
          <w:rFonts w:ascii="Times New Roman" w:hAnsi="Times New Roman" w:cs="Times New Roman" w:eastAsia="Times New Roman" w:hint="default"/>
          <w:spacing w:val="-1"/>
        </w:rPr>
        <w:t>1</w:t>
      </w:r>
      <w:r>
        <w:rPr>
          <w:spacing w:val="-1"/>
        </w:rPr>
        <w:t>、经营活动产生的现金流量净额较上年同期增加</w:t>
      </w:r>
      <w:r>
        <w:rPr>
          <w:rFonts w:ascii="Times New Roman" w:hAnsi="Times New Roman" w:cs="Times New Roman" w:eastAsia="Times New Roman" w:hint="default"/>
          <w:spacing w:val="-1"/>
        </w:rPr>
        <w:t>50.36%</w:t>
      </w:r>
      <w:r>
        <w:rPr>
          <w:spacing w:val="-1"/>
        </w:rPr>
        <w:t>，主要是报告期销售商品、提供劳务收到的现金增加及支付的</w:t>
      </w:r>
      <w:r>
        <w:rPr/>
        <w:t> 其他与经营活动有关的现金减少所致。</w:t>
      </w:r>
    </w:p>
    <w:p>
      <w:pPr>
        <w:pStyle w:val="BodyText"/>
        <w:spacing w:line="240" w:lineRule="auto" w:before="69"/>
        <w:ind w:left="514" w:right="1258"/>
        <w:jc w:val="left"/>
      </w:pPr>
      <w:r>
        <w:rPr>
          <w:rFonts w:ascii="Times New Roman" w:hAnsi="Times New Roman" w:cs="Times New Roman" w:eastAsia="Times New Roman" w:hint="default"/>
        </w:rPr>
        <w:t>2</w:t>
      </w:r>
      <w:r>
        <w:rPr/>
        <w:t>、投资活动现金流入小计较上年同期减少</w:t>
      </w:r>
      <w:r>
        <w:rPr>
          <w:rFonts w:ascii="Times New Roman" w:hAnsi="Times New Roman" w:cs="Times New Roman" w:eastAsia="Times New Roman" w:hint="default"/>
        </w:rPr>
        <w:t>33.13%</w:t>
      </w:r>
      <w:r>
        <w:rPr/>
        <w:t>，主要是报告期理财产品到期赎回金额减少所致。</w:t>
      </w:r>
    </w:p>
    <w:p>
      <w:pPr>
        <w:pStyle w:val="BodyText"/>
        <w:spacing w:line="240" w:lineRule="auto" w:before="102"/>
        <w:ind w:left="514" w:right="1258"/>
        <w:jc w:val="left"/>
      </w:pPr>
      <w:r>
        <w:rPr>
          <w:rFonts w:ascii="Times New Roman" w:hAnsi="Times New Roman" w:cs="Times New Roman" w:eastAsia="Times New Roman" w:hint="default"/>
        </w:rPr>
        <w:t>3</w:t>
      </w:r>
      <w:r>
        <w:rPr/>
        <w:t>、投资活动产生的现金流量净额较上年同期减少</w:t>
      </w:r>
      <w:r>
        <w:rPr>
          <w:rFonts w:ascii="Times New Roman" w:hAnsi="Times New Roman" w:cs="Times New Roman" w:eastAsia="Times New Roman" w:hint="default"/>
        </w:rPr>
        <w:t>4318.45%</w:t>
      </w:r>
      <w:r>
        <w:rPr/>
        <w:t>，主要是报告期理财产品净额增加所致。</w:t>
      </w:r>
    </w:p>
    <w:p>
      <w:pPr>
        <w:pStyle w:val="BodyText"/>
        <w:spacing w:line="240" w:lineRule="auto" w:before="103"/>
        <w:ind w:left="514" w:right="1258"/>
        <w:jc w:val="left"/>
      </w:pPr>
      <w:r>
        <w:rPr>
          <w:rFonts w:ascii="Times New Roman" w:hAnsi="Times New Roman" w:cs="Times New Roman" w:eastAsia="Times New Roman" w:hint="default"/>
        </w:rPr>
        <w:t>4</w:t>
      </w:r>
      <w:r>
        <w:rPr/>
        <w:t>、筹资活动现金流入小计较上年同期增加</w:t>
      </w:r>
      <w:r>
        <w:rPr>
          <w:rFonts w:ascii="Times New Roman" w:hAnsi="Times New Roman" w:cs="Times New Roman" w:eastAsia="Times New Roman" w:hint="default"/>
        </w:rPr>
        <w:t>105.67%</w:t>
      </w:r>
      <w:r>
        <w:rPr/>
        <w:t>，主要是报告期借款增加所致。</w:t>
      </w:r>
    </w:p>
    <w:p>
      <w:pPr>
        <w:pStyle w:val="BodyText"/>
        <w:spacing w:line="240" w:lineRule="auto" w:before="102"/>
        <w:ind w:left="514" w:right="1258"/>
        <w:jc w:val="left"/>
      </w:pPr>
      <w:r>
        <w:rPr>
          <w:rFonts w:ascii="Times New Roman" w:hAnsi="Times New Roman" w:cs="Times New Roman" w:eastAsia="Times New Roman" w:hint="default"/>
        </w:rPr>
        <w:t>5</w:t>
      </w:r>
      <w:r>
        <w:rPr/>
        <w:t>、筹资活动产生的现金流量净额较上年同期增加</w:t>
      </w:r>
      <w:r>
        <w:rPr>
          <w:rFonts w:ascii="Times New Roman" w:hAnsi="Times New Roman" w:cs="Times New Roman" w:eastAsia="Times New Roman" w:hint="default"/>
        </w:rPr>
        <w:t>500.86%</w:t>
      </w:r>
      <w:r>
        <w:rPr/>
        <w:t>，主要是报告期借款增加所致。</w:t>
      </w:r>
    </w:p>
    <w:p>
      <w:pPr>
        <w:pStyle w:val="BodyText"/>
        <w:spacing w:line="240" w:lineRule="auto" w:before="102"/>
        <w:ind w:left="514" w:right="1258"/>
        <w:jc w:val="left"/>
      </w:pPr>
      <w:r>
        <w:rPr>
          <w:rFonts w:ascii="Times New Roman" w:hAnsi="Times New Roman" w:cs="Times New Roman" w:eastAsia="Times New Roman" w:hint="default"/>
        </w:rPr>
        <w:t>6</w:t>
      </w:r>
      <w:r>
        <w:rPr/>
        <w:t>、现金及现金等价物净增加额较上年同期减少</w:t>
      </w:r>
      <w:r>
        <w:rPr>
          <w:rFonts w:ascii="Times New Roman" w:hAnsi="Times New Roman" w:cs="Times New Roman" w:eastAsia="Times New Roman" w:hint="default"/>
        </w:rPr>
        <w:t>389.72%</w:t>
      </w:r>
      <w:r>
        <w:rPr/>
        <w:t>，主要是报告期理财产品净额增加所致。</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240" w:lineRule="auto"/>
        <w:ind w:right="1258"/>
        <w:jc w:val="left"/>
      </w:pPr>
      <w:r>
        <w:rPr/>
        <w:t>报告期内公司经营活动产生的现金净流量与本年度净利润存在重大差异的原因说明</w:t>
      </w:r>
    </w:p>
    <w:p>
      <w:pPr>
        <w:pStyle w:val="BodyText"/>
        <w:spacing w:line="333" w:lineRule="auto" w:before="116"/>
        <w:ind w:left="514" w:right="59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经营活动产生的现金流量净额较净利润增加主要是由于报告期经营性应付项目增加及无形资产摊销增加等所致。</w:t>
      </w:r>
    </w:p>
    <w:p>
      <w:pPr>
        <w:spacing w:after="0" w:line="333" w:lineRule="auto"/>
        <w:jc w:val="left"/>
        <w:sectPr>
          <w:pgSz w:w="11910" w:h="16840"/>
          <w:pgMar w:header="877" w:footer="982" w:top="1100" w:bottom="1180" w:left="980" w:right="980"/>
        </w:sectPr>
      </w:pPr>
    </w:p>
    <w:p>
      <w:pPr>
        <w:spacing w:line="240" w:lineRule="auto" w:before="9"/>
        <w:rPr>
          <w:rFonts w:ascii="宋体" w:hAnsi="宋体" w:cs="宋体" w:eastAsia="宋体" w:hint="default"/>
          <w:sz w:val="19"/>
          <w:szCs w:val="19"/>
        </w:rPr>
      </w:pPr>
    </w:p>
    <w:p>
      <w:pPr>
        <w:pStyle w:val="Heading2"/>
        <w:spacing w:line="240" w:lineRule="auto" w:before="26"/>
        <w:ind w:left="174" w:right="0"/>
        <w:jc w:val="left"/>
        <w:rPr>
          <w:b w:val="0"/>
          <w:bCs w:val="0"/>
        </w:rPr>
      </w:pPr>
      <w:r>
        <w:rPr/>
        <w:t>三、非主营业务分析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17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91"/>
        <w:jc w:val="right"/>
      </w:pPr>
      <w:r>
        <w:rPr/>
        <w:t>单位：元</w:t>
      </w:r>
    </w:p>
    <w:p>
      <w:pPr>
        <w:spacing w:line="240" w:lineRule="auto" w:before="1"/>
        <w:rPr>
          <w:rFonts w:ascii="宋体" w:hAnsi="宋体" w:cs="宋体" w:eastAsia="宋体" w:hint="default"/>
          <w:sz w:val="8"/>
          <w:szCs w:val="8"/>
        </w:rPr>
      </w:pPr>
    </w:p>
    <w:tbl>
      <w:tblPr>
        <w:tblW w:w="0" w:type="auto"/>
        <w:jc w:val="left"/>
        <w:tblInd w:w="169" w:type="dxa"/>
        <w:tblLayout w:type="fixed"/>
        <w:tblCellMar>
          <w:top w:w="0" w:type="dxa"/>
          <w:left w:w="0" w:type="dxa"/>
          <w:bottom w:w="0" w:type="dxa"/>
          <w:right w:w="0" w:type="dxa"/>
        </w:tblCellMar>
        <w:tblLook w:val="01E0"/>
      </w:tblPr>
      <w:tblGrid>
        <w:gridCol w:w="1523"/>
        <w:gridCol w:w="1916"/>
        <w:gridCol w:w="1622"/>
        <w:gridCol w:w="2254"/>
        <w:gridCol w:w="2254"/>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1"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23"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6" w:type="dxa"/>
            <w:vMerge w:val="restart"/>
            <w:tcBorders>
              <w:top w:val="single" w:sz="4" w:space="0" w:color="000000"/>
              <w:left w:val="single" w:sz="9"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29,991,290.76</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5" w:right="0"/>
              <w:jc w:val="left"/>
              <w:rPr>
                <w:rFonts w:ascii="Times New Roman" w:hAnsi="Times New Roman" w:cs="Times New Roman" w:eastAsia="Times New Roman" w:hint="default"/>
                <w:sz w:val="18"/>
                <w:szCs w:val="18"/>
              </w:rPr>
            </w:pPr>
            <w:r>
              <w:rPr>
                <w:rFonts w:ascii="Times New Roman"/>
                <w:sz w:val="18"/>
              </w:rPr>
              <w:t>92.94%</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9"/>
              <w:jc w:val="left"/>
              <w:rPr>
                <w:rFonts w:ascii="宋体" w:hAnsi="宋体" w:cs="宋体" w:eastAsia="宋体" w:hint="default"/>
                <w:sz w:val="18"/>
                <w:szCs w:val="18"/>
              </w:rPr>
            </w:pPr>
            <w:r>
              <w:rPr>
                <w:rFonts w:ascii="宋体" w:hAnsi="宋体" w:cs="宋体" w:eastAsia="宋体" w:hint="default"/>
                <w:sz w:val="18"/>
                <w:szCs w:val="18"/>
              </w:rPr>
              <w:t>主要来源于对联营企业的投 资收益及理财收益</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3D3D3"/>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23"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6" w:type="dxa"/>
            <w:vMerge/>
            <w:tcBorders>
              <w:left w:val="single" w:sz="9" w:space="0" w:color="D3D3D3"/>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1" w:hRule="exact"/>
        </w:trPr>
        <w:tc>
          <w:tcPr>
            <w:tcW w:w="1523"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6" w:type="dxa"/>
            <w:vMerge w:val="restart"/>
            <w:tcBorders>
              <w:top w:val="single" w:sz="4" w:space="0" w:color="000000"/>
              <w:left w:val="single" w:sz="9"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10,255,361.61</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5" w:right="0"/>
              <w:jc w:val="left"/>
              <w:rPr>
                <w:rFonts w:ascii="Times New Roman" w:hAnsi="Times New Roman" w:cs="Times New Roman" w:eastAsia="Times New Roman" w:hint="default"/>
                <w:sz w:val="18"/>
                <w:szCs w:val="18"/>
              </w:rPr>
            </w:pPr>
            <w:r>
              <w:rPr>
                <w:rFonts w:ascii="Times New Roman"/>
                <w:sz w:val="18"/>
              </w:rPr>
              <w:t>31.78%</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9"/>
              <w:jc w:val="left"/>
              <w:rPr>
                <w:rFonts w:ascii="宋体" w:hAnsi="宋体" w:cs="宋体" w:eastAsia="宋体" w:hint="default"/>
                <w:sz w:val="18"/>
                <w:szCs w:val="18"/>
              </w:rPr>
            </w:pPr>
            <w:r>
              <w:rPr>
                <w:rFonts w:ascii="宋体" w:hAnsi="宋体" w:cs="宋体" w:eastAsia="宋体" w:hint="default"/>
                <w:sz w:val="18"/>
                <w:szCs w:val="18"/>
              </w:rPr>
              <w:t>主要是对应收及其他应收款 按账龄计提减值准备</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3D3D3"/>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23"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6" w:type="dxa"/>
            <w:vMerge/>
            <w:tcBorders>
              <w:left w:val="single" w:sz="9" w:space="0" w:color="D3D3D3"/>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74" w:right="0"/>
        <w:jc w:val="left"/>
        <w:rPr>
          <w:b w:val="0"/>
          <w:bCs w:val="0"/>
        </w:rPr>
      </w:pP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74"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90"/>
        <w:jc w:val="right"/>
      </w:pPr>
      <w:r>
        <w:rPr/>
        <w:t>单位：元</w:t>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253"/>
        <w:gridCol w:w="1360"/>
        <w:gridCol w:w="850"/>
        <w:gridCol w:w="1418"/>
        <w:gridCol w:w="850"/>
        <w:gridCol w:w="910"/>
        <w:gridCol w:w="3130"/>
      </w:tblGrid>
      <w:tr>
        <w:trPr>
          <w:trHeight w:val="384" w:hRule="exact"/>
        </w:trPr>
        <w:tc>
          <w:tcPr>
            <w:tcW w:w="1253" w:type="dxa"/>
            <w:tcBorders>
              <w:top w:val="single" w:sz="4" w:space="0" w:color="000000"/>
              <w:left w:val="single" w:sz="4" w:space="0" w:color="000000"/>
              <w:bottom w:val="nil" w:sz="6" w:space="0" w:color="auto"/>
              <w:right w:val="single" w:sz="4" w:space="0" w:color="000000"/>
            </w:tcBorders>
            <w:shd w:val="clear" w:color="auto" w:fill="D3D3D3"/>
          </w:tcPr>
          <w:p>
            <w:pPr/>
          </w:p>
        </w:tc>
        <w:tc>
          <w:tcPr>
            <w:tcW w:w="221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10" w:type="dxa"/>
            <w:tcBorders>
              <w:top w:val="single" w:sz="4" w:space="0" w:color="000000"/>
              <w:left w:val="single" w:sz="4" w:space="0" w:color="000000"/>
              <w:bottom w:val="nil" w:sz="6" w:space="0" w:color="auto"/>
              <w:right w:val="single" w:sz="4" w:space="0" w:color="000000"/>
            </w:tcBorders>
            <w:shd w:val="clear" w:color="auto" w:fill="D3D3D3"/>
          </w:tcPr>
          <w:p>
            <w:pPr/>
          </w:p>
        </w:tc>
        <w:tc>
          <w:tcPr>
            <w:tcW w:w="313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79" w:hRule="exact"/>
        </w:trPr>
        <w:tc>
          <w:tcPr>
            <w:tcW w:w="1253" w:type="dxa"/>
            <w:vMerge w:val="restart"/>
            <w:tcBorders>
              <w:top w:val="nil" w:sz="6" w:space="0" w:color="auto"/>
              <w:left w:val="single" w:sz="4" w:space="0" w:color="000000"/>
              <w:right w:val="single" w:sz="4" w:space="0" w:color="000000"/>
            </w:tcBorders>
            <w:shd w:val="clear" w:color="auto" w:fill="D3D3D3"/>
          </w:tcPr>
          <w:p>
            <w:pPr/>
          </w:p>
        </w:tc>
        <w:tc>
          <w:tcPr>
            <w:tcW w:w="1360" w:type="dxa"/>
            <w:tcBorders>
              <w:top w:val="single" w:sz="4" w:space="0" w:color="000000"/>
              <w:left w:val="single" w:sz="4" w:space="0" w:color="000000"/>
              <w:bottom w:val="nil" w:sz="6" w:space="0" w:color="auto"/>
              <w:right w:val="single" w:sz="4" w:space="0" w:color="000000"/>
            </w:tcBorders>
            <w:shd w:val="clear" w:color="auto" w:fill="D3D3D3"/>
          </w:tcPr>
          <w:p>
            <w:pPr/>
          </w:p>
        </w:tc>
        <w:tc>
          <w:tcPr>
            <w:tcW w:w="85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69"/>
              <w:ind w:left="239"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418" w:type="dxa"/>
            <w:tcBorders>
              <w:top w:val="single" w:sz="4" w:space="0" w:color="000000"/>
              <w:left w:val="single" w:sz="4" w:space="0" w:color="000000"/>
              <w:bottom w:val="nil" w:sz="6" w:space="0" w:color="auto"/>
              <w:right w:val="single" w:sz="4" w:space="0" w:color="000000"/>
            </w:tcBorders>
            <w:shd w:val="clear" w:color="auto" w:fill="D3D3D3"/>
          </w:tcPr>
          <w:p>
            <w:pPr/>
          </w:p>
        </w:tc>
        <w:tc>
          <w:tcPr>
            <w:tcW w:w="85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69"/>
              <w:ind w:left="239"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91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8"/>
              <w:ind w:left="88"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31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8"/>
              <w:ind w:left="1019"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253" w:type="dxa"/>
            <w:vMerge/>
            <w:tcBorders>
              <w:left w:val="single" w:sz="4" w:space="0" w:color="000000"/>
              <w:bottom w:val="nil" w:sz="6" w:space="0" w:color="auto"/>
              <w:right w:val="single" w:sz="4" w:space="0" w:color="000000"/>
            </w:tcBorders>
            <w:shd w:val="clear" w:color="auto" w:fill="D3D3D3"/>
          </w:tcPr>
          <w:p>
            <w:pPr/>
          </w:p>
        </w:tc>
        <w:tc>
          <w:tcPr>
            <w:tcW w:w="136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vMerge/>
            <w:tcBorders>
              <w:left w:val="single" w:sz="4" w:space="0" w:color="000000"/>
              <w:right w:val="single" w:sz="4" w:space="0" w:color="000000"/>
            </w:tcBorders>
            <w:shd w:val="clear" w:color="auto" w:fill="D3D3D3"/>
          </w:tcPr>
          <w:p>
            <w:pPr/>
          </w:p>
        </w:tc>
        <w:tc>
          <w:tcPr>
            <w:tcW w:w="141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vMerge/>
            <w:tcBorders>
              <w:left w:val="single" w:sz="4" w:space="0" w:color="000000"/>
              <w:right w:val="single" w:sz="4" w:space="0" w:color="000000"/>
            </w:tcBorders>
            <w:shd w:val="clear" w:color="auto" w:fill="D3D3D3"/>
          </w:tcPr>
          <w:p>
            <w:pPr/>
          </w:p>
        </w:tc>
        <w:tc>
          <w:tcPr>
            <w:tcW w:w="910" w:type="dxa"/>
            <w:vMerge/>
            <w:tcBorders>
              <w:left w:val="single" w:sz="4" w:space="0" w:color="000000"/>
              <w:bottom w:val="nil" w:sz="6" w:space="0" w:color="auto"/>
              <w:right w:val="single" w:sz="4" w:space="0" w:color="000000"/>
            </w:tcBorders>
            <w:shd w:val="clear" w:color="auto" w:fill="D3D3D3"/>
          </w:tcPr>
          <w:p>
            <w:pPr/>
          </w:p>
        </w:tc>
        <w:tc>
          <w:tcPr>
            <w:tcW w:w="3130" w:type="dxa"/>
            <w:vMerge/>
            <w:tcBorders>
              <w:left w:val="single" w:sz="4" w:space="0" w:color="000000"/>
              <w:bottom w:val="nil" w:sz="6" w:space="0" w:color="auto"/>
              <w:right w:val="single" w:sz="4" w:space="0" w:color="000000"/>
            </w:tcBorders>
            <w:shd w:val="clear" w:color="auto" w:fill="D3D3D3"/>
          </w:tcPr>
          <w:p>
            <w:pPr/>
          </w:p>
        </w:tc>
      </w:tr>
      <w:tr>
        <w:trPr>
          <w:trHeight w:val="202" w:hRule="exact"/>
        </w:trPr>
        <w:tc>
          <w:tcPr>
            <w:tcW w:w="1253" w:type="dxa"/>
            <w:vMerge w:val="restart"/>
            <w:tcBorders>
              <w:top w:val="nil" w:sz="6" w:space="0" w:color="auto"/>
              <w:left w:val="single" w:sz="4" w:space="0" w:color="000000"/>
              <w:right w:val="single" w:sz="4" w:space="0" w:color="000000"/>
            </w:tcBorders>
            <w:shd w:val="clear" w:color="auto" w:fill="D3D3D3"/>
          </w:tcPr>
          <w:p>
            <w:pPr/>
          </w:p>
        </w:tc>
        <w:tc>
          <w:tcPr>
            <w:tcW w:w="1360" w:type="dxa"/>
            <w:vMerge/>
            <w:tcBorders>
              <w:left w:val="single" w:sz="4" w:space="0" w:color="000000"/>
              <w:bottom w:val="nil" w:sz="6" w:space="0" w:color="auto"/>
              <w:right w:val="single" w:sz="4" w:space="0" w:color="000000"/>
            </w:tcBorders>
            <w:shd w:val="clear" w:color="auto" w:fill="D3D3D3"/>
          </w:tcPr>
          <w:p>
            <w:pPr/>
          </w:p>
        </w:tc>
        <w:tc>
          <w:tcPr>
            <w:tcW w:w="850" w:type="dxa"/>
            <w:vMerge/>
            <w:tcBorders>
              <w:left w:val="single" w:sz="4" w:space="0" w:color="000000"/>
              <w:right w:val="single" w:sz="4" w:space="0" w:color="000000"/>
            </w:tcBorders>
            <w:shd w:val="clear" w:color="auto" w:fill="D3D3D3"/>
          </w:tcPr>
          <w:p>
            <w:pPr/>
          </w:p>
        </w:tc>
        <w:tc>
          <w:tcPr>
            <w:tcW w:w="1418" w:type="dxa"/>
            <w:vMerge/>
            <w:tcBorders>
              <w:left w:val="single" w:sz="4" w:space="0" w:color="000000"/>
              <w:bottom w:val="nil" w:sz="6" w:space="0" w:color="auto"/>
              <w:right w:val="single" w:sz="4" w:space="0" w:color="000000"/>
            </w:tcBorders>
            <w:shd w:val="clear" w:color="auto" w:fill="D3D3D3"/>
          </w:tcPr>
          <w:p>
            <w:pPr/>
          </w:p>
        </w:tc>
        <w:tc>
          <w:tcPr>
            <w:tcW w:w="850" w:type="dxa"/>
            <w:vMerge/>
            <w:tcBorders>
              <w:left w:val="single" w:sz="4" w:space="0" w:color="000000"/>
              <w:right w:val="single" w:sz="4" w:space="0" w:color="000000"/>
            </w:tcBorders>
            <w:shd w:val="clear" w:color="auto" w:fill="D3D3D3"/>
          </w:tcPr>
          <w:p>
            <w:pPr/>
          </w:p>
        </w:tc>
        <w:tc>
          <w:tcPr>
            <w:tcW w:w="910" w:type="dxa"/>
            <w:vMerge w:val="restart"/>
            <w:tcBorders>
              <w:top w:val="nil" w:sz="6" w:space="0" w:color="auto"/>
              <w:left w:val="single" w:sz="4" w:space="0" w:color="000000"/>
              <w:right w:val="single" w:sz="4" w:space="0" w:color="000000"/>
            </w:tcBorders>
            <w:shd w:val="clear" w:color="auto" w:fill="D3D3D3"/>
          </w:tcPr>
          <w:p>
            <w:pPr/>
          </w:p>
        </w:tc>
        <w:tc>
          <w:tcPr>
            <w:tcW w:w="3130"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253" w:type="dxa"/>
            <w:vMerge/>
            <w:tcBorders>
              <w:left w:val="single" w:sz="4" w:space="0" w:color="000000"/>
              <w:bottom w:val="single" w:sz="4" w:space="0" w:color="000000"/>
              <w:right w:val="single" w:sz="4" w:space="0" w:color="000000"/>
            </w:tcBorders>
            <w:shd w:val="clear" w:color="auto" w:fill="D3D3D3"/>
          </w:tcPr>
          <w:p>
            <w:pPr/>
          </w:p>
        </w:tc>
        <w:tc>
          <w:tcPr>
            <w:tcW w:w="1360" w:type="dxa"/>
            <w:tcBorders>
              <w:top w:val="nil" w:sz="6" w:space="0" w:color="auto"/>
              <w:left w:val="single" w:sz="4" w:space="0" w:color="000000"/>
              <w:bottom w:val="single" w:sz="4" w:space="0" w:color="000000"/>
              <w:right w:val="single" w:sz="4" w:space="0" w:color="000000"/>
            </w:tcBorders>
            <w:shd w:val="clear" w:color="auto" w:fill="D3D3D3"/>
          </w:tcPr>
          <w:p>
            <w:pPr/>
          </w:p>
        </w:tc>
        <w:tc>
          <w:tcPr>
            <w:tcW w:w="850" w:type="dxa"/>
            <w:vMerge/>
            <w:tcBorders>
              <w:left w:val="single" w:sz="4" w:space="0" w:color="000000"/>
              <w:bottom w:val="single" w:sz="4" w:space="0" w:color="000000"/>
              <w:right w:val="single" w:sz="4" w:space="0" w:color="000000"/>
            </w:tcBorders>
            <w:shd w:val="clear" w:color="auto" w:fill="D3D3D3"/>
          </w:tcPr>
          <w:p>
            <w:pPr/>
          </w:p>
        </w:tc>
        <w:tc>
          <w:tcPr>
            <w:tcW w:w="1418" w:type="dxa"/>
            <w:tcBorders>
              <w:top w:val="nil" w:sz="6" w:space="0" w:color="auto"/>
              <w:left w:val="single" w:sz="4" w:space="0" w:color="000000"/>
              <w:bottom w:val="single" w:sz="4" w:space="0" w:color="000000"/>
              <w:right w:val="single" w:sz="4" w:space="0" w:color="000000"/>
            </w:tcBorders>
            <w:shd w:val="clear" w:color="auto" w:fill="D3D3D3"/>
          </w:tcPr>
          <w:p>
            <w:pPr/>
          </w:p>
        </w:tc>
        <w:tc>
          <w:tcPr>
            <w:tcW w:w="850" w:type="dxa"/>
            <w:vMerge/>
            <w:tcBorders>
              <w:left w:val="single" w:sz="4" w:space="0" w:color="000000"/>
              <w:bottom w:val="single" w:sz="4" w:space="0" w:color="000000"/>
              <w:right w:val="single" w:sz="4" w:space="0" w:color="000000"/>
            </w:tcBorders>
            <w:shd w:val="clear" w:color="auto" w:fill="D3D3D3"/>
          </w:tcPr>
          <w:p>
            <w:pPr/>
          </w:p>
        </w:tc>
        <w:tc>
          <w:tcPr>
            <w:tcW w:w="910" w:type="dxa"/>
            <w:vMerge/>
            <w:tcBorders>
              <w:left w:val="single" w:sz="4" w:space="0" w:color="000000"/>
              <w:bottom w:val="single" w:sz="4" w:space="0" w:color="000000"/>
              <w:right w:val="single" w:sz="4" w:space="0" w:color="000000"/>
            </w:tcBorders>
            <w:shd w:val="clear" w:color="auto" w:fill="D3D3D3"/>
          </w:tcPr>
          <w:p>
            <w:pPr/>
          </w:p>
        </w:tc>
        <w:tc>
          <w:tcPr>
            <w:tcW w:w="313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207,736,984.65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552,975,440.22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-17.89%</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主要是报告期理财产品净额增加所致。</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119,355,006.60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116,052,904.46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-0.84%</w:t>
            </w:r>
          </w:p>
        </w:tc>
        <w:tc>
          <w:tcPr>
            <w:tcW w:w="31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772,316,481.37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757,809,363.78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w:t>
            </w:r>
          </w:p>
        </w:tc>
        <w:tc>
          <w:tcPr>
            <w:tcW w:w="31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38,048,635.97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15,624,406.21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0.74%</w:t>
            </w:r>
          </w:p>
        </w:tc>
        <w:tc>
          <w:tcPr>
            <w:tcW w:w="31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114,685,687.77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94,658,748.16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31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36,571,761.90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35,336,841.64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-0.24%</w:t>
            </w:r>
          </w:p>
        </w:tc>
        <w:tc>
          <w:tcPr>
            <w:tcW w:w="31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148,040,779.90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11,037,952.52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w:t>
            </w:r>
          </w:p>
        </w:tc>
        <w:tc>
          <w:tcPr>
            <w:tcW w:w="31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13.75%</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主要是报告期短期信用借款增加所致。</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60" w:type="dxa"/>
            <w:tcBorders>
              <w:top w:val="single" w:sz="4" w:space="0" w:color="000000"/>
              <w:left w:val="single" w:sz="13" w:space="0" w:color="D3D3D3"/>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主要是报告期偿还借款所致。</w:t>
            </w:r>
          </w:p>
        </w:tc>
      </w:tr>
    </w:tbl>
    <w:p>
      <w:pPr>
        <w:spacing w:line="240" w:lineRule="auto" w:before="2"/>
        <w:rPr>
          <w:rFonts w:ascii="宋体" w:hAnsi="宋体" w:cs="宋体" w:eastAsia="宋体" w:hint="default"/>
          <w:sz w:val="19"/>
          <w:szCs w:val="19"/>
        </w:rPr>
      </w:pPr>
    </w:p>
    <w:p>
      <w:pPr>
        <w:pStyle w:val="Heading3"/>
        <w:spacing w:line="240" w:lineRule="auto" w:before="35"/>
        <w:ind w:left="174"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7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74"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44" w:type="dxa"/>
        <w:tblLayout w:type="fixed"/>
        <w:tblCellMar>
          <w:top w:w="0" w:type="dxa"/>
          <w:left w:w="0" w:type="dxa"/>
          <w:bottom w:w="0" w:type="dxa"/>
          <w:right w:w="0" w:type="dxa"/>
        </w:tblCellMar>
        <w:tblLook w:val="01E0"/>
      </w:tblPr>
      <w:tblGrid>
        <w:gridCol w:w="1696"/>
        <w:gridCol w:w="2208"/>
        <w:gridCol w:w="3179"/>
      </w:tblGrid>
      <w:tr>
        <w:trPr>
          <w:trHeight w:val="347" w:hRule="exact"/>
        </w:trPr>
        <w:tc>
          <w:tcPr>
            <w:tcW w:w="169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20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left="286" w:right="0"/>
              <w:jc w:val="left"/>
              <w:rPr>
                <w:rFonts w:ascii="宋体" w:hAnsi="宋体" w:cs="宋体" w:eastAsia="宋体" w:hint="default"/>
                <w:sz w:val="18"/>
                <w:szCs w:val="18"/>
              </w:rPr>
            </w:pPr>
            <w:r>
              <w:rPr>
                <w:rFonts w:ascii="宋体" w:hAnsi="宋体" w:cs="宋体" w:eastAsia="宋体" w:hint="default"/>
                <w:sz w:val="18"/>
                <w:szCs w:val="18"/>
              </w:rPr>
              <w:t>期末账面价值（元）</w:t>
            </w:r>
          </w:p>
        </w:tc>
        <w:tc>
          <w:tcPr>
            <w:tcW w:w="3179"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47" w:hRule="exact"/>
        </w:trPr>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84,291,180.00</w:t>
            </w:r>
          </w:p>
        </w:tc>
        <w:tc>
          <w:tcPr>
            <w:tcW w:w="3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定期存款</w:t>
            </w:r>
          </w:p>
        </w:tc>
      </w:tr>
      <w:tr>
        <w:trPr>
          <w:trHeight w:val="348" w:hRule="exact"/>
        </w:trPr>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25,835,076.16</w:t>
            </w:r>
          </w:p>
        </w:tc>
        <w:tc>
          <w:tcPr>
            <w:tcW w:w="3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347" w:hRule="exact"/>
        </w:trPr>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5,686,712.47</w:t>
            </w:r>
          </w:p>
        </w:tc>
        <w:tc>
          <w:tcPr>
            <w:tcW w:w="3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r>
      <w:tr>
        <w:trPr>
          <w:trHeight w:val="347" w:hRule="exact"/>
        </w:trPr>
        <w:tc>
          <w:tcPr>
            <w:tcW w:w="169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115,812,968.63</w:t>
            </w:r>
          </w:p>
        </w:tc>
        <w:tc>
          <w:tcPr>
            <w:tcW w:w="317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960" w:right="940"/>
        </w:sectPr>
      </w:pPr>
    </w:p>
    <w:p>
      <w:pPr>
        <w:spacing w:line="240" w:lineRule="auto" w:before="9"/>
        <w:rPr>
          <w:rFonts w:ascii="宋体" w:hAnsi="宋体" w:cs="宋体" w:eastAsia="宋体" w:hint="default"/>
          <w:b/>
          <w:bCs/>
          <w:sz w:val="19"/>
          <w:szCs w:val="19"/>
        </w:rPr>
      </w:pPr>
    </w:p>
    <w:p>
      <w:pPr>
        <w:pStyle w:val="Heading2"/>
        <w:spacing w:line="240" w:lineRule="auto" w:before="26"/>
        <w:ind w:right="1258"/>
        <w:jc w:val="left"/>
        <w:rPr>
          <w:b w:val="0"/>
          <w:bCs w:val="0"/>
        </w:rPr>
      </w:pP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8"/>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60" w:right="0"/>
              <w:jc w:val="left"/>
              <w:rPr>
                <w:rFonts w:ascii="Times New Roman" w:hAnsi="Times New Roman" w:cs="Times New Roman" w:eastAsia="Times New Roman" w:hint="default"/>
                <w:sz w:val="18"/>
                <w:szCs w:val="18"/>
              </w:rPr>
            </w:pPr>
            <w:r>
              <w:rPr>
                <w:rFonts w:ascii="Times New Roman"/>
                <w:sz w:val="18"/>
              </w:rPr>
              <w:t>-12,450,000.00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-46.47%</w:t>
            </w: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258"/>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258"/>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258"/>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258"/>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1"/>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6"/>
        <w:gridCol w:w="863"/>
        <w:gridCol w:w="877"/>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2010</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向社会公 开发行股 份</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90,566.32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16,309.17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71,989.2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46.56%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30,016.91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购买银行 理财产品</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发行短期 融资券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95,566.32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16,309.17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76,989.2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46.56%</w:t>
            </w:r>
          </w:p>
        </w:tc>
        <w:tc>
          <w:tcPr>
            <w:tcW w:w="870"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30,016.91</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986"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本公司实际募集资金净额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90,566.32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年度使用募集资金总额为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3,885.65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年度使用募集资金总额为</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9,734.67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年度使用募集资金总额为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15,939.63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年度使用募集资金总额为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7,976.94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年度使</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用募集资金总额为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9,698.53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年度使用募集资金总额为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6,958.79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年度募集资金投入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1,485.82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1"/>
        <w:rPr>
          <w:rFonts w:ascii="宋体" w:hAnsi="宋体" w:cs="宋体" w:eastAsia="宋体" w:hint="default"/>
          <w:sz w:val="24"/>
          <w:szCs w:val="24"/>
        </w:rPr>
      </w:pPr>
    </w:p>
    <w:p>
      <w:pPr>
        <w:spacing w:line="674" w:lineRule="exact"/>
        <w:ind w:left="154" w:right="0" w:firstLine="0"/>
        <w:rPr>
          <w:rFonts w:ascii="宋体" w:hAnsi="宋体" w:cs="宋体" w:eastAsia="宋体" w:hint="default"/>
          <w:sz w:val="20"/>
          <w:szCs w:val="20"/>
        </w:rPr>
      </w:pPr>
      <w:r>
        <w:rPr>
          <w:rFonts w:ascii="宋体" w:hAnsi="宋体" w:cs="宋体" w:eastAsia="宋体" w:hint="default"/>
          <w:position w:val="-12"/>
          <w:sz w:val="20"/>
          <w:szCs w:val="20"/>
        </w:rPr>
        <w:pict>
          <v:shape style="width:478.2pt;height:33.75pt;mso-position-horizontal-relative:char;mso-position-vertical-relative:line" type="#_x0000_t202" filled="false" stroked="true" strokeweight=".47998pt" strokecolor="#000000">
            <w10:anchorlock/>
            <v:textbox inset="0,0,0,0">
              <w:txbxContent>
                <w:p>
                  <w:pPr>
                    <w:pStyle w:val="BodyText"/>
                    <w:spacing w:line="240" w:lineRule="auto" w:before="10"/>
                    <w:ind w:left="22"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年度募集资金投入</w:t>
                  </w:r>
                  <w:r>
                    <w:rPr>
                      <w:spacing w:val="-46"/>
                    </w:rPr>
                    <w:t> </w:t>
                  </w:r>
                  <w:r>
                    <w:rPr>
                      <w:rFonts w:ascii="Times New Roman" w:hAnsi="Times New Roman" w:cs="Times New Roman" w:eastAsia="Times New Roman" w:hint="default"/>
                    </w:rPr>
                    <w:t>16,309.17</w:t>
                  </w:r>
                  <w:r>
                    <w:rPr>
                      <w:rFonts w:ascii="Times New Roman" w:hAnsi="Times New Roman" w:cs="Times New Roman" w:eastAsia="Times New Roman" w:hint="default"/>
                      <w:spacing w:val="-1"/>
                    </w:rPr>
                    <w:t> </w:t>
                  </w:r>
                  <w:r>
                    <w:rPr/>
                    <w:t>万元，截至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日募集资金累计投入</w:t>
                  </w:r>
                  <w:r>
                    <w:rPr>
                      <w:spacing w:val="-46"/>
                    </w:rPr>
                    <w:t> </w:t>
                  </w:r>
                  <w:r>
                    <w:rPr>
                      <w:rFonts w:ascii="Times New Roman" w:hAnsi="Times New Roman" w:cs="Times New Roman" w:eastAsia="Times New Roman" w:hint="default"/>
                    </w:rPr>
                    <w:t>71,989.20</w:t>
                  </w:r>
                  <w:r>
                    <w:rPr>
                      <w:rFonts w:ascii="Times New Roman" w:hAnsi="Times New Roman" w:cs="Times New Roman" w:eastAsia="Times New Roman" w:hint="default"/>
                      <w:spacing w:val="-1"/>
                    </w:rPr>
                    <w:t> </w:t>
                  </w:r>
                  <w:r>
                    <w:rPr/>
                    <w:t>万元，尚未使用的金额为</w:t>
                  </w:r>
                </w:p>
                <w:p>
                  <w:pPr>
                    <w:pStyle w:val="BodyText"/>
                    <w:spacing w:line="240" w:lineRule="auto" w:before="64"/>
                    <w:ind w:left="22" w:right="0"/>
                    <w:jc w:val="left"/>
                  </w:pPr>
                  <w:r>
                    <w:rPr>
                      <w:rFonts w:ascii="Times New Roman" w:hAnsi="Times New Roman" w:cs="Times New Roman" w:eastAsia="Times New Roman" w:hint="default"/>
                    </w:rPr>
                    <w:t>30,016.91</w:t>
                  </w:r>
                  <w:r>
                    <w:rPr>
                      <w:rFonts w:ascii="Times New Roman" w:hAnsi="Times New Roman" w:cs="Times New Roman" w:eastAsia="Times New Roman" w:hint="default"/>
                      <w:spacing w:val="-1"/>
                    </w:rPr>
                    <w:t> </w:t>
                  </w:r>
                  <w:r>
                    <w:rPr/>
                    <w:t>万</w:t>
                  </w:r>
                  <w:r>
                    <w:rPr>
                      <w:spacing w:val="-2"/>
                    </w:rPr>
                    <w:t>元</w:t>
                  </w:r>
                  <w:r>
                    <w:rPr/>
                    <w:t>（其中包含利息及理财收益净收入</w:t>
                  </w:r>
                  <w:r>
                    <w:rPr>
                      <w:spacing w:val="-46"/>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1,439.79</w:t>
                  </w:r>
                  <w:r>
                    <w:rPr>
                      <w:rFonts w:ascii="Times New Roman" w:hAnsi="Times New Roman" w:cs="Times New Roman" w:eastAsia="Times New Roman" w:hint="default"/>
                      <w:spacing w:val="-1"/>
                    </w:rPr>
                    <w:t> </w:t>
                  </w:r>
                  <w:r>
                    <w:rPr/>
                    <w:t>万元</w:t>
                  </w:r>
                  <w:r>
                    <w:rPr>
                      <w:spacing w:val="-90"/>
                    </w:rPr>
                    <w:t>）</w:t>
                  </w:r>
                  <w:r>
                    <w:rPr/>
                    <w:t>。</w:t>
                  </w:r>
                </w:p>
              </w:txbxContent>
            </v:textbox>
          </v:shape>
        </w:pict>
      </w:r>
      <w:r>
        <w:rPr>
          <w:rFonts w:ascii="宋体" w:hAnsi="宋体" w:cs="宋体" w:eastAsia="宋体" w:hint="default"/>
          <w:position w:val="-12"/>
          <w:sz w:val="20"/>
          <w:szCs w:val="20"/>
        </w:rPr>
      </w:r>
    </w:p>
    <w:p>
      <w:pPr>
        <w:spacing w:line="240" w:lineRule="auto" w:before="8"/>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1"/>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19" w:right="68"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、新一代电子政务应 用平台</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8,224.43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8,224.43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6,835.06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6" w:right="0"/>
              <w:jc w:val="center"/>
              <w:rPr>
                <w:rFonts w:ascii="Times New Roman" w:hAnsi="Times New Roman" w:cs="Times New Roman" w:eastAsia="Times New Roman" w:hint="default"/>
                <w:sz w:val="18"/>
                <w:szCs w:val="18"/>
              </w:rPr>
            </w:pPr>
            <w:r>
              <w:rPr>
                <w:rFonts w:ascii="Times New Roman"/>
                <w:sz w:val="18"/>
              </w:rPr>
              <w:t>83.11%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1,879.93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、信息安全风险综合 管理系统</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7,799.08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7,799.08</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5,280.17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67.70%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、质检三电工程企业 端软件运维服务平台</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10,903.06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10,903.06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9,857.53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90.41%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869.43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、协同管理软件平台</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8,938.89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8,938.89</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6,036.28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67.53%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1,306.99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、技术研发与创新中 心</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4,288.62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4,288.62</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2,045.6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47.70%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40,154.08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40,154.08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56.23</w:t>
            </w:r>
          </w:p>
        </w:tc>
        <w:tc>
          <w:tcPr>
            <w:tcW w:w="780"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30,054.64</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4,089.08</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投资设立子公司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12,647.97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center"/>
              <w:rPr>
                <w:rFonts w:ascii="Times New Roman" w:hAnsi="Times New Roman" w:cs="Times New Roman" w:eastAsia="Times New Roman" w:hint="default"/>
                <w:sz w:val="18"/>
                <w:szCs w:val="18"/>
              </w:rPr>
            </w:pPr>
            <w:r>
              <w:rPr>
                <w:rFonts w:ascii="Times New Roman"/>
                <w:sz w:val="18"/>
              </w:rPr>
              <w:t>68.37%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支付贷款利息</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榕基</w:t>
            </w:r>
            <w:r>
              <w:rPr>
                <w:rFonts w:ascii="Times New Roman" w:hAnsi="Times New Roman" w:cs="Times New Roman" w:eastAsia="Times New Roman" w:hint="default"/>
                <w:sz w:val="18"/>
                <w:szCs w:val="18"/>
              </w:rPr>
              <w:t>“</w:t>
            </w:r>
            <w:r>
              <w:rPr>
                <w:rFonts w:ascii="宋体" w:hAnsi="宋体" w:cs="宋体" w:eastAsia="宋体" w:hint="default"/>
                <w:sz w:val="18"/>
                <w:szCs w:val="18"/>
              </w:rPr>
              <w:t>易贸</w:t>
            </w:r>
            <w:r>
              <w:rPr>
                <w:rFonts w:ascii="Times New Roman" w:hAnsi="Times New Roman" w:cs="Times New Roman" w:eastAsia="Times New Roman" w:hint="default"/>
                <w:sz w:val="18"/>
                <w:szCs w:val="18"/>
              </w:rPr>
              <w:t>”</w:t>
            </w:r>
            <w:r>
              <w:rPr>
                <w:rFonts w:ascii="宋体" w:hAnsi="宋体" w:cs="宋体" w:eastAsia="宋体" w:hint="default"/>
                <w:sz w:val="18"/>
                <w:szCs w:val="18"/>
              </w:rPr>
              <w:t>商务平台</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1,116.45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1,116.45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center"/>
              <w:rPr>
                <w:rFonts w:ascii="Times New Roman" w:hAnsi="Times New Roman" w:cs="Times New Roman" w:eastAsia="Times New Roman" w:hint="default"/>
                <w:sz w:val="18"/>
                <w:szCs w:val="18"/>
              </w:rPr>
            </w:pPr>
            <w:r>
              <w:rPr>
                <w:rFonts w:ascii="Times New Roman"/>
                <w:sz w:val="18"/>
              </w:rPr>
              <w:t>31.90%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VR</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体验馆项目</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center"/>
              <w:rPr>
                <w:rFonts w:ascii="Times New Roman" w:hAnsi="Times New Roman" w:cs="Times New Roman" w:eastAsia="Times New Roman" w:hint="default"/>
                <w:sz w:val="18"/>
                <w:szCs w:val="18"/>
              </w:rPr>
            </w:pPr>
            <w:r>
              <w:rPr>
                <w:rFonts w:ascii="Times New Roman"/>
                <w:sz w:val="18"/>
              </w:rPr>
              <w:t>11.34%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323" w:val="left" w:leader="none"/>
              </w:tabs>
              <w:spacing w:line="240" w:lineRule="auto" w:before="51"/>
              <w:ind w:left="-128" w:right="3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28,000</w:t>
            </w:r>
          </w:p>
        </w:tc>
        <w:tc>
          <w:tcPr>
            <w:tcW w:w="780"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51,500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16,252.94</w:t>
            </w:r>
          </w:p>
        </w:tc>
        <w:tc>
          <w:tcPr>
            <w:tcW w:w="780"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41,934.56</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3D3D3"/>
              <w:bottom w:val="single" w:sz="4" w:space="0" w:color="000000"/>
              <w:right w:val="single" w:sz="10" w:space="0" w:color="D3D3D3"/>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91,654.08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91,654.08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16,309.17</w:t>
            </w:r>
          </w:p>
        </w:tc>
        <w:tc>
          <w:tcPr>
            <w:tcW w:w="780"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71,989.2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4,089.08</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40" w:hRule="exact"/>
        </w:trPr>
        <w:tc>
          <w:tcPr>
            <w:tcW w:w="1770" w:type="dxa"/>
            <w:tcBorders>
              <w:top w:val="single" w:sz="4" w:space="0" w:color="000000"/>
              <w:left w:val="single" w:sz="4" w:space="0" w:color="000000"/>
              <w:bottom w:val="nil" w:sz="6" w:space="0" w:color="auto"/>
              <w:right w:val="single" w:sz="4" w:space="0" w:color="000000"/>
            </w:tcBorders>
            <w:shd w:val="clear" w:color="auto" w:fill="D3D3D3"/>
          </w:tcPr>
          <w:p>
            <w:pPr/>
          </w:p>
        </w:tc>
        <w:tc>
          <w:tcPr>
            <w:tcW w:w="7798" w:type="dxa"/>
            <w:gridSpan w:val="10"/>
            <w:vMerge w:val="restart"/>
            <w:tcBorders>
              <w:top w:val="single" w:sz="4" w:space="0" w:color="000000"/>
              <w:left w:val="single" w:sz="13" w:space="0" w:color="D3D3D3"/>
              <w:right w:val="single" w:sz="4" w:space="0" w:color="000000"/>
            </w:tcBorders>
          </w:tcPr>
          <w:p>
            <w:pPr>
              <w:pStyle w:val="TableParagraph"/>
              <w:spacing w:line="312" w:lineRule="auto" w:before="51"/>
              <w:ind w:left="11" w:right="23"/>
              <w:jc w:val="both"/>
              <w:rPr>
                <w:rFonts w:ascii="宋体" w:hAnsi="宋体" w:cs="宋体" w:eastAsia="宋体" w:hint="default"/>
                <w:sz w:val="18"/>
                <w:szCs w:val="18"/>
              </w:rPr>
            </w:pPr>
            <w:r>
              <w:rPr>
                <w:rFonts w:ascii="宋体" w:hAnsi="宋体" w:cs="宋体" w:eastAsia="宋体" w:hint="default"/>
                <w:sz w:val="18"/>
                <w:szCs w:val="18"/>
              </w:rPr>
              <w:t>为了应对市场需求发生变化和技术发展需要，为了满足客户需求，公司继续加大研发投入促进产品 升级换代，适当延长研发期间；同时募集资金投资项目尚未整体达产，其规模效应还未充分发挥， 虽然销售出现了一定程度增长，却未完全达到预期。基于上述原因，</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年度募集资金投资项目形 成的现有效益未能完全达到招股说明书承诺的项目整体完成后的预期收益。</w:t>
            </w:r>
          </w:p>
        </w:tc>
      </w:tr>
      <w:tr>
        <w:trPr>
          <w:trHeight w:val="1158" w:hRule="exact"/>
        </w:trPr>
        <w:tc>
          <w:tcPr>
            <w:tcW w:w="17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vMerge/>
            <w:tcBorders>
              <w:left w:val="single" w:sz="13" w:space="0" w:color="D3D3D3"/>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36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pacing w:val="-3"/>
                <w:sz w:val="18"/>
                <w:szCs w:val="18"/>
              </w:rPr>
              <w:t>年，福建榕基软件股份有限公司使用超募资金 </w:t>
            </w: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万元人民币永久补充流动资金，收回上年</w:t>
            </w:r>
          </w:p>
          <w:p>
            <w:pPr>
              <w:pStyle w:val="TableParagraph"/>
              <w:spacing w:line="300" w:lineRule="auto" w:before="61"/>
              <w:ind w:left="22" w:right="23"/>
              <w:jc w:val="both"/>
              <w:rPr>
                <w:rFonts w:ascii="宋体" w:hAnsi="宋体" w:cs="宋体" w:eastAsia="宋体" w:hint="default"/>
                <w:sz w:val="18"/>
                <w:szCs w:val="18"/>
              </w:rPr>
            </w:pPr>
            <w:r>
              <w:rPr>
                <w:rFonts w:ascii="宋体" w:hAnsi="宋体" w:cs="宋体" w:eastAsia="宋体" w:hint="default"/>
                <w:sz w:val="18"/>
                <w:szCs w:val="18"/>
              </w:rPr>
              <w:t>从募集资金账户误扣的贷款利息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万元；北京中榕基信息技术有限公司使用超募资金支付榕基 </w:t>
            </w:r>
            <w:r>
              <w:rPr>
                <w:rFonts w:ascii="Times New Roman" w:hAnsi="Times New Roman" w:cs="Times New Roman" w:eastAsia="Times New Roman" w:hint="default"/>
                <w:sz w:val="18"/>
                <w:szCs w:val="18"/>
              </w:rPr>
              <w:t>“</w:t>
            </w:r>
            <w:r>
              <w:rPr>
                <w:rFonts w:ascii="宋体" w:hAnsi="宋体" w:cs="宋体" w:eastAsia="宋体" w:hint="default"/>
                <w:sz w:val="18"/>
                <w:szCs w:val="18"/>
              </w:rPr>
              <w:t>易贸</w:t>
            </w:r>
            <w:r>
              <w:rPr>
                <w:rFonts w:ascii="Times New Roman" w:hAnsi="Times New Roman" w:cs="Times New Roman" w:eastAsia="Times New Roman" w:hint="default"/>
                <w:sz w:val="18"/>
                <w:szCs w:val="18"/>
              </w:rPr>
              <w:t>”</w:t>
            </w:r>
            <w:r>
              <w:rPr>
                <w:rFonts w:ascii="宋体" w:hAnsi="宋体" w:cs="宋体" w:eastAsia="宋体" w:hint="default"/>
                <w:sz w:val="18"/>
                <w:szCs w:val="18"/>
              </w:rPr>
              <w:t>商务平台项目支出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1,116.45</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万元；榕基五一（北京）信息技术有限公司使用超募资金支付</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VR</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体验馆项目支出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3D3D3"/>
          </w:tcPr>
          <w:p>
            <w:pPr>
              <w:pStyle w:val="TableParagraph"/>
              <w:spacing w:line="319" w:lineRule="auto" w:before="95"/>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3D3D3"/>
          </w:tcPr>
          <w:p>
            <w:pPr>
              <w:pStyle w:val="TableParagraph"/>
              <w:spacing w:line="319" w:lineRule="auto" w:before="95"/>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3D3D3"/>
          </w:tcPr>
          <w:p>
            <w:pPr>
              <w:pStyle w:val="TableParagraph"/>
              <w:spacing w:line="319" w:lineRule="auto" w:before="95"/>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年，福建榕基软件股份有限公司使用闲置募集资金购买银行理财产品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万元，榕基五</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一（北京）信息技术有限公司使用闲置募集资金购买银行理财产品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万元，北京中榕基信息技术</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有限公司使用闲置募集资金购买银行理财产品</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82"/>
                <w:sz w:val="18"/>
                <w:szCs w:val="18"/>
              </w:rPr>
              <w:t>，</w:t>
            </w:r>
            <w:r>
              <w:rPr>
                <w:rFonts w:ascii="宋体" w:hAnsi="宋体" w:cs="宋体" w:eastAsia="宋体" w:hint="default"/>
                <w:sz w:val="18"/>
                <w:szCs w:val="18"/>
              </w:rPr>
              <w:t>河南榕基信息技术有限公司使用闲置</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募集资金购买银行理财产品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万元，福州榕易付网络科技有限公司使用闲置募集资金购买银</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行理财产品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13,900.00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1"/>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6"/>
        <w:gridCol w:w="958"/>
        <w:gridCol w:w="884"/>
      </w:tblGrid>
      <w:tr>
        <w:trPr>
          <w:trHeight w:val="1650"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03"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28"/>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13" w:right="20"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6" w:right="77"/>
              <w:jc w:val="center"/>
              <w:rPr>
                <w:rFonts w:ascii="宋体" w:hAnsi="宋体" w:cs="宋体" w:eastAsia="宋体" w:hint="default"/>
                <w:sz w:val="18"/>
                <w:szCs w:val="18"/>
              </w:rPr>
            </w:pPr>
            <w:r>
              <w:rPr>
                <w:rFonts w:ascii="宋体" w:hAnsi="宋体" w:cs="宋体" w:eastAsia="宋体" w:hint="default"/>
                <w:sz w:val="18"/>
                <w:szCs w:val="18"/>
              </w:rPr>
              <w:t>变更后的 项目可行 性是否发 生重大变 化</w:t>
            </w:r>
          </w:p>
        </w:tc>
      </w:tr>
    </w:tbl>
    <w:p>
      <w:pPr>
        <w:spacing w:after="0" w:line="316"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958"/>
        <w:gridCol w:w="307"/>
        <w:gridCol w:w="651"/>
        <w:gridCol w:w="956"/>
        <w:gridCol w:w="959"/>
        <w:gridCol w:w="956"/>
        <w:gridCol w:w="956"/>
        <w:gridCol w:w="956"/>
        <w:gridCol w:w="956"/>
        <w:gridCol w:w="958"/>
        <w:gridCol w:w="884"/>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投资设立子 公司</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投资设立子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18,500</w:t>
            </w: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12,647.97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68.37%</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永久性补充 流动资金</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永久性补充 流动资金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榕基</w:t>
            </w:r>
            <w:r>
              <w:rPr>
                <w:rFonts w:ascii="Times New Roman" w:hAnsi="Times New Roman" w:cs="Times New Roman" w:eastAsia="Times New Roman" w:hint="default"/>
                <w:sz w:val="18"/>
                <w:szCs w:val="18"/>
              </w:rPr>
              <w:t>“</w:t>
            </w:r>
            <w:r>
              <w:rPr>
                <w:rFonts w:ascii="宋体" w:hAnsi="宋体" w:cs="宋体" w:eastAsia="宋体" w:hint="default"/>
                <w:sz w:val="18"/>
                <w:szCs w:val="18"/>
              </w:rPr>
              <w:t>易贸</w:t>
            </w:r>
            <w:r>
              <w:rPr>
                <w:rFonts w:ascii="Times New Roman" w:hAnsi="Times New Roman" w:cs="Times New Roman" w:eastAsia="Times New Roman" w:hint="default"/>
                <w:sz w:val="18"/>
                <w:szCs w:val="18"/>
              </w:rPr>
              <w:t>” </w:t>
            </w:r>
            <w:r>
              <w:rPr>
                <w:rFonts w:ascii="宋体" w:hAnsi="宋体" w:cs="宋体" w:eastAsia="宋体" w:hint="default"/>
                <w:sz w:val="18"/>
                <w:szCs w:val="18"/>
              </w:rPr>
              <w:t>商务平台</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榕基</w:t>
            </w:r>
            <w:r>
              <w:rPr>
                <w:rFonts w:ascii="Times New Roman" w:hAnsi="Times New Roman" w:cs="Times New Roman" w:eastAsia="Times New Roman" w:hint="default"/>
                <w:sz w:val="18"/>
                <w:szCs w:val="18"/>
              </w:rPr>
              <w:t>“</w:t>
            </w:r>
            <w:r>
              <w:rPr>
                <w:rFonts w:ascii="宋体" w:hAnsi="宋体" w:cs="宋体" w:eastAsia="宋体" w:hint="default"/>
                <w:sz w:val="18"/>
                <w:szCs w:val="18"/>
              </w:rPr>
              <w:t>易贸</w:t>
            </w:r>
            <w:r>
              <w:rPr>
                <w:rFonts w:ascii="Times New Roman" w:hAnsi="Times New Roman" w:cs="Times New Roman" w:eastAsia="Times New Roman" w:hint="default"/>
                <w:sz w:val="18"/>
                <w:szCs w:val="18"/>
              </w:rPr>
              <w:t>” </w:t>
            </w:r>
            <w:r>
              <w:rPr>
                <w:rFonts w:ascii="宋体" w:hAnsi="宋体" w:cs="宋体" w:eastAsia="宋体" w:hint="default"/>
                <w:sz w:val="18"/>
                <w:szCs w:val="18"/>
              </w:rPr>
              <w:t>商务平台</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1,116.45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1,116.45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31.90%</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VR</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体验馆 项目</w:t>
            </w:r>
          </w:p>
        </w:tc>
        <w:tc>
          <w:tcPr>
            <w:tcW w:w="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VR</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体验馆 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170.14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170.14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11.34%</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51,500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16,286.59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41,934.56</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363" w:hRule="exact"/>
        </w:trPr>
        <w:tc>
          <w:tcPr>
            <w:tcW w:w="1264" w:type="dxa"/>
            <w:gridSpan w:val="2"/>
            <w:vMerge w:val="restart"/>
            <w:tcBorders>
              <w:top w:val="single" w:sz="4" w:space="0" w:color="000000"/>
              <w:left w:val="single" w:sz="4" w:space="0" w:color="000000"/>
              <w:right w:val="single" w:sz="4" w:space="0" w:color="000000"/>
            </w:tcBorders>
            <w:shd w:val="clear" w:color="auto" w:fill="D3D3D3"/>
          </w:tcPr>
          <w:p>
            <w:pPr/>
          </w:p>
        </w:tc>
        <w:tc>
          <w:tcPr>
            <w:tcW w:w="8234" w:type="dxa"/>
            <w:gridSpan w:val="9"/>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、由于福州榕易付网络科技有限公司（以下简称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福州榕易付</w:t>
            </w:r>
            <w:r>
              <w:rPr>
                <w:rFonts w:ascii="Times New Roman" w:hAnsi="Times New Roman" w:cs="Times New Roman" w:eastAsia="Times New Roman" w:hint="default"/>
                <w:sz w:val="18"/>
                <w:szCs w:val="18"/>
              </w:rPr>
              <w:t>”</w:t>
            </w:r>
            <w:r>
              <w:rPr>
                <w:rFonts w:ascii="宋体" w:hAnsi="宋体" w:cs="宋体" w:eastAsia="宋体" w:hint="default"/>
                <w:sz w:val="18"/>
                <w:szCs w:val="18"/>
              </w:rPr>
              <w:t>）现有注册资金超过实际业务经营需要，</w:t>
            </w:r>
          </w:p>
        </w:tc>
      </w:tr>
      <w:tr>
        <w:trPr>
          <w:trHeight w:val="327" w:hRule="exact"/>
        </w:trPr>
        <w:tc>
          <w:tcPr>
            <w:tcW w:w="1264" w:type="dxa"/>
            <w:gridSpan w:val="2"/>
            <w:vMerge/>
            <w:tcBorders>
              <w:left w:val="single" w:sz="4" w:space="0" w:color="000000"/>
              <w:right w:val="single" w:sz="4" w:space="0" w:color="000000"/>
            </w:tcBorders>
            <w:shd w:val="clear" w:color="auto" w:fill="D3D3D3"/>
          </w:tcPr>
          <w:p>
            <w:pPr/>
          </w:p>
        </w:tc>
        <w:tc>
          <w:tcPr>
            <w:tcW w:w="8234" w:type="dxa"/>
            <w:gridSpan w:val="9"/>
            <w:tcBorders>
              <w:top w:val="nil" w:sz="6" w:space="0" w:color="auto"/>
              <w:left w:val="single" w:sz="4" w:space="0" w:color="000000"/>
              <w:bottom w:val="nil" w:sz="6" w:space="0" w:color="auto"/>
              <w:right w:val="single" w:sz="4" w:space="0" w:color="000000"/>
            </w:tcBorders>
          </w:tcPr>
          <w:p>
            <w:pPr>
              <w:pStyle w:val="TableParagraph"/>
              <w:spacing w:line="240" w:lineRule="auto" w:before="6"/>
              <w:ind w:left="35" w:right="0"/>
              <w:jc w:val="left"/>
              <w:rPr>
                <w:rFonts w:ascii="宋体" w:hAnsi="宋体" w:cs="宋体" w:eastAsia="宋体" w:hint="default"/>
                <w:sz w:val="18"/>
                <w:szCs w:val="18"/>
              </w:rPr>
            </w:pPr>
            <w:r>
              <w:rPr>
                <w:rFonts w:ascii="宋体" w:hAnsi="宋体" w:cs="宋体" w:eastAsia="宋体" w:hint="default"/>
                <w:sz w:val="18"/>
                <w:szCs w:val="18"/>
              </w:rPr>
              <w:t>公司为回笼资金，提高募集资金的使用效益，决定对福州榕易付进行减资。</w:t>
            </w:r>
          </w:p>
        </w:tc>
      </w:tr>
      <w:tr>
        <w:trPr>
          <w:trHeight w:val="336" w:hRule="exact"/>
        </w:trPr>
        <w:tc>
          <w:tcPr>
            <w:tcW w:w="1264" w:type="dxa"/>
            <w:gridSpan w:val="2"/>
            <w:vMerge/>
            <w:tcBorders>
              <w:left w:val="single" w:sz="4" w:space="0" w:color="000000"/>
              <w:right w:val="single" w:sz="4" w:space="0" w:color="000000"/>
            </w:tcBorders>
            <w:shd w:val="clear" w:color="auto" w:fill="D3D3D3"/>
          </w:tcPr>
          <w:p>
            <w:pPr/>
          </w:p>
        </w:tc>
        <w:tc>
          <w:tcPr>
            <w:tcW w:w="8234" w:type="dxa"/>
            <w:gridSpan w:val="9"/>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日召开第四届董事会第二次会议审议通过《关于变更部分超募资金使用计划的议</w:t>
            </w:r>
          </w:p>
        </w:tc>
      </w:tr>
      <w:tr>
        <w:trPr>
          <w:trHeight w:val="307" w:hRule="exact"/>
        </w:trPr>
        <w:tc>
          <w:tcPr>
            <w:tcW w:w="1264" w:type="dxa"/>
            <w:gridSpan w:val="2"/>
            <w:vMerge/>
            <w:tcBorders>
              <w:left w:val="single" w:sz="4" w:space="0" w:color="000000"/>
              <w:right w:val="single" w:sz="4" w:space="0" w:color="000000"/>
            </w:tcBorders>
            <w:shd w:val="clear" w:color="auto" w:fill="D3D3D3"/>
          </w:tcPr>
          <w:p>
            <w:pPr/>
          </w:p>
        </w:tc>
        <w:tc>
          <w:tcPr>
            <w:tcW w:w="8234" w:type="dxa"/>
            <w:gridSpan w:val="9"/>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pacing w:val="-9"/>
                <w:sz w:val="18"/>
                <w:szCs w:val="18"/>
              </w:rPr>
              <w:t>，</w:t>
            </w:r>
            <w:r>
              <w:rPr>
                <w:rFonts w:ascii="宋体" w:hAnsi="宋体" w:cs="宋体" w:eastAsia="宋体" w:hint="default"/>
                <w:sz w:val="18"/>
                <w:szCs w:val="18"/>
              </w:rPr>
              <w:t>根据募集资金使用规范等相关法律法规文件</w:t>
            </w:r>
            <w:r>
              <w:rPr>
                <w:rFonts w:ascii="宋体" w:hAnsi="宋体" w:cs="宋体" w:eastAsia="宋体" w:hint="default"/>
                <w:spacing w:val="-9"/>
                <w:sz w:val="18"/>
                <w:szCs w:val="18"/>
              </w:rPr>
              <w:t>，</w:t>
            </w:r>
            <w:r>
              <w:rPr>
                <w:rFonts w:ascii="宋体" w:hAnsi="宋体" w:cs="宋体" w:eastAsia="宋体" w:hint="default"/>
                <w:sz w:val="18"/>
                <w:szCs w:val="18"/>
              </w:rPr>
              <w:t>以及公司超募资金投资计划</w:t>
            </w:r>
            <w:r>
              <w:rPr>
                <w:rFonts w:ascii="宋体" w:hAnsi="宋体" w:cs="宋体" w:eastAsia="宋体" w:hint="default"/>
                <w:spacing w:val="-9"/>
                <w:sz w:val="18"/>
                <w:szCs w:val="18"/>
              </w:rPr>
              <w:t>，</w:t>
            </w:r>
            <w:r>
              <w:rPr>
                <w:rFonts w:ascii="宋体" w:hAnsi="宋体" w:cs="宋体" w:eastAsia="宋体" w:hint="default"/>
                <w:sz w:val="18"/>
                <w:szCs w:val="18"/>
              </w:rPr>
              <w:t>同意公司对福州榕易付</w:t>
            </w:r>
          </w:p>
        </w:tc>
      </w:tr>
      <w:tr>
        <w:trPr>
          <w:trHeight w:val="318" w:hRule="exact"/>
        </w:trPr>
        <w:tc>
          <w:tcPr>
            <w:tcW w:w="1264" w:type="dxa"/>
            <w:gridSpan w:val="2"/>
            <w:vMerge/>
            <w:tcBorders>
              <w:left w:val="single" w:sz="4" w:space="0" w:color="000000"/>
              <w:right w:val="single" w:sz="4" w:space="0" w:color="000000"/>
            </w:tcBorders>
            <w:shd w:val="clear" w:color="auto" w:fill="D3D3D3"/>
          </w:tcPr>
          <w:p>
            <w:pPr/>
          </w:p>
        </w:tc>
        <w:tc>
          <w:tcPr>
            <w:tcW w:w="8234" w:type="dxa"/>
            <w:gridSpan w:val="9"/>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减资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万元。本次减资完成后，其注册资本减至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万元，公司已收回超募资金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万元，收回</w:t>
            </w:r>
          </w:p>
        </w:tc>
      </w:tr>
      <w:tr>
        <w:trPr>
          <w:trHeight w:val="327" w:hRule="exact"/>
        </w:trPr>
        <w:tc>
          <w:tcPr>
            <w:tcW w:w="1264" w:type="dxa"/>
            <w:gridSpan w:val="2"/>
            <w:vMerge/>
            <w:tcBorders>
              <w:left w:val="single" w:sz="4" w:space="0" w:color="000000"/>
              <w:right w:val="single" w:sz="4" w:space="0" w:color="000000"/>
            </w:tcBorders>
            <w:shd w:val="clear" w:color="auto" w:fill="D3D3D3"/>
          </w:tcPr>
          <w:p>
            <w:pPr/>
          </w:p>
        </w:tc>
        <w:tc>
          <w:tcPr>
            <w:tcW w:w="8234" w:type="dxa"/>
            <w:gridSpan w:val="9"/>
            <w:tcBorders>
              <w:top w:val="nil" w:sz="6" w:space="0" w:color="auto"/>
              <w:left w:val="single" w:sz="4" w:space="0" w:color="000000"/>
              <w:bottom w:val="nil" w:sz="6" w:space="0" w:color="auto"/>
              <w:right w:val="single" w:sz="4" w:space="0" w:color="000000"/>
            </w:tcBorders>
          </w:tcPr>
          <w:p>
            <w:pPr>
              <w:pStyle w:val="TableParagraph"/>
              <w:spacing w:line="240" w:lineRule="auto" w:before="6"/>
              <w:ind w:left="35" w:right="0"/>
              <w:jc w:val="left"/>
              <w:rPr>
                <w:rFonts w:ascii="宋体" w:hAnsi="宋体" w:cs="宋体" w:eastAsia="宋体" w:hint="default"/>
                <w:sz w:val="18"/>
                <w:szCs w:val="18"/>
              </w:rPr>
            </w:pPr>
            <w:r>
              <w:rPr>
                <w:rFonts w:ascii="宋体" w:hAnsi="宋体" w:cs="宋体" w:eastAsia="宋体" w:hint="default"/>
                <w:sz w:val="18"/>
                <w:szCs w:val="18"/>
              </w:rPr>
              <w:t>的超募资金已转回公司募集资金专户管理。</w:t>
            </w:r>
          </w:p>
        </w:tc>
      </w:tr>
      <w:tr>
        <w:trPr>
          <w:trHeight w:val="312" w:hRule="exact"/>
        </w:trPr>
        <w:tc>
          <w:tcPr>
            <w:tcW w:w="1264" w:type="dxa"/>
            <w:gridSpan w:val="2"/>
            <w:vMerge/>
            <w:tcBorders>
              <w:left w:val="single" w:sz="4" w:space="0" w:color="000000"/>
              <w:bottom w:val="nil" w:sz="6" w:space="0" w:color="auto"/>
              <w:right w:val="single" w:sz="4" w:space="0" w:color="000000"/>
            </w:tcBorders>
            <w:shd w:val="clear" w:color="auto" w:fill="D3D3D3"/>
          </w:tcPr>
          <w:p>
            <w:pPr/>
          </w:p>
        </w:tc>
        <w:tc>
          <w:tcPr>
            <w:tcW w:w="8234" w:type="dxa"/>
            <w:gridSpan w:val="9"/>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、公司第四届董事会第二次会议以及公司第四届监事会第二次会议于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日审议通过了《关</w:t>
            </w:r>
          </w:p>
        </w:tc>
      </w:tr>
      <w:tr>
        <w:trPr>
          <w:trHeight w:val="343" w:hRule="exact"/>
        </w:trPr>
        <w:tc>
          <w:tcPr>
            <w:tcW w:w="1264"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变更原因、决策</w:t>
            </w:r>
          </w:p>
        </w:tc>
        <w:tc>
          <w:tcPr>
            <w:tcW w:w="8234" w:type="dxa"/>
            <w:gridSpan w:val="9"/>
            <w:tcBorders>
              <w:top w:val="nil" w:sz="6" w:space="0" w:color="auto"/>
              <w:left w:val="single" w:sz="13" w:space="0" w:color="D3D3D3"/>
              <w:bottom w:val="nil" w:sz="6" w:space="0" w:color="auto"/>
              <w:right w:val="single" w:sz="4" w:space="0" w:color="000000"/>
            </w:tcBorders>
          </w:tcPr>
          <w:p>
            <w:pPr>
              <w:pStyle w:val="TableParagraph"/>
              <w:spacing w:line="240" w:lineRule="auto" w:before="30"/>
              <w:ind w:left="24" w:right="0"/>
              <w:jc w:val="left"/>
              <w:rPr>
                <w:rFonts w:ascii="宋体" w:hAnsi="宋体" w:cs="宋体" w:eastAsia="宋体" w:hint="default"/>
                <w:sz w:val="18"/>
                <w:szCs w:val="18"/>
              </w:rPr>
            </w:pPr>
            <w:r>
              <w:rPr>
                <w:rFonts w:ascii="宋体" w:hAnsi="宋体" w:cs="宋体" w:eastAsia="宋体" w:hint="default"/>
                <w:sz w:val="18"/>
                <w:szCs w:val="18"/>
              </w:rPr>
              <w:t>于使用部分超募资金永久补充流动资金的议案</w:t>
            </w:r>
            <w:r>
              <w:rPr>
                <w:rFonts w:ascii="宋体" w:hAnsi="宋体" w:cs="宋体" w:eastAsia="宋体" w:hint="default"/>
                <w:spacing w:val="-90"/>
                <w:sz w:val="18"/>
                <w:szCs w:val="18"/>
              </w:rPr>
              <w:t>》</w:t>
            </w:r>
            <w:r>
              <w:rPr>
                <w:rFonts w:ascii="宋体" w:hAnsi="宋体" w:cs="宋体" w:eastAsia="宋体" w:hint="default"/>
                <w:spacing w:val="-69"/>
                <w:sz w:val="18"/>
                <w:szCs w:val="18"/>
              </w:rPr>
              <w:t>，</w:t>
            </w:r>
            <w:r>
              <w:rPr>
                <w:rFonts w:ascii="宋体" w:hAnsi="宋体" w:cs="宋体" w:eastAsia="宋体" w:hint="default"/>
                <w:sz w:val="18"/>
                <w:szCs w:val="18"/>
              </w:rPr>
              <w:t>同意</w:t>
            </w:r>
            <w:r>
              <w:rPr>
                <w:rFonts w:ascii="宋体" w:hAnsi="宋体" w:cs="宋体" w:eastAsia="宋体" w:hint="default"/>
                <w:spacing w:val="-2"/>
                <w:sz w:val="18"/>
                <w:szCs w:val="18"/>
              </w:rPr>
              <w:t>公</w:t>
            </w:r>
            <w:r>
              <w:rPr>
                <w:rFonts w:ascii="宋体" w:hAnsi="宋体" w:cs="宋体" w:eastAsia="宋体" w:hint="default"/>
                <w:sz w:val="18"/>
                <w:szCs w:val="18"/>
              </w:rPr>
              <w:t>司将使用部分超募资金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万元人民币永久补</w:t>
            </w:r>
          </w:p>
        </w:tc>
      </w:tr>
      <w:tr>
        <w:trPr>
          <w:trHeight w:val="321" w:hRule="exact"/>
        </w:trPr>
        <w:tc>
          <w:tcPr>
            <w:tcW w:w="1264"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程序及信息披</w:t>
            </w:r>
          </w:p>
        </w:tc>
        <w:tc>
          <w:tcPr>
            <w:tcW w:w="8234" w:type="dxa"/>
            <w:gridSpan w:val="9"/>
            <w:tcBorders>
              <w:top w:val="nil" w:sz="6" w:space="0" w:color="auto"/>
              <w:left w:val="single" w:sz="13" w:space="0" w:color="D3D3D3"/>
              <w:bottom w:val="nil" w:sz="6" w:space="0" w:color="auto"/>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充流动资金。</w:t>
            </w:r>
          </w:p>
        </w:tc>
      </w:tr>
      <w:tr>
        <w:trPr>
          <w:trHeight w:val="328" w:hRule="exact"/>
        </w:trPr>
        <w:tc>
          <w:tcPr>
            <w:tcW w:w="1264"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露情况说明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w:t>
            </w:r>
          </w:p>
        </w:tc>
        <w:tc>
          <w:tcPr>
            <w:tcW w:w="8234" w:type="dxa"/>
            <w:gridSpan w:val="9"/>
            <w:tcBorders>
              <w:top w:val="nil" w:sz="6" w:space="0" w:color="auto"/>
              <w:left w:val="single" w:sz="13" w:space="0" w:color="D3D3D3"/>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、公司第四届董事会第二次会议以及公司第四届监事会第二次会议于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日审议通过了《关</w:t>
            </w:r>
          </w:p>
        </w:tc>
      </w:tr>
      <w:tr>
        <w:trPr>
          <w:trHeight w:val="336" w:hRule="exact"/>
        </w:trPr>
        <w:tc>
          <w:tcPr>
            <w:tcW w:w="1264"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5"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具体项目</w:t>
            </w:r>
            <w:r>
              <w:rPr>
                <w:rFonts w:ascii="Times New Roman" w:hAnsi="Times New Roman" w:cs="Times New Roman" w:eastAsia="Times New Roman" w:hint="default"/>
                <w:sz w:val="18"/>
                <w:szCs w:val="18"/>
              </w:rPr>
              <w:t>)</w:t>
            </w:r>
          </w:p>
        </w:tc>
        <w:tc>
          <w:tcPr>
            <w:tcW w:w="8234" w:type="dxa"/>
            <w:gridSpan w:val="9"/>
            <w:tcBorders>
              <w:top w:val="nil" w:sz="6" w:space="0" w:color="auto"/>
              <w:left w:val="single" w:sz="13" w:space="0" w:color="D3D3D3"/>
              <w:bottom w:val="nil" w:sz="6" w:space="0" w:color="auto"/>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于子公司使用部分超募资金投资建设榕基</w:t>
            </w:r>
            <w:r>
              <w:rPr>
                <w:rFonts w:ascii="Times New Roman" w:hAnsi="Times New Roman" w:cs="Times New Roman" w:eastAsia="Times New Roman" w:hint="default"/>
                <w:sz w:val="18"/>
                <w:szCs w:val="18"/>
              </w:rPr>
              <w:t>“</w:t>
            </w:r>
            <w:r>
              <w:rPr>
                <w:rFonts w:ascii="宋体" w:hAnsi="宋体" w:cs="宋体" w:eastAsia="宋体" w:hint="default"/>
                <w:sz w:val="18"/>
                <w:szCs w:val="18"/>
              </w:rPr>
              <w:t>易贸</w:t>
            </w:r>
            <w:r>
              <w:rPr>
                <w:rFonts w:ascii="Times New Roman" w:hAnsi="Times New Roman" w:cs="Times New Roman" w:eastAsia="Times New Roman" w:hint="default"/>
                <w:sz w:val="18"/>
                <w:szCs w:val="18"/>
              </w:rPr>
              <w:t>”</w:t>
            </w:r>
            <w:r>
              <w:rPr>
                <w:rFonts w:ascii="宋体" w:hAnsi="宋体" w:cs="宋体" w:eastAsia="宋体" w:hint="default"/>
                <w:sz w:val="18"/>
                <w:szCs w:val="18"/>
              </w:rPr>
              <w:t>商务平台的议案</w:t>
            </w:r>
            <w:r>
              <w:rPr>
                <w:rFonts w:ascii="宋体" w:hAnsi="宋体" w:cs="宋体" w:eastAsia="宋体" w:hint="default"/>
                <w:spacing w:val="-90"/>
                <w:sz w:val="18"/>
                <w:szCs w:val="18"/>
              </w:rPr>
              <w:t>》</w:t>
            </w:r>
            <w:r>
              <w:rPr>
                <w:rFonts w:ascii="宋体" w:hAnsi="宋体" w:cs="宋体" w:eastAsia="宋体" w:hint="default"/>
                <w:spacing w:val="-4"/>
                <w:sz w:val="18"/>
                <w:szCs w:val="18"/>
              </w:rPr>
              <w:t>，</w:t>
            </w:r>
            <w:r>
              <w:rPr>
                <w:rFonts w:ascii="宋体" w:hAnsi="宋体" w:cs="宋体" w:eastAsia="宋体" w:hint="default"/>
                <w:sz w:val="18"/>
                <w:szCs w:val="18"/>
              </w:rPr>
              <w:t>同意子公司北京中榕基信息技术有限</w:t>
            </w:r>
          </w:p>
        </w:tc>
      </w:tr>
      <w:tr>
        <w:trPr>
          <w:trHeight w:val="318" w:hRule="exact"/>
        </w:trPr>
        <w:tc>
          <w:tcPr>
            <w:tcW w:w="1264" w:type="dxa"/>
            <w:gridSpan w:val="2"/>
            <w:vMerge w:val="restart"/>
            <w:tcBorders>
              <w:top w:val="nil" w:sz="6" w:space="0" w:color="auto"/>
              <w:left w:val="single" w:sz="4" w:space="0" w:color="000000"/>
              <w:right w:val="single" w:sz="4" w:space="0" w:color="000000"/>
            </w:tcBorders>
            <w:shd w:val="clear" w:color="auto" w:fill="D3D3D3"/>
          </w:tcPr>
          <w:p>
            <w:pPr/>
          </w:p>
        </w:tc>
        <w:tc>
          <w:tcPr>
            <w:tcW w:w="8234" w:type="dxa"/>
            <w:gridSpan w:val="9"/>
            <w:tcBorders>
              <w:top w:val="nil" w:sz="6" w:space="0" w:color="auto"/>
              <w:left w:val="single" w:sz="4" w:space="0" w:color="000000"/>
              <w:bottom w:val="nil" w:sz="6" w:space="0" w:color="auto"/>
              <w:right w:val="single" w:sz="4" w:space="0" w:color="000000"/>
            </w:tcBorders>
          </w:tcPr>
          <w:p>
            <w:pPr>
              <w:pStyle w:val="TableParagraph"/>
              <w:spacing w:line="242" w:lineRule="exact"/>
              <w:ind w:left="35" w:right="0"/>
              <w:jc w:val="left"/>
              <w:rPr>
                <w:rFonts w:ascii="宋体" w:hAnsi="宋体" w:cs="宋体" w:eastAsia="宋体" w:hint="default"/>
                <w:sz w:val="18"/>
                <w:szCs w:val="18"/>
              </w:rPr>
            </w:pPr>
            <w:r>
              <w:rPr>
                <w:rFonts w:ascii="宋体" w:hAnsi="宋体" w:cs="宋体" w:eastAsia="宋体" w:hint="default"/>
                <w:sz w:val="18"/>
                <w:szCs w:val="18"/>
              </w:rPr>
              <w:t>公司使用超募资金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万元投资建设榕基</w:t>
            </w:r>
            <w:r>
              <w:rPr>
                <w:rFonts w:ascii="Times New Roman" w:hAnsi="Times New Roman" w:cs="Times New Roman" w:eastAsia="Times New Roman" w:hint="default"/>
                <w:sz w:val="18"/>
                <w:szCs w:val="18"/>
              </w:rPr>
              <w:t>“</w:t>
            </w:r>
            <w:r>
              <w:rPr>
                <w:rFonts w:ascii="宋体" w:hAnsi="宋体" w:cs="宋体" w:eastAsia="宋体" w:hint="default"/>
                <w:sz w:val="18"/>
                <w:szCs w:val="18"/>
              </w:rPr>
              <w:t>易贸</w:t>
            </w:r>
            <w:r>
              <w:rPr>
                <w:rFonts w:ascii="Times New Roman" w:hAnsi="Times New Roman" w:cs="Times New Roman" w:eastAsia="Times New Roman" w:hint="default"/>
                <w:sz w:val="18"/>
                <w:szCs w:val="18"/>
              </w:rPr>
              <w:t>”</w:t>
            </w:r>
            <w:r>
              <w:rPr>
                <w:rFonts w:ascii="宋体" w:hAnsi="宋体" w:cs="宋体" w:eastAsia="宋体" w:hint="default"/>
                <w:sz w:val="18"/>
                <w:szCs w:val="18"/>
              </w:rPr>
              <w:t>商务平台。</w:t>
            </w:r>
          </w:p>
        </w:tc>
      </w:tr>
      <w:tr>
        <w:trPr>
          <w:trHeight w:val="331" w:hRule="exact"/>
        </w:trPr>
        <w:tc>
          <w:tcPr>
            <w:tcW w:w="1264" w:type="dxa"/>
            <w:gridSpan w:val="2"/>
            <w:vMerge/>
            <w:tcBorders>
              <w:left w:val="single" w:sz="4" w:space="0" w:color="000000"/>
              <w:right w:val="single" w:sz="4" w:space="0" w:color="000000"/>
            </w:tcBorders>
            <w:shd w:val="clear" w:color="auto" w:fill="D3D3D3"/>
          </w:tcPr>
          <w:p>
            <w:pPr/>
          </w:p>
        </w:tc>
        <w:tc>
          <w:tcPr>
            <w:tcW w:w="8234" w:type="dxa"/>
            <w:gridSpan w:val="9"/>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、公司第四届董事会第二次会议以及公司第四届监事会第二次会议于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日审议通过了《关</w:t>
            </w:r>
          </w:p>
        </w:tc>
      </w:tr>
      <w:tr>
        <w:trPr>
          <w:trHeight w:val="313" w:hRule="exact"/>
        </w:trPr>
        <w:tc>
          <w:tcPr>
            <w:tcW w:w="1264" w:type="dxa"/>
            <w:gridSpan w:val="2"/>
            <w:vMerge/>
            <w:tcBorders>
              <w:left w:val="single" w:sz="4" w:space="0" w:color="000000"/>
              <w:right w:val="single" w:sz="4" w:space="0" w:color="000000"/>
            </w:tcBorders>
            <w:shd w:val="clear" w:color="auto" w:fill="D3D3D3"/>
          </w:tcPr>
          <w:p>
            <w:pPr/>
          </w:p>
        </w:tc>
        <w:tc>
          <w:tcPr>
            <w:tcW w:w="8234" w:type="dxa"/>
            <w:gridSpan w:val="9"/>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于子公司使用部分超募资金投资建设</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V</w:t>
            </w:r>
            <w:r>
              <w:rPr>
                <w:rFonts w:ascii="Times New Roman" w:hAnsi="Times New Roman" w:cs="Times New Roman" w:eastAsia="Times New Roman" w:hint="default"/>
                <w:sz w:val="18"/>
                <w:szCs w:val="18"/>
              </w:rPr>
              <w:t>R </w:t>
            </w:r>
            <w:r>
              <w:rPr>
                <w:rFonts w:ascii="宋体" w:hAnsi="宋体" w:cs="宋体" w:eastAsia="宋体" w:hint="default"/>
                <w:sz w:val="18"/>
                <w:szCs w:val="18"/>
              </w:rPr>
              <w:t>体验馆项目的议案</w:t>
            </w:r>
            <w:r>
              <w:rPr>
                <w:rFonts w:ascii="宋体" w:hAnsi="宋体" w:cs="宋体" w:eastAsia="宋体" w:hint="default"/>
                <w:spacing w:val="-90"/>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同意子公司榕基五</w:t>
            </w:r>
            <w:r>
              <w:rPr>
                <w:rFonts w:ascii="宋体" w:hAnsi="宋体" w:cs="宋体" w:eastAsia="宋体" w:hint="default"/>
                <w:spacing w:val="-2"/>
                <w:sz w:val="18"/>
                <w:szCs w:val="18"/>
              </w:rPr>
              <w:t>一</w:t>
            </w:r>
            <w:r>
              <w:rPr>
                <w:rFonts w:ascii="宋体" w:hAnsi="宋体" w:cs="宋体" w:eastAsia="宋体" w:hint="default"/>
                <w:sz w:val="18"/>
                <w:szCs w:val="18"/>
              </w:rPr>
              <w:t>（北京</w:t>
            </w:r>
            <w:r>
              <w:rPr>
                <w:rFonts w:ascii="宋体" w:hAnsi="宋体" w:cs="宋体" w:eastAsia="宋体" w:hint="default"/>
                <w:spacing w:val="-2"/>
                <w:sz w:val="18"/>
                <w:szCs w:val="18"/>
              </w:rPr>
              <w:t>）</w:t>
            </w:r>
            <w:r>
              <w:rPr>
                <w:rFonts w:ascii="宋体" w:hAnsi="宋体" w:cs="宋体" w:eastAsia="宋体" w:hint="default"/>
                <w:sz w:val="18"/>
                <w:szCs w:val="18"/>
              </w:rPr>
              <w:t>信息技术有</w:t>
            </w:r>
          </w:p>
        </w:tc>
      </w:tr>
      <w:tr>
        <w:trPr>
          <w:trHeight w:val="332" w:hRule="exact"/>
        </w:trPr>
        <w:tc>
          <w:tcPr>
            <w:tcW w:w="1264" w:type="dxa"/>
            <w:gridSpan w:val="2"/>
            <w:vMerge/>
            <w:tcBorders>
              <w:left w:val="single" w:sz="4" w:space="0" w:color="000000"/>
              <w:right w:val="single" w:sz="4" w:space="0" w:color="000000"/>
            </w:tcBorders>
            <w:shd w:val="clear" w:color="auto" w:fill="D3D3D3"/>
          </w:tcPr>
          <w:p>
            <w:pPr/>
          </w:p>
        </w:tc>
        <w:tc>
          <w:tcPr>
            <w:tcW w:w="8234" w:type="dxa"/>
            <w:gridSpan w:val="9"/>
            <w:tcBorders>
              <w:top w:val="nil" w:sz="6" w:space="0" w:color="auto"/>
              <w:left w:val="single" w:sz="4" w:space="0" w:color="000000"/>
              <w:bottom w:val="nil" w:sz="6" w:space="0" w:color="auto"/>
              <w:right w:val="single" w:sz="4" w:space="0" w:color="000000"/>
            </w:tcBorders>
          </w:tcPr>
          <w:p>
            <w:pPr>
              <w:pStyle w:val="TableParagraph"/>
              <w:spacing w:line="240" w:lineRule="auto" w:before="6"/>
              <w:ind w:left="35" w:right="0"/>
              <w:jc w:val="left"/>
              <w:rPr>
                <w:rFonts w:ascii="宋体" w:hAnsi="宋体" w:cs="宋体" w:eastAsia="宋体" w:hint="default"/>
                <w:sz w:val="18"/>
                <w:szCs w:val="18"/>
              </w:rPr>
            </w:pPr>
            <w:r>
              <w:rPr>
                <w:rFonts w:ascii="宋体" w:hAnsi="宋体" w:cs="宋体" w:eastAsia="宋体" w:hint="default"/>
                <w:sz w:val="18"/>
                <w:szCs w:val="18"/>
              </w:rPr>
              <w:t>限公司使用超募资金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万元投资建设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VR</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体验馆项目。</w:t>
            </w:r>
          </w:p>
        </w:tc>
      </w:tr>
      <w:tr>
        <w:trPr>
          <w:trHeight w:val="331" w:hRule="exact"/>
        </w:trPr>
        <w:tc>
          <w:tcPr>
            <w:tcW w:w="1264" w:type="dxa"/>
            <w:gridSpan w:val="2"/>
            <w:vMerge/>
            <w:tcBorders>
              <w:left w:val="single" w:sz="4" w:space="0" w:color="000000"/>
              <w:right w:val="single" w:sz="4" w:space="0" w:color="000000"/>
            </w:tcBorders>
            <w:shd w:val="clear" w:color="auto" w:fill="D3D3D3"/>
          </w:tcPr>
          <w:p>
            <w:pPr/>
          </w:p>
        </w:tc>
        <w:tc>
          <w:tcPr>
            <w:tcW w:w="8234" w:type="dxa"/>
            <w:gridSpan w:val="9"/>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sz w:val="18"/>
                <w:szCs w:val="18"/>
              </w:rPr>
              <w:t>详见巨潮网（</w:t>
            </w:r>
            <w:r>
              <w:rPr>
                <w:rFonts w:ascii="Times New Roman" w:hAnsi="Times New Roman" w:cs="Times New Roman" w:eastAsia="Times New Roman" w:hint="default"/>
                <w:sz w:val="18"/>
                <w:szCs w:val="18"/>
              </w:rPr>
              <w:t>www.cninfo.com.cn)</w:t>
            </w:r>
            <w:r>
              <w:rPr>
                <w:rFonts w:ascii="宋体" w:hAnsi="宋体" w:cs="宋体" w:eastAsia="宋体" w:hint="default"/>
                <w:sz w:val="18"/>
                <w:szCs w:val="18"/>
              </w:rPr>
              <w:t>公告“榕基软件：第四届董事会第二次会议决议公告”</w:t>
            </w:r>
          </w:p>
        </w:tc>
      </w:tr>
      <w:tr>
        <w:trPr>
          <w:trHeight w:val="313" w:hRule="exact"/>
        </w:trPr>
        <w:tc>
          <w:tcPr>
            <w:tcW w:w="1264" w:type="dxa"/>
            <w:gridSpan w:val="2"/>
            <w:vMerge/>
            <w:tcBorders>
              <w:left w:val="single" w:sz="4" w:space="0" w:color="000000"/>
              <w:right w:val="single" w:sz="4" w:space="0" w:color="000000"/>
            </w:tcBorders>
            <w:shd w:val="clear" w:color="auto" w:fill="D3D3D3"/>
          </w:tcPr>
          <w:p>
            <w:pPr/>
          </w:p>
        </w:tc>
        <w:tc>
          <w:tcPr>
            <w:tcW w:w="8234" w:type="dxa"/>
            <w:gridSpan w:val="9"/>
            <w:tcBorders>
              <w:top w:val="nil" w:sz="6" w:space="0" w:color="auto"/>
              <w:left w:val="single" w:sz="4" w:space="0" w:color="000000"/>
              <w:bottom w:val="nil" w:sz="6" w:space="0" w:color="auto"/>
              <w:right w:val="single" w:sz="4" w:space="0" w:color="000000"/>
            </w:tcBorders>
          </w:tcPr>
          <w:p>
            <w:pPr>
              <w:pStyle w:val="TableParagraph"/>
              <w:spacing w:line="240" w:lineRule="auto" w:before="5"/>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7">
              <w:r>
                <w:rPr>
                  <w:rFonts w:ascii="Times New Roman" w:hAnsi="Times New Roman" w:cs="Times New Roman" w:eastAsia="Times New Roman" w:hint="default"/>
                  <w:sz w:val="18"/>
                  <w:szCs w:val="18"/>
                </w:rPr>
                <w:t>http://www.cninfo.com.cn/cninfo-new/disclosure/fulltext/bulletin_detail/true/1203042454?announceTime=20</w:t>
              </w:r>
            </w:hyperlink>
          </w:p>
        </w:tc>
      </w:tr>
      <w:tr>
        <w:trPr>
          <w:trHeight w:val="352" w:hRule="exact"/>
        </w:trPr>
        <w:tc>
          <w:tcPr>
            <w:tcW w:w="1264" w:type="dxa"/>
            <w:gridSpan w:val="2"/>
            <w:vMerge/>
            <w:tcBorders>
              <w:left w:val="single" w:sz="4" w:space="0" w:color="000000"/>
              <w:bottom w:val="single" w:sz="4" w:space="0" w:color="000000"/>
              <w:right w:val="single" w:sz="4" w:space="0" w:color="000000"/>
            </w:tcBorders>
            <w:shd w:val="clear" w:color="auto" w:fill="D3D3D3"/>
          </w:tcPr>
          <w:p>
            <w:pPr/>
          </w:p>
        </w:tc>
        <w:tc>
          <w:tcPr>
            <w:tcW w:w="8234" w:type="dxa"/>
            <w:gridSpan w:val="9"/>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17-01-24</w:t>
            </w:r>
            <w:r>
              <w:rPr>
                <w:rFonts w:ascii="宋体" w:hAnsi="宋体" w:cs="宋体" w:eastAsia="宋体" w:hint="default"/>
                <w:sz w:val="18"/>
                <w:szCs w:val="18"/>
              </w:rPr>
              <w:t>）</w:t>
            </w:r>
          </w:p>
        </w:tc>
      </w:tr>
      <w:tr>
        <w:trPr>
          <w:trHeight w:val="357" w:hRule="exact"/>
        </w:trPr>
        <w:tc>
          <w:tcPr>
            <w:tcW w:w="1264" w:type="dxa"/>
            <w:gridSpan w:val="2"/>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未达到计划进</w:t>
            </w:r>
          </w:p>
        </w:tc>
        <w:tc>
          <w:tcPr>
            <w:tcW w:w="8234" w:type="dxa"/>
            <w:gridSpan w:val="9"/>
            <w:tcBorders>
              <w:top w:val="single" w:sz="4" w:space="0" w:color="000000"/>
              <w:left w:val="single" w:sz="13" w:space="0" w:color="D3D3D3"/>
              <w:bottom w:val="nil" w:sz="6" w:space="0" w:color="auto"/>
              <w:right w:val="single" w:sz="4" w:space="0" w:color="000000"/>
            </w:tcBorders>
          </w:tcPr>
          <w:p>
            <w:pPr/>
          </w:p>
        </w:tc>
      </w:tr>
      <w:tr>
        <w:trPr>
          <w:trHeight w:val="624" w:hRule="exact"/>
        </w:trPr>
        <w:tc>
          <w:tcPr>
            <w:tcW w:w="1264"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22" w:right="149"/>
              <w:jc w:val="left"/>
              <w:rPr>
                <w:rFonts w:ascii="宋体" w:hAnsi="宋体" w:cs="宋体" w:eastAsia="宋体" w:hint="default"/>
                <w:sz w:val="18"/>
                <w:szCs w:val="18"/>
              </w:rPr>
            </w:pPr>
            <w:r>
              <w:rPr>
                <w:rFonts w:ascii="宋体" w:hAnsi="宋体" w:cs="宋体" w:eastAsia="宋体" w:hint="default"/>
                <w:sz w:val="18"/>
                <w:szCs w:val="18"/>
              </w:rPr>
              <w:t>度或预计收益 的情况和原因</w:t>
            </w:r>
          </w:p>
        </w:tc>
        <w:tc>
          <w:tcPr>
            <w:tcW w:w="8234" w:type="dxa"/>
            <w:gridSpan w:val="9"/>
            <w:tcBorders>
              <w:top w:val="nil" w:sz="6" w:space="0" w:color="auto"/>
              <w:left w:val="single" w:sz="13" w:space="0" w:color="D3D3D3"/>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7" w:hRule="exact"/>
        </w:trPr>
        <w:tc>
          <w:tcPr>
            <w:tcW w:w="1264" w:type="dxa"/>
            <w:gridSpan w:val="2"/>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8234" w:type="dxa"/>
            <w:gridSpan w:val="9"/>
            <w:tcBorders>
              <w:top w:val="nil" w:sz="6" w:space="0" w:color="auto"/>
              <w:left w:val="single" w:sz="13" w:space="0" w:color="D3D3D3"/>
              <w:bottom w:val="single" w:sz="4" w:space="0" w:color="000000"/>
              <w:right w:val="single" w:sz="4" w:space="0" w:color="000000"/>
            </w:tcBorders>
          </w:tcPr>
          <w:p>
            <w:pPr/>
          </w:p>
        </w:tc>
      </w:tr>
      <w:tr>
        <w:trPr>
          <w:trHeight w:val="357" w:hRule="exact"/>
        </w:trPr>
        <w:tc>
          <w:tcPr>
            <w:tcW w:w="1264" w:type="dxa"/>
            <w:gridSpan w:val="2"/>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变更后的项目</w:t>
            </w:r>
          </w:p>
        </w:tc>
        <w:tc>
          <w:tcPr>
            <w:tcW w:w="8234" w:type="dxa"/>
            <w:gridSpan w:val="9"/>
            <w:tcBorders>
              <w:top w:val="single" w:sz="4" w:space="0" w:color="000000"/>
              <w:left w:val="single" w:sz="13" w:space="0" w:color="D3D3D3"/>
              <w:bottom w:val="nil" w:sz="6" w:space="0" w:color="auto"/>
              <w:right w:val="single" w:sz="4" w:space="0" w:color="000000"/>
            </w:tcBorders>
          </w:tcPr>
          <w:p>
            <w:pPr/>
          </w:p>
        </w:tc>
      </w:tr>
      <w:tr>
        <w:trPr>
          <w:trHeight w:val="624" w:hRule="exact"/>
        </w:trPr>
        <w:tc>
          <w:tcPr>
            <w:tcW w:w="1264"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22" w:right="149"/>
              <w:jc w:val="left"/>
              <w:rPr>
                <w:rFonts w:ascii="宋体" w:hAnsi="宋体" w:cs="宋体" w:eastAsia="宋体" w:hint="default"/>
                <w:sz w:val="18"/>
                <w:szCs w:val="18"/>
              </w:rPr>
            </w:pPr>
            <w:r>
              <w:rPr>
                <w:rFonts w:ascii="宋体" w:hAnsi="宋体" w:cs="宋体" w:eastAsia="宋体" w:hint="default"/>
                <w:sz w:val="18"/>
                <w:szCs w:val="18"/>
              </w:rPr>
              <w:t>可行性发生重 大变化的情况</w:t>
            </w:r>
          </w:p>
        </w:tc>
        <w:tc>
          <w:tcPr>
            <w:tcW w:w="8234" w:type="dxa"/>
            <w:gridSpan w:val="9"/>
            <w:tcBorders>
              <w:top w:val="nil" w:sz="6" w:space="0" w:color="auto"/>
              <w:left w:val="single" w:sz="13" w:space="0" w:color="D3D3D3"/>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7" w:hRule="exact"/>
        </w:trPr>
        <w:tc>
          <w:tcPr>
            <w:tcW w:w="1264" w:type="dxa"/>
            <w:gridSpan w:val="2"/>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8234" w:type="dxa"/>
            <w:gridSpan w:val="9"/>
            <w:tcBorders>
              <w:top w:val="nil" w:sz="6" w:space="0" w:color="auto"/>
              <w:left w:val="single" w:sz="13" w:space="0" w:color="D3D3D3"/>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1258"/>
        <w:jc w:val="left"/>
        <w:rPr>
          <w:b w:val="0"/>
          <w:bCs w:val="0"/>
        </w:rPr>
      </w:pP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8"/>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pStyle w:val="BodyText"/>
        <w:spacing w:line="240" w:lineRule="auto" w:before="44"/>
        <w:ind w:left="593" w:right="5531"/>
        <w:jc w:val="left"/>
      </w:pPr>
      <w:r>
        <w:rPr/>
        <w:t>公司报告期未出售重大资产。</w:t>
      </w:r>
    </w:p>
    <w:p>
      <w:pPr>
        <w:spacing w:line="240" w:lineRule="auto" w:before="10"/>
        <w:rPr>
          <w:rFonts w:ascii="宋体" w:hAnsi="宋体" w:cs="宋体" w:eastAsia="宋体" w:hint="default"/>
          <w:sz w:val="26"/>
          <w:szCs w:val="26"/>
        </w:rPr>
      </w:pPr>
    </w:p>
    <w:p>
      <w:pPr>
        <w:pStyle w:val="Heading3"/>
        <w:spacing w:line="240" w:lineRule="auto"/>
        <w:ind w:left="594" w:right="5531"/>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94" w:right="553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594" w:right="5531"/>
        <w:jc w:val="left"/>
        <w:rPr>
          <w:b w:val="0"/>
          <w:bCs w:val="0"/>
        </w:rPr>
      </w:pP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540" w:right="540"/>
        </w:sectPr>
      </w:pPr>
    </w:p>
    <w:p>
      <w:pPr>
        <w:pStyle w:val="BodyText"/>
        <w:spacing w:line="240" w:lineRule="auto" w:before="44"/>
        <w:ind w:left="59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594"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593" w:right="0"/>
        <w:jc w:val="left"/>
      </w:pPr>
      <w:r>
        <w:rPr/>
        <w:t>单位：元</w:t>
      </w:r>
    </w:p>
    <w:p>
      <w:pPr>
        <w:spacing w:after="0" w:line="240" w:lineRule="auto"/>
        <w:jc w:val="left"/>
        <w:sectPr>
          <w:type w:val="continuous"/>
          <w:pgSz w:w="11910" w:h="16840"/>
          <w:pgMar w:top="1060" w:bottom="1180" w:left="540" w:right="540"/>
          <w:cols w:num="2" w:equalWidth="0">
            <w:col w:w="5289" w:space="3630"/>
            <w:col w:w="1911"/>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054"/>
        <w:gridCol w:w="931"/>
        <w:gridCol w:w="1134"/>
        <w:gridCol w:w="1222"/>
        <w:gridCol w:w="1189"/>
        <w:gridCol w:w="1274"/>
        <w:gridCol w:w="1189"/>
        <w:gridCol w:w="1294"/>
        <w:gridCol w:w="1312"/>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358" w:hRule="exact"/>
        </w:trPr>
        <w:tc>
          <w:tcPr>
            <w:tcW w:w="1054" w:type="dxa"/>
            <w:tcBorders>
              <w:top w:val="single" w:sz="4" w:space="0" w:color="000000"/>
              <w:left w:val="single" w:sz="4" w:space="0" w:color="000000"/>
              <w:bottom w:val="nil" w:sz="6" w:space="0" w:color="auto"/>
              <w:right w:val="single" w:sz="4" w:space="0" w:color="000000"/>
            </w:tcBorders>
          </w:tcPr>
          <w:p>
            <w:pPr/>
          </w:p>
        </w:tc>
        <w:tc>
          <w:tcPr>
            <w:tcW w:w="93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电气自动化</w:t>
            </w:r>
          </w:p>
        </w:tc>
        <w:tc>
          <w:tcPr>
            <w:tcW w:w="1222" w:type="dxa"/>
            <w:tcBorders>
              <w:top w:val="single" w:sz="4" w:space="0" w:color="000000"/>
              <w:left w:val="single" w:sz="4" w:space="0" w:color="000000"/>
              <w:bottom w:val="nil" w:sz="6" w:space="0" w:color="auto"/>
              <w:right w:val="single" w:sz="4" w:space="0" w:color="000000"/>
            </w:tcBorders>
          </w:tcPr>
          <w:p>
            <w:pPr/>
          </w:p>
        </w:tc>
        <w:tc>
          <w:tcPr>
            <w:tcW w:w="1189"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189" w:type="dxa"/>
            <w:tcBorders>
              <w:top w:val="single" w:sz="4" w:space="0" w:color="000000"/>
              <w:left w:val="single" w:sz="4" w:space="0" w:color="000000"/>
              <w:bottom w:val="nil" w:sz="6" w:space="0" w:color="auto"/>
              <w:right w:val="single" w:sz="4" w:space="0" w:color="000000"/>
            </w:tcBorders>
          </w:tcPr>
          <w:p>
            <w:pPr/>
          </w:p>
        </w:tc>
        <w:tc>
          <w:tcPr>
            <w:tcW w:w="1294" w:type="dxa"/>
            <w:tcBorders>
              <w:top w:val="single" w:sz="4" w:space="0" w:color="000000"/>
              <w:left w:val="single" w:sz="4" w:space="0" w:color="000000"/>
              <w:bottom w:val="nil" w:sz="6" w:space="0" w:color="auto"/>
              <w:right w:val="single" w:sz="4" w:space="0" w:color="000000"/>
            </w:tcBorders>
          </w:tcPr>
          <w:p>
            <w:pPr/>
          </w:p>
        </w:tc>
        <w:tc>
          <w:tcPr>
            <w:tcW w:w="131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福州创华电</w:t>
            </w:r>
          </w:p>
        </w:tc>
        <w:tc>
          <w:tcPr>
            <w:tcW w:w="93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控制系统服</w:t>
            </w:r>
          </w:p>
        </w:tc>
        <w:tc>
          <w:tcPr>
            <w:tcW w:w="1222"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气自动化系</w:t>
            </w:r>
          </w:p>
        </w:tc>
        <w:tc>
          <w:tcPr>
            <w:tcW w:w="9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务、计算机软</w:t>
            </w:r>
          </w:p>
        </w:tc>
        <w:tc>
          <w:tcPr>
            <w:tcW w:w="122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5,000,000.00</w:t>
            </w:r>
          </w:p>
        </w:tc>
        <w:tc>
          <w:tcPr>
            <w:tcW w:w="118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149,797,435.22</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109,781,466.17</w:t>
            </w:r>
          </w:p>
        </w:tc>
        <w:tc>
          <w:tcPr>
            <w:tcW w:w="118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309,914.53</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19,688,297.91</w:t>
            </w:r>
          </w:p>
        </w:tc>
        <w:tc>
          <w:tcPr>
            <w:tcW w:w="131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19,669,625.93</w:t>
            </w:r>
          </w:p>
        </w:tc>
      </w:tr>
      <w:tr>
        <w:trPr>
          <w:trHeight w:val="30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统有限公司</w:t>
            </w:r>
          </w:p>
        </w:tc>
        <w:tc>
          <w:tcPr>
            <w:tcW w:w="93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件销售，计算</w:t>
            </w:r>
          </w:p>
        </w:tc>
        <w:tc>
          <w:tcPr>
            <w:tcW w:w="1222"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054" w:type="dxa"/>
            <w:tcBorders>
              <w:top w:val="nil" w:sz="6" w:space="0" w:color="auto"/>
              <w:left w:val="single" w:sz="4" w:space="0" w:color="000000"/>
              <w:bottom w:val="single" w:sz="4" w:space="0" w:color="000000"/>
              <w:right w:val="single" w:sz="4" w:space="0" w:color="000000"/>
            </w:tcBorders>
          </w:tcPr>
          <w:p>
            <w:pPr/>
          </w:p>
        </w:tc>
        <w:tc>
          <w:tcPr>
            <w:tcW w:w="93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机网络安装</w:t>
            </w:r>
          </w:p>
        </w:tc>
        <w:tc>
          <w:tcPr>
            <w:tcW w:w="1222" w:type="dxa"/>
            <w:tcBorders>
              <w:top w:val="nil" w:sz="6" w:space="0" w:color="auto"/>
              <w:left w:val="single" w:sz="4" w:space="0" w:color="000000"/>
              <w:bottom w:val="single" w:sz="4" w:space="0" w:color="000000"/>
              <w:right w:val="single" w:sz="4" w:space="0" w:color="000000"/>
            </w:tcBorders>
          </w:tcPr>
          <w:p>
            <w:pPr/>
          </w:p>
        </w:tc>
        <w:tc>
          <w:tcPr>
            <w:tcW w:w="1189"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189" w:type="dxa"/>
            <w:tcBorders>
              <w:top w:val="nil" w:sz="6" w:space="0" w:color="auto"/>
              <w:left w:val="single" w:sz="4" w:space="0" w:color="000000"/>
              <w:bottom w:val="single" w:sz="4" w:space="0" w:color="000000"/>
              <w:right w:val="single" w:sz="4" w:space="0" w:color="000000"/>
            </w:tcBorders>
          </w:tcPr>
          <w:p>
            <w:pPr/>
          </w:p>
        </w:tc>
        <w:tc>
          <w:tcPr>
            <w:tcW w:w="1294" w:type="dxa"/>
            <w:tcBorders>
              <w:top w:val="nil" w:sz="6" w:space="0" w:color="auto"/>
              <w:left w:val="single" w:sz="4" w:space="0" w:color="000000"/>
              <w:bottom w:val="single" w:sz="4" w:space="0" w:color="000000"/>
              <w:right w:val="single" w:sz="4" w:space="0" w:color="000000"/>
            </w:tcBorders>
          </w:tcPr>
          <w:p>
            <w:pPr/>
          </w:p>
        </w:tc>
        <w:tc>
          <w:tcPr>
            <w:tcW w:w="1312"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54" w:type="dxa"/>
            <w:tcBorders>
              <w:top w:val="single" w:sz="4" w:space="0" w:color="000000"/>
              <w:left w:val="single" w:sz="4" w:space="0" w:color="000000"/>
              <w:bottom w:val="nil" w:sz="6" w:space="0" w:color="auto"/>
              <w:right w:val="single" w:sz="4" w:space="0" w:color="000000"/>
            </w:tcBorders>
          </w:tcPr>
          <w:p>
            <w:pPr/>
          </w:p>
        </w:tc>
        <w:tc>
          <w:tcPr>
            <w:tcW w:w="93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技术开发、技</w:t>
            </w:r>
          </w:p>
        </w:tc>
        <w:tc>
          <w:tcPr>
            <w:tcW w:w="1222" w:type="dxa"/>
            <w:tcBorders>
              <w:top w:val="single" w:sz="4" w:space="0" w:color="000000"/>
              <w:left w:val="single" w:sz="4" w:space="0" w:color="000000"/>
              <w:bottom w:val="nil" w:sz="6" w:space="0" w:color="auto"/>
              <w:right w:val="single" w:sz="4" w:space="0" w:color="000000"/>
            </w:tcBorders>
          </w:tcPr>
          <w:p>
            <w:pPr/>
          </w:p>
        </w:tc>
        <w:tc>
          <w:tcPr>
            <w:tcW w:w="1189"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189" w:type="dxa"/>
            <w:tcBorders>
              <w:top w:val="single" w:sz="4" w:space="0" w:color="000000"/>
              <w:left w:val="single" w:sz="4" w:space="0" w:color="000000"/>
              <w:bottom w:val="nil" w:sz="6" w:space="0" w:color="auto"/>
              <w:right w:val="single" w:sz="4" w:space="0" w:color="000000"/>
            </w:tcBorders>
          </w:tcPr>
          <w:p>
            <w:pPr/>
          </w:p>
        </w:tc>
        <w:tc>
          <w:tcPr>
            <w:tcW w:w="1294" w:type="dxa"/>
            <w:tcBorders>
              <w:top w:val="single" w:sz="4" w:space="0" w:color="000000"/>
              <w:left w:val="single" w:sz="4" w:space="0" w:color="000000"/>
              <w:bottom w:val="nil" w:sz="6" w:space="0" w:color="auto"/>
              <w:right w:val="single" w:sz="4" w:space="0" w:color="000000"/>
            </w:tcBorders>
          </w:tcPr>
          <w:p>
            <w:pPr/>
          </w:p>
        </w:tc>
        <w:tc>
          <w:tcPr>
            <w:tcW w:w="131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93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术服务、技术</w:t>
            </w:r>
          </w:p>
        </w:tc>
        <w:tc>
          <w:tcPr>
            <w:tcW w:w="1222"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浙江榕基信</w:t>
            </w:r>
          </w:p>
        </w:tc>
        <w:tc>
          <w:tcPr>
            <w:tcW w:w="93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咨询、成果转</w:t>
            </w:r>
          </w:p>
        </w:tc>
        <w:tc>
          <w:tcPr>
            <w:tcW w:w="1222"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息技术有限</w:t>
            </w:r>
          </w:p>
        </w:tc>
        <w:tc>
          <w:tcPr>
            <w:tcW w:w="9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让，计算机数</w:t>
            </w:r>
          </w:p>
        </w:tc>
        <w:tc>
          <w:tcPr>
            <w:tcW w:w="122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20,000,000.00</w:t>
            </w:r>
          </w:p>
        </w:tc>
        <w:tc>
          <w:tcPr>
            <w:tcW w:w="118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39,145,490.01</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10,992,054.88</w:t>
            </w:r>
          </w:p>
        </w:tc>
        <w:tc>
          <w:tcPr>
            <w:tcW w:w="118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18,996,899.82</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2,131,637.26</w:t>
            </w:r>
          </w:p>
        </w:tc>
        <w:tc>
          <w:tcPr>
            <w:tcW w:w="131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1,895,991.88</w:t>
            </w:r>
          </w:p>
        </w:tc>
      </w:tr>
      <w:tr>
        <w:trPr>
          <w:trHeight w:val="30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3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据处理、计算</w:t>
            </w:r>
          </w:p>
        </w:tc>
        <w:tc>
          <w:tcPr>
            <w:tcW w:w="1222"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93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机数据库、计</w:t>
            </w:r>
          </w:p>
        </w:tc>
        <w:tc>
          <w:tcPr>
            <w:tcW w:w="1222"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93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算机维护等</w:t>
            </w:r>
          </w:p>
        </w:tc>
        <w:tc>
          <w:tcPr>
            <w:tcW w:w="1222" w:type="dxa"/>
            <w:tcBorders>
              <w:top w:val="nil" w:sz="6" w:space="0" w:color="auto"/>
              <w:left w:val="single" w:sz="4" w:space="0" w:color="000000"/>
              <w:bottom w:val="single" w:sz="4" w:space="0" w:color="000000"/>
              <w:right w:val="single" w:sz="4" w:space="0" w:color="000000"/>
            </w:tcBorders>
          </w:tcPr>
          <w:p>
            <w:pPr/>
          </w:p>
        </w:tc>
        <w:tc>
          <w:tcPr>
            <w:tcW w:w="1189"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189" w:type="dxa"/>
            <w:tcBorders>
              <w:top w:val="nil" w:sz="6" w:space="0" w:color="auto"/>
              <w:left w:val="single" w:sz="4" w:space="0" w:color="000000"/>
              <w:bottom w:val="single" w:sz="4" w:space="0" w:color="000000"/>
              <w:right w:val="single" w:sz="4" w:space="0" w:color="000000"/>
            </w:tcBorders>
          </w:tcPr>
          <w:p>
            <w:pPr/>
          </w:p>
        </w:tc>
        <w:tc>
          <w:tcPr>
            <w:tcW w:w="1294" w:type="dxa"/>
            <w:tcBorders>
              <w:top w:val="nil" w:sz="6" w:space="0" w:color="auto"/>
              <w:left w:val="single" w:sz="4" w:space="0" w:color="000000"/>
              <w:bottom w:val="single" w:sz="4" w:space="0" w:color="000000"/>
              <w:right w:val="single" w:sz="4" w:space="0" w:color="000000"/>
            </w:tcBorders>
          </w:tcPr>
          <w:p>
            <w:pPr/>
          </w:p>
        </w:tc>
        <w:tc>
          <w:tcPr>
            <w:tcW w:w="1312"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54" w:type="dxa"/>
            <w:tcBorders>
              <w:top w:val="single" w:sz="4" w:space="0" w:color="000000"/>
              <w:left w:val="single" w:sz="4" w:space="0" w:color="000000"/>
              <w:bottom w:val="nil" w:sz="6" w:space="0" w:color="auto"/>
              <w:right w:val="single" w:sz="4" w:space="0" w:color="000000"/>
            </w:tcBorders>
          </w:tcPr>
          <w:p>
            <w:pPr/>
          </w:p>
        </w:tc>
        <w:tc>
          <w:tcPr>
            <w:tcW w:w="93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电子计算机</w:t>
            </w:r>
          </w:p>
        </w:tc>
        <w:tc>
          <w:tcPr>
            <w:tcW w:w="1222" w:type="dxa"/>
            <w:tcBorders>
              <w:top w:val="single" w:sz="4" w:space="0" w:color="000000"/>
              <w:left w:val="single" w:sz="4" w:space="0" w:color="000000"/>
              <w:bottom w:val="nil" w:sz="6" w:space="0" w:color="auto"/>
              <w:right w:val="single" w:sz="4" w:space="0" w:color="000000"/>
            </w:tcBorders>
          </w:tcPr>
          <w:p>
            <w:pPr/>
          </w:p>
        </w:tc>
        <w:tc>
          <w:tcPr>
            <w:tcW w:w="1189"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189" w:type="dxa"/>
            <w:tcBorders>
              <w:top w:val="single" w:sz="4" w:space="0" w:color="000000"/>
              <w:left w:val="single" w:sz="4" w:space="0" w:color="000000"/>
              <w:bottom w:val="nil" w:sz="6" w:space="0" w:color="auto"/>
              <w:right w:val="single" w:sz="4" w:space="0" w:color="000000"/>
            </w:tcBorders>
          </w:tcPr>
          <w:p>
            <w:pPr/>
          </w:p>
        </w:tc>
        <w:tc>
          <w:tcPr>
            <w:tcW w:w="1294" w:type="dxa"/>
            <w:tcBorders>
              <w:top w:val="single" w:sz="4" w:space="0" w:color="000000"/>
              <w:left w:val="single" w:sz="4" w:space="0" w:color="000000"/>
              <w:bottom w:val="nil" w:sz="6" w:space="0" w:color="auto"/>
              <w:right w:val="single" w:sz="4" w:space="0" w:color="000000"/>
            </w:tcBorders>
          </w:tcPr>
          <w:p>
            <w:pPr/>
          </w:p>
        </w:tc>
        <w:tc>
          <w:tcPr>
            <w:tcW w:w="1312" w:type="dxa"/>
            <w:tcBorders>
              <w:top w:val="single" w:sz="4" w:space="0" w:color="000000"/>
              <w:left w:val="single" w:sz="4" w:space="0" w:color="000000"/>
              <w:bottom w:val="nil" w:sz="6" w:space="0" w:color="auto"/>
              <w:right w:val="single" w:sz="4" w:space="0" w:color="000000"/>
            </w:tcBorders>
          </w:tcPr>
          <w:p>
            <w:pPr/>
          </w:p>
        </w:tc>
      </w:tr>
      <w:tr>
        <w:trPr>
          <w:trHeight w:val="124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上海榕基软 件开发有限 公司</w:t>
            </w:r>
          </w:p>
        </w:tc>
        <w:tc>
          <w:tcPr>
            <w:tcW w:w="93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99"/>
              <w:jc w:val="both"/>
              <w:rPr>
                <w:rFonts w:ascii="宋体" w:hAnsi="宋体" w:cs="宋体" w:eastAsia="宋体" w:hint="default"/>
                <w:sz w:val="18"/>
                <w:szCs w:val="18"/>
              </w:rPr>
            </w:pPr>
            <w:r>
              <w:rPr>
                <w:rFonts w:ascii="宋体" w:hAnsi="宋体" w:cs="宋体" w:eastAsia="宋体" w:hint="default"/>
                <w:sz w:val="18"/>
                <w:szCs w:val="18"/>
              </w:rPr>
              <w:t>软硬件领域 内的技术开 发，技术转 让，技术咨</w:t>
            </w:r>
          </w:p>
        </w:tc>
        <w:tc>
          <w:tcPr>
            <w:tcW w:w="122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100,000,000.00</w:t>
            </w:r>
          </w:p>
        </w:tc>
        <w:tc>
          <w:tcPr>
            <w:tcW w:w="118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255,618,340.97</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82,207,815.95</w:t>
            </w:r>
          </w:p>
        </w:tc>
        <w:tc>
          <w:tcPr>
            <w:tcW w:w="118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5,758,801.88</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66,119.24</w:t>
            </w:r>
          </w:p>
        </w:tc>
        <w:tc>
          <w:tcPr>
            <w:tcW w:w="131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66,119.24</w:t>
            </w: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93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询，技术服务</w:t>
            </w:r>
          </w:p>
        </w:tc>
        <w:tc>
          <w:tcPr>
            <w:tcW w:w="1222" w:type="dxa"/>
            <w:tcBorders>
              <w:top w:val="nil" w:sz="6" w:space="0" w:color="auto"/>
              <w:left w:val="single" w:sz="4" w:space="0" w:color="000000"/>
              <w:bottom w:val="single" w:sz="4" w:space="0" w:color="000000"/>
              <w:right w:val="single" w:sz="4" w:space="0" w:color="000000"/>
            </w:tcBorders>
          </w:tcPr>
          <w:p>
            <w:pPr/>
          </w:p>
        </w:tc>
        <w:tc>
          <w:tcPr>
            <w:tcW w:w="1189"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189" w:type="dxa"/>
            <w:tcBorders>
              <w:top w:val="nil" w:sz="6" w:space="0" w:color="auto"/>
              <w:left w:val="single" w:sz="4" w:space="0" w:color="000000"/>
              <w:bottom w:val="single" w:sz="4" w:space="0" w:color="000000"/>
              <w:right w:val="single" w:sz="4" w:space="0" w:color="000000"/>
            </w:tcBorders>
          </w:tcPr>
          <w:p>
            <w:pPr/>
          </w:p>
        </w:tc>
        <w:tc>
          <w:tcPr>
            <w:tcW w:w="1294" w:type="dxa"/>
            <w:tcBorders>
              <w:top w:val="nil" w:sz="6" w:space="0" w:color="auto"/>
              <w:left w:val="single" w:sz="4" w:space="0" w:color="000000"/>
              <w:bottom w:val="single" w:sz="4" w:space="0" w:color="000000"/>
              <w:right w:val="single" w:sz="4" w:space="0" w:color="000000"/>
            </w:tcBorders>
          </w:tcPr>
          <w:p>
            <w:pPr/>
          </w:p>
        </w:tc>
        <w:tc>
          <w:tcPr>
            <w:tcW w:w="1312"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54" w:type="dxa"/>
            <w:tcBorders>
              <w:top w:val="single" w:sz="4" w:space="0" w:color="000000"/>
              <w:left w:val="single" w:sz="4" w:space="0" w:color="000000"/>
              <w:bottom w:val="nil" w:sz="6" w:space="0" w:color="auto"/>
              <w:right w:val="single" w:sz="4" w:space="0" w:color="000000"/>
            </w:tcBorders>
          </w:tcPr>
          <w:p>
            <w:pPr/>
          </w:p>
        </w:tc>
        <w:tc>
          <w:tcPr>
            <w:tcW w:w="93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技术推广，销</w:t>
            </w:r>
          </w:p>
        </w:tc>
        <w:tc>
          <w:tcPr>
            <w:tcW w:w="1222" w:type="dxa"/>
            <w:tcBorders>
              <w:top w:val="single" w:sz="4" w:space="0" w:color="000000"/>
              <w:left w:val="single" w:sz="4" w:space="0" w:color="000000"/>
              <w:bottom w:val="nil" w:sz="6" w:space="0" w:color="auto"/>
              <w:right w:val="single" w:sz="4" w:space="0" w:color="000000"/>
            </w:tcBorders>
          </w:tcPr>
          <w:p>
            <w:pPr/>
          </w:p>
        </w:tc>
        <w:tc>
          <w:tcPr>
            <w:tcW w:w="1189"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189" w:type="dxa"/>
            <w:tcBorders>
              <w:top w:val="single" w:sz="4" w:space="0" w:color="000000"/>
              <w:left w:val="single" w:sz="4" w:space="0" w:color="000000"/>
              <w:bottom w:val="nil" w:sz="6" w:space="0" w:color="auto"/>
              <w:right w:val="single" w:sz="4" w:space="0" w:color="000000"/>
            </w:tcBorders>
          </w:tcPr>
          <w:p>
            <w:pPr/>
          </w:p>
        </w:tc>
        <w:tc>
          <w:tcPr>
            <w:tcW w:w="1294" w:type="dxa"/>
            <w:tcBorders>
              <w:top w:val="single" w:sz="4" w:space="0" w:color="000000"/>
              <w:left w:val="single" w:sz="4" w:space="0" w:color="000000"/>
              <w:bottom w:val="nil" w:sz="6" w:space="0" w:color="auto"/>
              <w:right w:val="single" w:sz="4" w:space="0" w:color="000000"/>
            </w:tcBorders>
          </w:tcPr>
          <w:p>
            <w:pPr/>
          </w:p>
        </w:tc>
        <w:tc>
          <w:tcPr>
            <w:tcW w:w="131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93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售计算机、软</w:t>
            </w:r>
          </w:p>
        </w:tc>
        <w:tc>
          <w:tcPr>
            <w:tcW w:w="1222"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榕基五</w:t>
            </w:r>
            <w:r>
              <w:rPr>
                <w:rFonts w:ascii="宋体" w:hAnsi="宋体" w:cs="宋体" w:eastAsia="宋体" w:hint="default"/>
                <w:spacing w:val="-82"/>
                <w:sz w:val="18"/>
                <w:szCs w:val="18"/>
              </w:rPr>
              <w:t>一</w:t>
            </w:r>
            <w:r>
              <w:rPr>
                <w:rFonts w:ascii="宋体" w:hAnsi="宋体" w:cs="宋体" w:eastAsia="宋体" w:hint="default"/>
                <w:sz w:val="18"/>
                <w:szCs w:val="18"/>
              </w:rPr>
              <w:t>（北</w:t>
            </w:r>
          </w:p>
        </w:tc>
        <w:tc>
          <w:tcPr>
            <w:tcW w:w="93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件及辅助设</w:t>
            </w:r>
          </w:p>
        </w:tc>
        <w:tc>
          <w:tcPr>
            <w:tcW w:w="1222"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京</w:t>
            </w:r>
            <w:r>
              <w:rPr>
                <w:rFonts w:ascii="宋体" w:hAnsi="宋体" w:cs="宋体" w:eastAsia="宋体" w:hint="default"/>
                <w:spacing w:val="-82"/>
                <w:sz w:val="18"/>
                <w:szCs w:val="18"/>
              </w:rPr>
              <w:t>）</w:t>
            </w:r>
            <w:r>
              <w:rPr>
                <w:rFonts w:ascii="宋体" w:hAnsi="宋体" w:cs="宋体" w:eastAsia="宋体" w:hint="default"/>
                <w:sz w:val="18"/>
                <w:szCs w:val="18"/>
              </w:rPr>
              <w:t>信息技术</w:t>
            </w:r>
          </w:p>
        </w:tc>
        <w:tc>
          <w:tcPr>
            <w:tcW w:w="9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备、机械设</w:t>
            </w:r>
          </w:p>
        </w:tc>
        <w:tc>
          <w:tcPr>
            <w:tcW w:w="122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51,000,000.00</w:t>
            </w:r>
          </w:p>
        </w:tc>
        <w:tc>
          <w:tcPr>
            <w:tcW w:w="118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103,609,586.39</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9,284,265.50</w:t>
            </w:r>
          </w:p>
        </w:tc>
        <w:tc>
          <w:tcPr>
            <w:tcW w:w="118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95,661,806.15</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-9,850,866.55</w:t>
            </w:r>
          </w:p>
        </w:tc>
        <w:tc>
          <w:tcPr>
            <w:tcW w:w="131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-9,406,165.08</w:t>
            </w:r>
          </w:p>
        </w:tc>
      </w:tr>
      <w:tr>
        <w:trPr>
          <w:trHeight w:val="30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3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备、电子产</w:t>
            </w:r>
          </w:p>
        </w:tc>
        <w:tc>
          <w:tcPr>
            <w:tcW w:w="1222"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93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品、器件和元</w:t>
            </w:r>
          </w:p>
        </w:tc>
        <w:tc>
          <w:tcPr>
            <w:tcW w:w="1222"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93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件、仪器仪表</w:t>
            </w:r>
          </w:p>
        </w:tc>
        <w:tc>
          <w:tcPr>
            <w:tcW w:w="1222" w:type="dxa"/>
            <w:tcBorders>
              <w:top w:val="nil" w:sz="6" w:space="0" w:color="auto"/>
              <w:left w:val="single" w:sz="4" w:space="0" w:color="000000"/>
              <w:bottom w:val="single" w:sz="4" w:space="0" w:color="000000"/>
              <w:right w:val="single" w:sz="4" w:space="0" w:color="000000"/>
            </w:tcBorders>
          </w:tcPr>
          <w:p>
            <w:pPr/>
          </w:p>
        </w:tc>
        <w:tc>
          <w:tcPr>
            <w:tcW w:w="1189"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189" w:type="dxa"/>
            <w:tcBorders>
              <w:top w:val="nil" w:sz="6" w:space="0" w:color="auto"/>
              <w:left w:val="single" w:sz="4" w:space="0" w:color="000000"/>
              <w:bottom w:val="single" w:sz="4" w:space="0" w:color="000000"/>
              <w:right w:val="single" w:sz="4" w:space="0" w:color="000000"/>
            </w:tcBorders>
          </w:tcPr>
          <w:p>
            <w:pPr/>
          </w:p>
        </w:tc>
        <w:tc>
          <w:tcPr>
            <w:tcW w:w="1294" w:type="dxa"/>
            <w:tcBorders>
              <w:top w:val="nil" w:sz="6" w:space="0" w:color="auto"/>
              <w:left w:val="single" w:sz="4" w:space="0" w:color="000000"/>
              <w:bottom w:val="single" w:sz="4" w:space="0" w:color="000000"/>
              <w:right w:val="single" w:sz="4" w:space="0" w:color="000000"/>
            </w:tcBorders>
          </w:tcPr>
          <w:p>
            <w:pPr/>
          </w:p>
        </w:tc>
        <w:tc>
          <w:tcPr>
            <w:tcW w:w="1312" w:type="dxa"/>
            <w:tcBorders>
              <w:top w:val="nil" w:sz="6" w:space="0" w:color="auto"/>
              <w:left w:val="single" w:sz="4" w:space="0" w:color="000000"/>
              <w:bottom w:val="single" w:sz="4" w:space="0" w:color="000000"/>
              <w:right w:val="single" w:sz="4" w:space="0" w:color="000000"/>
            </w:tcBorders>
          </w:tcPr>
          <w:p>
            <w:pPr/>
          </w:p>
        </w:tc>
      </w:tr>
      <w:tr>
        <w:trPr>
          <w:trHeight w:val="348" w:hRule="exact"/>
        </w:trPr>
        <w:tc>
          <w:tcPr>
            <w:tcW w:w="1054" w:type="dxa"/>
            <w:tcBorders>
              <w:top w:val="single" w:sz="4" w:space="0" w:color="000000"/>
              <w:left w:val="single" w:sz="4" w:space="0" w:color="000000"/>
              <w:bottom w:val="nil" w:sz="6" w:space="0" w:color="auto"/>
              <w:right w:val="single" w:sz="4" w:space="0" w:color="000000"/>
            </w:tcBorders>
          </w:tcPr>
          <w:p>
            <w:pPr/>
          </w:p>
        </w:tc>
        <w:tc>
          <w:tcPr>
            <w:tcW w:w="93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w:t>
            </w:r>
          </w:p>
        </w:tc>
        <w:tc>
          <w:tcPr>
            <w:tcW w:w="1222" w:type="dxa"/>
            <w:tcBorders>
              <w:top w:val="single" w:sz="4" w:space="0" w:color="000000"/>
              <w:left w:val="single" w:sz="4" w:space="0" w:color="000000"/>
              <w:bottom w:val="nil" w:sz="6" w:space="0" w:color="auto"/>
              <w:right w:val="single" w:sz="4" w:space="0" w:color="000000"/>
            </w:tcBorders>
          </w:tcPr>
          <w:p>
            <w:pPr/>
          </w:p>
        </w:tc>
        <w:tc>
          <w:tcPr>
            <w:tcW w:w="1189"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189" w:type="dxa"/>
            <w:tcBorders>
              <w:top w:val="single" w:sz="4" w:space="0" w:color="000000"/>
              <w:left w:val="single" w:sz="4" w:space="0" w:color="000000"/>
              <w:bottom w:val="nil" w:sz="6" w:space="0" w:color="auto"/>
              <w:right w:val="single" w:sz="4" w:space="0" w:color="000000"/>
            </w:tcBorders>
          </w:tcPr>
          <w:p>
            <w:pPr/>
          </w:p>
        </w:tc>
        <w:tc>
          <w:tcPr>
            <w:tcW w:w="1294" w:type="dxa"/>
            <w:tcBorders>
              <w:top w:val="single" w:sz="4" w:space="0" w:color="000000"/>
              <w:left w:val="single" w:sz="4" w:space="0" w:color="000000"/>
              <w:bottom w:val="nil" w:sz="6" w:space="0" w:color="auto"/>
              <w:right w:val="single" w:sz="4" w:space="0" w:color="000000"/>
            </w:tcBorders>
          </w:tcPr>
          <w:p>
            <w:pPr/>
          </w:p>
        </w:tc>
        <w:tc>
          <w:tcPr>
            <w:tcW w:w="1312"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河南榕基信</w:t>
            </w:r>
          </w:p>
        </w:tc>
        <w:tc>
          <w:tcPr>
            <w:tcW w:w="93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务，软件开</w:t>
            </w:r>
          </w:p>
        </w:tc>
        <w:tc>
          <w:tcPr>
            <w:tcW w:w="1222"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息技术有限</w:t>
            </w:r>
          </w:p>
        </w:tc>
        <w:tc>
          <w:tcPr>
            <w:tcW w:w="93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发、销售及平</w:t>
            </w:r>
          </w:p>
        </w:tc>
        <w:tc>
          <w:tcPr>
            <w:tcW w:w="1222"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left="22" w:right="0"/>
              <w:jc w:val="left"/>
              <w:rPr>
                <w:rFonts w:ascii="Times New Roman" w:hAnsi="Times New Roman" w:cs="Times New Roman" w:eastAsia="Times New Roman" w:hint="default"/>
                <w:sz w:val="18"/>
                <w:szCs w:val="18"/>
              </w:rPr>
            </w:pPr>
            <w:r>
              <w:rPr>
                <w:rFonts w:ascii="Times New Roman"/>
                <w:sz w:val="18"/>
              </w:rPr>
              <w:t>100,000,000.00</w:t>
            </w:r>
          </w:p>
        </w:tc>
        <w:tc>
          <w:tcPr>
            <w:tcW w:w="1189"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18"/>
                <w:szCs w:val="18"/>
              </w:rPr>
            </w:pPr>
            <w:r>
              <w:rPr>
                <w:rFonts w:ascii="Times New Roman"/>
                <w:spacing w:val="-1"/>
                <w:sz w:val="18"/>
              </w:rPr>
              <w:t>222,859,952.82</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9"/>
              <w:jc w:val="right"/>
              <w:rPr>
                <w:rFonts w:ascii="Times New Roman" w:hAnsi="Times New Roman" w:cs="Times New Roman" w:eastAsia="Times New Roman" w:hint="default"/>
                <w:sz w:val="18"/>
                <w:szCs w:val="18"/>
              </w:rPr>
            </w:pPr>
            <w:r>
              <w:rPr>
                <w:rFonts w:ascii="Times New Roman"/>
                <w:spacing w:val="-1"/>
                <w:sz w:val="18"/>
              </w:rPr>
              <w:t>61,398,711.48</w:t>
            </w:r>
          </w:p>
        </w:tc>
        <w:tc>
          <w:tcPr>
            <w:tcW w:w="1189"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18"/>
                <w:szCs w:val="18"/>
              </w:rPr>
            </w:pPr>
            <w:r>
              <w:rPr>
                <w:rFonts w:ascii="Times New Roman"/>
                <w:spacing w:val="-1"/>
                <w:sz w:val="18"/>
              </w:rPr>
              <w:t>8,094,418.75</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9"/>
              <w:jc w:val="right"/>
              <w:rPr>
                <w:rFonts w:ascii="Times New Roman" w:hAnsi="Times New Roman" w:cs="Times New Roman" w:eastAsia="Times New Roman" w:hint="default"/>
                <w:sz w:val="18"/>
                <w:szCs w:val="18"/>
              </w:rPr>
            </w:pPr>
            <w:r>
              <w:rPr>
                <w:rFonts w:ascii="Times New Roman"/>
                <w:spacing w:val="-1"/>
                <w:sz w:val="18"/>
              </w:rPr>
              <w:t>-8,634,631.30</w:t>
            </w:r>
          </w:p>
        </w:tc>
        <w:tc>
          <w:tcPr>
            <w:tcW w:w="1312"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18"/>
                <w:szCs w:val="18"/>
              </w:rPr>
            </w:pPr>
            <w:r>
              <w:rPr>
                <w:rFonts w:ascii="Times New Roman"/>
                <w:spacing w:val="-1"/>
                <w:sz w:val="18"/>
              </w:rPr>
              <w:t>-8,191,864.63</w:t>
            </w:r>
          </w:p>
        </w:tc>
      </w:tr>
      <w:tr>
        <w:trPr>
          <w:trHeight w:val="322"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3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面设计，系统</w:t>
            </w:r>
          </w:p>
        </w:tc>
        <w:tc>
          <w:tcPr>
            <w:tcW w:w="1222"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93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集成，硬件及</w:t>
            </w:r>
          </w:p>
        </w:tc>
        <w:tc>
          <w:tcPr>
            <w:tcW w:w="1222" w:type="dxa"/>
            <w:tcBorders>
              <w:top w:val="nil" w:sz="6" w:space="0" w:color="auto"/>
              <w:left w:val="single" w:sz="4" w:space="0" w:color="000000"/>
              <w:bottom w:val="single" w:sz="4" w:space="0" w:color="000000"/>
              <w:right w:val="single" w:sz="4" w:space="0" w:color="000000"/>
            </w:tcBorders>
          </w:tcPr>
          <w:p>
            <w:pPr/>
          </w:p>
        </w:tc>
        <w:tc>
          <w:tcPr>
            <w:tcW w:w="1189"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189" w:type="dxa"/>
            <w:tcBorders>
              <w:top w:val="nil" w:sz="6" w:space="0" w:color="auto"/>
              <w:left w:val="single" w:sz="4" w:space="0" w:color="000000"/>
              <w:bottom w:val="single" w:sz="4" w:space="0" w:color="000000"/>
              <w:right w:val="single" w:sz="4" w:space="0" w:color="000000"/>
            </w:tcBorders>
          </w:tcPr>
          <w:p>
            <w:pPr/>
          </w:p>
        </w:tc>
        <w:tc>
          <w:tcPr>
            <w:tcW w:w="1294" w:type="dxa"/>
            <w:tcBorders>
              <w:top w:val="nil" w:sz="6" w:space="0" w:color="auto"/>
              <w:left w:val="single" w:sz="4" w:space="0" w:color="000000"/>
              <w:bottom w:val="single" w:sz="4" w:space="0" w:color="000000"/>
              <w:right w:val="single" w:sz="4" w:space="0" w:color="000000"/>
            </w:tcBorders>
          </w:tcPr>
          <w:p>
            <w:pPr/>
          </w:p>
        </w:tc>
        <w:tc>
          <w:tcPr>
            <w:tcW w:w="1312" w:type="dxa"/>
            <w:tcBorders>
              <w:top w:val="nil" w:sz="6" w:space="0" w:color="auto"/>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540" w:right="540"/>
        </w:sectPr>
      </w:pPr>
    </w:p>
    <w:p>
      <w:pPr>
        <w:spacing w:line="240" w:lineRule="auto" w:before="10"/>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1054"/>
        <w:gridCol w:w="931"/>
        <w:gridCol w:w="1134"/>
        <w:gridCol w:w="1222"/>
        <w:gridCol w:w="1189"/>
        <w:gridCol w:w="1274"/>
        <w:gridCol w:w="1189"/>
        <w:gridCol w:w="1294"/>
        <w:gridCol w:w="1312"/>
      </w:tblGrid>
      <w:tr>
        <w:trPr>
          <w:trHeight w:val="2234"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耗材、办公设 备租赁、销 售，网络技术 咨询服务，办 公自动化产 品销售及服 务</w:t>
            </w:r>
          </w:p>
        </w:tc>
        <w:tc>
          <w:tcPr>
            <w:tcW w:w="1222"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北京中榕基 信息技术有 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技术开发、技 术服务、技术 推广，计算机 维修，计算机 系统服务，销 售计算机、软 件及辅助设 备、机械设 备，技术进出 口、货物进出 口、代理进出 口</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Times New Roman" w:hAnsi="Times New Roman" w:cs="Times New Roman" w:eastAsia="Times New Roman" w:hint="default"/>
                <w:sz w:val="18"/>
                <w:szCs w:val="18"/>
              </w:rPr>
            </w:pPr>
            <w:r>
              <w:rPr>
                <w:rFonts w:ascii="Times New Roman"/>
                <w:sz w:val="18"/>
              </w:rPr>
              <w:t>50,000,000.00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107,956,409.46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pacing w:val="-1"/>
                <w:sz w:val="18"/>
              </w:rPr>
              <w:t>26,331,771.15</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spacing w:val="-1"/>
                <w:sz w:val="18"/>
              </w:rPr>
              <w:t>19,811.32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pacing w:val="-1"/>
                <w:sz w:val="18"/>
              </w:rPr>
              <w:t>-10,546,804.65</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-10,114,233.58</w:t>
            </w:r>
          </w:p>
        </w:tc>
      </w:tr>
      <w:tr>
        <w:trPr>
          <w:trHeight w:val="695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7"/>
              <w:ind w:left="22" w:right="119"/>
              <w:jc w:val="both"/>
              <w:rPr>
                <w:rFonts w:ascii="宋体" w:hAnsi="宋体" w:cs="宋体" w:eastAsia="宋体" w:hint="default"/>
                <w:sz w:val="18"/>
                <w:szCs w:val="18"/>
              </w:rPr>
            </w:pPr>
            <w:r>
              <w:rPr>
                <w:rFonts w:ascii="宋体" w:hAnsi="宋体" w:cs="宋体" w:eastAsia="宋体" w:hint="default"/>
                <w:sz w:val="18"/>
                <w:szCs w:val="18"/>
              </w:rPr>
              <w:t>福建榕基软 件工程有限 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计算机网络 软件研发与 设计服务，计 算机硬件技 术服务，信息 系统集成服 务，电子计算 机及配件的 批发零售，建 筑智能化的 设计与施工 服务，安防工 程的设计与 施工服务，自 营和代理各 类商品和技 术的进出口， 国家限定公 司经营或禁 止进出口的 商品和技术 除外</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105,000,000.00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277,125,792.35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174,147,633.00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142,252,552.58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11,915,100.14</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11,073,027.38</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福建榕基投 资有限公司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9"/>
              <w:jc w:val="left"/>
              <w:rPr>
                <w:rFonts w:ascii="宋体" w:hAnsi="宋体" w:cs="宋体" w:eastAsia="宋体" w:hint="default"/>
                <w:sz w:val="18"/>
                <w:szCs w:val="18"/>
              </w:rPr>
            </w:pPr>
            <w:r>
              <w:rPr>
                <w:rFonts w:ascii="宋体" w:hAnsi="宋体" w:cs="宋体" w:eastAsia="宋体" w:hint="default"/>
                <w:sz w:val="18"/>
                <w:szCs w:val="18"/>
              </w:rPr>
              <w:t>对信息传输、 计算机服务</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51,673,570.47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51,632,070.47</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-506,957.92</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-506,957.92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540" w:right="540"/>
        </w:sectPr>
      </w:pPr>
    </w:p>
    <w:p>
      <w:pPr>
        <w:spacing w:line="240" w:lineRule="auto" w:before="10"/>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1054"/>
        <w:gridCol w:w="931"/>
        <w:gridCol w:w="1134"/>
        <w:gridCol w:w="1222"/>
        <w:gridCol w:w="1189"/>
        <w:gridCol w:w="1274"/>
        <w:gridCol w:w="1189"/>
        <w:gridCol w:w="1294"/>
        <w:gridCol w:w="1312"/>
      </w:tblGrid>
      <w:tr>
        <w:trPr>
          <w:trHeight w:val="317" w:hRule="exact"/>
        </w:trPr>
        <w:tc>
          <w:tcPr>
            <w:tcW w:w="1054"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和软件业、制</w:t>
            </w:r>
          </w:p>
        </w:tc>
        <w:tc>
          <w:tcPr>
            <w:tcW w:w="1222" w:type="dxa"/>
            <w:vMerge w:val="restart"/>
            <w:tcBorders>
              <w:top w:val="single" w:sz="4" w:space="0" w:color="000000"/>
              <w:left w:val="single" w:sz="4" w:space="0" w:color="000000"/>
              <w:right w:val="single" w:sz="4" w:space="0" w:color="000000"/>
            </w:tcBorders>
          </w:tcPr>
          <w:p>
            <w:pPr/>
          </w:p>
        </w:tc>
        <w:tc>
          <w:tcPr>
            <w:tcW w:w="1189" w:type="dxa"/>
            <w:vMerge w:val="restart"/>
            <w:tcBorders>
              <w:top w:val="single" w:sz="4" w:space="0" w:color="000000"/>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
        </w:tc>
        <w:tc>
          <w:tcPr>
            <w:tcW w:w="1189" w:type="dxa"/>
            <w:vMerge w:val="restart"/>
            <w:tcBorders>
              <w:top w:val="single" w:sz="4" w:space="0" w:color="000000"/>
              <w:left w:val="single" w:sz="4" w:space="0" w:color="000000"/>
              <w:right w:val="single" w:sz="4" w:space="0" w:color="000000"/>
            </w:tcBorders>
          </w:tcPr>
          <w:p>
            <w:pPr/>
          </w:p>
        </w:tc>
        <w:tc>
          <w:tcPr>
            <w:tcW w:w="1294" w:type="dxa"/>
            <w:vMerge w:val="restart"/>
            <w:tcBorders>
              <w:top w:val="single" w:sz="4" w:space="0" w:color="000000"/>
              <w:left w:val="single" w:sz="4" w:space="0" w:color="000000"/>
              <w:right w:val="single" w:sz="4" w:space="0" w:color="000000"/>
            </w:tcBorders>
          </w:tcPr>
          <w:p>
            <w:pPr/>
          </w:p>
        </w:tc>
        <w:tc>
          <w:tcPr>
            <w:tcW w:w="1312" w:type="dxa"/>
            <w:vMerge w:val="restart"/>
            <w:tcBorders>
              <w:top w:val="single" w:sz="4" w:space="0" w:color="000000"/>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造业、服务</w:t>
            </w:r>
          </w:p>
        </w:tc>
        <w:tc>
          <w:tcPr>
            <w:tcW w:w="1222" w:type="dxa"/>
            <w:vMerge/>
            <w:tcBorders>
              <w:left w:val="single" w:sz="4" w:space="0" w:color="000000"/>
              <w:right w:val="single" w:sz="4" w:space="0" w:color="000000"/>
            </w:tcBorders>
          </w:tcPr>
          <w:p>
            <w:pPr/>
          </w:p>
        </w:tc>
        <w:tc>
          <w:tcPr>
            <w:tcW w:w="1189"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189" w:type="dxa"/>
            <w:vMerge/>
            <w:tcBorders>
              <w:left w:val="single" w:sz="4" w:space="0" w:color="000000"/>
              <w:right w:val="single" w:sz="4" w:space="0" w:color="000000"/>
            </w:tcBorders>
          </w:tcPr>
          <w:p>
            <w:pPr/>
          </w:p>
        </w:tc>
        <w:tc>
          <w:tcPr>
            <w:tcW w:w="1294" w:type="dxa"/>
            <w:vMerge/>
            <w:tcBorders>
              <w:left w:val="single" w:sz="4" w:space="0" w:color="000000"/>
              <w:right w:val="single" w:sz="4" w:space="0" w:color="000000"/>
            </w:tcBorders>
          </w:tcPr>
          <w:p>
            <w:pPr/>
          </w:p>
        </w:tc>
        <w:tc>
          <w:tcPr>
            <w:tcW w:w="1312"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业、教育业，</w:t>
            </w:r>
          </w:p>
        </w:tc>
        <w:tc>
          <w:tcPr>
            <w:tcW w:w="1222" w:type="dxa"/>
            <w:vMerge/>
            <w:tcBorders>
              <w:left w:val="single" w:sz="4" w:space="0" w:color="000000"/>
              <w:right w:val="single" w:sz="4" w:space="0" w:color="000000"/>
            </w:tcBorders>
          </w:tcPr>
          <w:p>
            <w:pPr/>
          </w:p>
        </w:tc>
        <w:tc>
          <w:tcPr>
            <w:tcW w:w="1189"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189" w:type="dxa"/>
            <w:vMerge/>
            <w:tcBorders>
              <w:left w:val="single" w:sz="4" w:space="0" w:color="000000"/>
              <w:right w:val="single" w:sz="4" w:space="0" w:color="000000"/>
            </w:tcBorders>
          </w:tcPr>
          <w:p>
            <w:pPr/>
          </w:p>
        </w:tc>
        <w:tc>
          <w:tcPr>
            <w:tcW w:w="1294" w:type="dxa"/>
            <w:vMerge/>
            <w:tcBorders>
              <w:left w:val="single" w:sz="4" w:space="0" w:color="000000"/>
              <w:right w:val="single" w:sz="4" w:space="0" w:color="000000"/>
            </w:tcBorders>
          </w:tcPr>
          <w:p>
            <w:pPr/>
          </w:p>
        </w:tc>
        <w:tc>
          <w:tcPr>
            <w:tcW w:w="1312"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农业，工业、</w:t>
            </w:r>
          </w:p>
        </w:tc>
        <w:tc>
          <w:tcPr>
            <w:tcW w:w="1222" w:type="dxa"/>
            <w:vMerge/>
            <w:tcBorders>
              <w:left w:val="single" w:sz="4" w:space="0" w:color="000000"/>
              <w:right w:val="single" w:sz="4" w:space="0" w:color="000000"/>
            </w:tcBorders>
          </w:tcPr>
          <w:p>
            <w:pPr/>
          </w:p>
        </w:tc>
        <w:tc>
          <w:tcPr>
            <w:tcW w:w="1189"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189" w:type="dxa"/>
            <w:vMerge/>
            <w:tcBorders>
              <w:left w:val="single" w:sz="4" w:space="0" w:color="000000"/>
              <w:right w:val="single" w:sz="4" w:space="0" w:color="000000"/>
            </w:tcBorders>
          </w:tcPr>
          <w:p>
            <w:pPr/>
          </w:p>
        </w:tc>
        <w:tc>
          <w:tcPr>
            <w:tcW w:w="1294" w:type="dxa"/>
            <w:vMerge/>
            <w:tcBorders>
              <w:left w:val="single" w:sz="4" w:space="0" w:color="000000"/>
              <w:right w:val="single" w:sz="4" w:space="0" w:color="000000"/>
            </w:tcBorders>
          </w:tcPr>
          <w:p>
            <w:pPr/>
          </w:p>
        </w:tc>
        <w:tc>
          <w:tcPr>
            <w:tcW w:w="1312" w:type="dxa"/>
            <w:vMerge/>
            <w:tcBorders>
              <w:left w:val="single" w:sz="4" w:space="0" w:color="000000"/>
              <w:right w:val="single" w:sz="4" w:space="0" w:color="000000"/>
            </w:tcBorders>
          </w:tcPr>
          <w:p>
            <w:pPr/>
          </w:p>
        </w:tc>
      </w:tr>
      <w:tr>
        <w:trPr>
          <w:trHeight w:val="313" w:hRule="exact"/>
        </w:trPr>
        <w:tc>
          <w:tcPr>
            <w:tcW w:w="105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交通运输业</w:t>
            </w:r>
          </w:p>
        </w:tc>
        <w:tc>
          <w:tcPr>
            <w:tcW w:w="1222" w:type="dxa"/>
            <w:vMerge/>
            <w:tcBorders>
              <w:left w:val="single" w:sz="4" w:space="0" w:color="000000"/>
              <w:right w:val="single" w:sz="4" w:space="0" w:color="000000"/>
            </w:tcBorders>
          </w:tcPr>
          <w:p>
            <w:pPr/>
          </w:p>
        </w:tc>
        <w:tc>
          <w:tcPr>
            <w:tcW w:w="1189"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189" w:type="dxa"/>
            <w:vMerge/>
            <w:tcBorders>
              <w:left w:val="single" w:sz="4" w:space="0" w:color="000000"/>
              <w:right w:val="single" w:sz="4" w:space="0" w:color="000000"/>
            </w:tcBorders>
          </w:tcPr>
          <w:p>
            <w:pPr/>
          </w:p>
        </w:tc>
        <w:tc>
          <w:tcPr>
            <w:tcW w:w="1294" w:type="dxa"/>
            <w:vMerge/>
            <w:tcBorders>
              <w:left w:val="single" w:sz="4" w:space="0" w:color="000000"/>
              <w:right w:val="single" w:sz="4" w:space="0" w:color="000000"/>
            </w:tcBorders>
          </w:tcPr>
          <w:p>
            <w:pPr/>
          </w:p>
        </w:tc>
        <w:tc>
          <w:tcPr>
            <w:tcW w:w="1312" w:type="dxa"/>
            <w:vMerge/>
            <w:tcBorders>
              <w:left w:val="single" w:sz="4" w:space="0" w:color="000000"/>
              <w:right w:val="single" w:sz="4" w:space="0" w:color="000000"/>
            </w:tcBorders>
          </w:tcPr>
          <w:p>
            <w:pPr/>
          </w:p>
        </w:tc>
      </w:tr>
      <w:tr>
        <w:trPr>
          <w:trHeight w:val="357" w:hRule="exact"/>
        </w:trPr>
        <w:tc>
          <w:tcPr>
            <w:tcW w:w="105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的投资</w:t>
            </w:r>
          </w:p>
        </w:tc>
        <w:tc>
          <w:tcPr>
            <w:tcW w:w="1222" w:type="dxa"/>
            <w:vMerge/>
            <w:tcBorders>
              <w:left w:val="single" w:sz="4" w:space="0" w:color="000000"/>
              <w:bottom w:val="single" w:sz="4" w:space="0" w:color="000000"/>
              <w:right w:val="single" w:sz="4" w:space="0" w:color="000000"/>
            </w:tcBorders>
          </w:tcPr>
          <w:p>
            <w:pPr/>
          </w:p>
        </w:tc>
        <w:tc>
          <w:tcPr>
            <w:tcW w:w="1189"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189" w:type="dxa"/>
            <w:vMerge/>
            <w:tcBorders>
              <w:left w:val="single" w:sz="4" w:space="0" w:color="000000"/>
              <w:bottom w:val="single" w:sz="4" w:space="0" w:color="000000"/>
              <w:right w:val="single" w:sz="4" w:space="0" w:color="000000"/>
            </w:tcBorders>
          </w:tcPr>
          <w:p>
            <w:pPr/>
          </w:p>
        </w:tc>
        <w:tc>
          <w:tcPr>
            <w:tcW w:w="1294" w:type="dxa"/>
            <w:vMerge/>
            <w:tcBorders>
              <w:left w:val="single" w:sz="4" w:space="0" w:color="000000"/>
              <w:bottom w:val="single" w:sz="4" w:space="0" w:color="000000"/>
              <w:right w:val="single" w:sz="4" w:space="0" w:color="000000"/>
            </w:tcBorders>
          </w:tcPr>
          <w:p>
            <w:pPr/>
          </w:p>
        </w:tc>
        <w:tc>
          <w:tcPr>
            <w:tcW w:w="1312" w:type="dxa"/>
            <w:vMerge/>
            <w:tcBorders>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93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对外投资，国</w:t>
            </w:r>
          </w:p>
        </w:tc>
        <w:tc>
          <w:tcPr>
            <w:tcW w:w="1222" w:type="dxa"/>
            <w:tcBorders>
              <w:top w:val="single" w:sz="4" w:space="0" w:color="000000"/>
              <w:left w:val="single" w:sz="4" w:space="0" w:color="000000"/>
              <w:bottom w:val="nil" w:sz="6" w:space="0" w:color="auto"/>
              <w:right w:val="single" w:sz="4" w:space="0" w:color="000000"/>
            </w:tcBorders>
          </w:tcPr>
          <w:p>
            <w:pPr/>
          </w:p>
        </w:tc>
        <w:tc>
          <w:tcPr>
            <w:tcW w:w="1189"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189" w:type="dxa"/>
            <w:vMerge w:val="restart"/>
            <w:tcBorders>
              <w:top w:val="single" w:sz="4" w:space="0" w:color="000000"/>
              <w:left w:val="single" w:sz="4" w:space="0" w:color="000000"/>
              <w:right w:val="single" w:sz="4" w:space="0" w:color="000000"/>
            </w:tcBorders>
          </w:tcPr>
          <w:p>
            <w:pPr/>
          </w:p>
        </w:tc>
        <w:tc>
          <w:tcPr>
            <w:tcW w:w="1294" w:type="dxa"/>
            <w:tcBorders>
              <w:top w:val="single" w:sz="4" w:space="0" w:color="000000"/>
              <w:left w:val="single" w:sz="4" w:space="0" w:color="000000"/>
              <w:bottom w:val="nil" w:sz="6" w:space="0" w:color="auto"/>
              <w:right w:val="single" w:sz="4" w:space="0" w:color="000000"/>
            </w:tcBorders>
          </w:tcPr>
          <w:p>
            <w:pPr/>
          </w:p>
        </w:tc>
        <w:tc>
          <w:tcPr>
            <w:tcW w:w="1312"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93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际市场合作</w:t>
            </w:r>
          </w:p>
        </w:tc>
        <w:tc>
          <w:tcPr>
            <w:tcW w:w="1222"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189" w:type="dxa"/>
            <w:vMerge/>
            <w:tcBorders>
              <w:left w:val="single" w:sz="4" w:space="0" w:color="000000"/>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r>
      <w:tr>
        <w:trPr>
          <w:trHeight w:val="62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19"/>
              <w:jc w:val="left"/>
              <w:rPr>
                <w:rFonts w:ascii="宋体" w:hAnsi="宋体" w:cs="宋体" w:eastAsia="宋体" w:hint="default"/>
                <w:sz w:val="18"/>
                <w:szCs w:val="18"/>
              </w:rPr>
            </w:pPr>
            <w:r>
              <w:rPr>
                <w:rFonts w:ascii="宋体" w:hAnsi="宋体" w:cs="宋体" w:eastAsia="宋体" w:hint="default"/>
                <w:sz w:val="18"/>
                <w:szCs w:val="18"/>
              </w:rPr>
              <w:t>榕基国际投 资有限公司</w:t>
            </w:r>
          </w:p>
        </w:tc>
        <w:tc>
          <w:tcPr>
            <w:tcW w:w="93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开发，进出口 贸易，计算机</w:t>
            </w:r>
          </w:p>
        </w:tc>
        <w:tc>
          <w:tcPr>
            <w:tcW w:w="12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港币</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200,000,000.00</w:t>
            </w:r>
          </w:p>
        </w:tc>
        <w:tc>
          <w:tcPr>
            <w:tcW w:w="1189"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86,479,898.94</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86,473,128.07</w:t>
            </w:r>
          </w:p>
        </w:tc>
        <w:tc>
          <w:tcPr>
            <w:tcW w:w="1189" w:type="dxa"/>
            <w:vMerge/>
            <w:tcBorders>
              <w:left w:val="single" w:sz="4" w:space="0" w:color="000000"/>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1,306,632.25</w:t>
            </w:r>
          </w:p>
        </w:tc>
        <w:tc>
          <w:tcPr>
            <w:tcW w:w="1312"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1,306,632.25</w:t>
            </w:r>
          </w:p>
        </w:tc>
      </w:tr>
      <w:tr>
        <w:trPr>
          <w:trHeight w:val="308" w:hRule="exact"/>
        </w:trPr>
        <w:tc>
          <w:tcPr>
            <w:tcW w:w="1054" w:type="dxa"/>
            <w:tcBorders>
              <w:top w:val="nil" w:sz="6" w:space="0" w:color="auto"/>
              <w:left w:val="single" w:sz="4" w:space="0" w:color="000000"/>
              <w:bottom w:val="nil" w:sz="6" w:space="0" w:color="auto"/>
              <w:right w:val="single" w:sz="4" w:space="0" w:color="000000"/>
            </w:tcBorders>
          </w:tcPr>
          <w:p>
            <w:pPr/>
          </w:p>
        </w:tc>
        <w:tc>
          <w:tcPr>
            <w:tcW w:w="93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软硬件销售</w:t>
            </w:r>
          </w:p>
        </w:tc>
        <w:tc>
          <w:tcPr>
            <w:tcW w:w="1222"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189" w:type="dxa"/>
            <w:vMerge/>
            <w:tcBorders>
              <w:left w:val="single" w:sz="4" w:space="0" w:color="000000"/>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93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222" w:type="dxa"/>
            <w:tcBorders>
              <w:top w:val="nil" w:sz="6" w:space="0" w:color="auto"/>
              <w:left w:val="single" w:sz="4" w:space="0" w:color="000000"/>
              <w:bottom w:val="single" w:sz="4" w:space="0" w:color="000000"/>
              <w:right w:val="single" w:sz="4" w:space="0" w:color="000000"/>
            </w:tcBorders>
          </w:tcPr>
          <w:p>
            <w:pPr/>
          </w:p>
        </w:tc>
        <w:tc>
          <w:tcPr>
            <w:tcW w:w="1189"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189" w:type="dxa"/>
            <w:vMerge/>
            <w:tcBorders>
              <w:left w:val="single" w:sz="4" w:space="0" w:color="000000"/>
              <w:bottom w:val="single" w:sz="4" w:space="0" w:color="000000"/>
              <w:right w:val="single" w:sz="4" w:space="0" w:color="000000"/>
            </w:tcBorders>
          </w:tcPr>
          <w:p>
            <w:pPr/>
          </w:p>
        </w:tc>
        <w:tc>
          <w:tcPr>
            <w:tcW w:w="1294" w:type="dxa"/>
            <w:tcBorders>
              <w:top w:val="nil" w:sz="6" w:space="0" w:color="auto"/>
              <w:left w:val="single" w:sz="4" w:space="0" w:color="000000"/>
              <w:bottom w:val="single" w:sz="4" w:space="0" w:color="000000"/>
              <w:right w:val="single" w:sz="4" w:space="0" w:color="000000"/>
            </w:tcBorders>
          </w:tcPr>
          <w:p>
            <w:pPr/>
          </w:p>
        </w:tc>
        <w:tc>
          <w:tcPr>
            <w:tcW w:w="1312"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93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222" w:type="dxa"/>
            <w:tcBorders>
              <w:top w:val="single" w:sz="4" w:space="0" w:color="000000"/>
              <w:left w:val="single" w:sz="4" w:space="0" w:color="000000"/>
              <w:bottom w:val="nil" w:sz="6" w:space="0" w:color="auto"/>
              <w:right w:val="single" w:sz="4" w:space="0" w:color="000000"/>
            </w:tcBorders>
          </w:tcPr>
          <w:p>
            <w:pPr/>
          </w:p>
        </w:tc>
        <w:tc>
          <w:tcPr>
            <w:tcW w:w="1189"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189" w:type="dxa"/>
            <w:tcBorders>
              <w:top w:val="single" w:sz="4" w:space="0" w:color="000000"/>
              <w:left w:val="single" w:sz="4" w:space="0" w:color="000000"/>
              <w:bottom w:val="nil" w:sz="6" w:space="0" w:color="auto"/>
              <w:right w:val="single" w:sz="4" w:space="0" w:color="000000"/>
            </w:tcBorders>
          </w:tcPr>
          <w:p>
            <w:pPr/>
          </w:p>
        </w:tc>
        <w:tc>
          <w:tcPr>
            <w:tcW w:w="1294" w:type="dxa"/>
            <w:tcBorders>
              <w:top w:val="single" w:sz="4" w:space="0" w:color="000000"/>
              <w:left w:val="single" w:sz="4" w:space="0" w:color="000000"/>
              <w:bottom w:val="nil" w:sz="6" w:space="0" w:color="auto"/>
              <w:right w:val="single" w:sz="4" w:space="0" w:color="000000"/>
            </w:tcBorders>
          </w:tcPr>
          <w:p>
            <w:pPr/>
          </w:p>
        </w:tc>
        <w:tc>
          <w:tcPr>
            <w:tcW w:w="1312"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信阳榕基信 息技术有限 公司</w:t>
            </w:r>
          </w:p>
        </w:tc>
        <w:tc>
          <w:tcPr>
            <w:tcW w:w="93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开发、计算机 硬件技术服 务、产品销 售、技术服</w:t>
            </w:r>
          </w:p>
        </w:tc>
        <w:tc>
          <w:tcPr>
            <w:tcW w:w="122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21,000,000.00</w:t>
            </w:r>
          </w:p>
        </w:tc>
        <w:tc>
          <w:tcPr>
            <w:tcW w:w="118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237,708,024.93</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-3,473,122.64</w:t>
            </w:r>
          </w:p>
        </w:tc>
        <w:tc>
          <w:tcPr>
            <w:tcW w:w="118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-7,890,841.21</w:t>
            </w:r>
          </w:p>
        </w:tc>
        <w:tc>
          <w:tcPr>
            <w:tcW w:w="131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-7,990,548.25</w:t>
            </w: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93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务、系统集成</w:t>
            </w:r>
          </w:p>
        </w:tc>
        <w:tc>
          <w:tcPr>
            <w:tcW w:w="1222" w:type="dxa"/>
            <w:tcBorders>
              <w:top w:val="nil" w:sz="6" w:space="0" w:color="auto"/>
              <w:left w:val="single" w:sz="4" w:space="0" w:color="000000"/>
              <w:bottom w:val="single" w:sz="4" w:space="0" w:color="000000"/>
              <w:right w:val="single" w:sz="4" w:space="0" w:color="000000"/>
            </w:tcBorders>
          </w:tcPr>
          <w:p>
            <w:pPr/>
          </w:p>
        </w:tc>
        <w:tc>
          <w:tcPr>
            <w:tcW w:w="1189"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189" w:type="dxa"/>
            <w:tcBorders>
              <w:top w:val="nil" w:sz="6" w:space="0" w:color="auto"/>
              <w:left w:val="single" w:sz="4" w:space="0" w:color="000000"/>
              <w:bottom w:val="single" w:sz="4" w:space="0" w:color="000000"/>
              <w:right w:val="single" w:sz="4" w:space="0" w:color="000000"/>
            </w:tcBorders>
          </w:tcPr>
          <w:p>
            <w:pPr/>
          </w:p>
        </w:tc>
        <w:tc>
          <w:tcPr>
            <w:tcW w:w="1294" w:type="dxa"/>
            <w:tcBorders>
              <w:top w:val="nil" w:sz="6" w:space="0" w:color="auto"/>
              <w:left w:val="single" w:sz="4" w:space="0" w:color="000000"/>
              <w:bottom w:val="single" w:sz="4" w:space="0" w:color="000000"/>
              <w:right w:val="single" w:sz="4" w:space="0" w:color="000000"/>
            </w:tcBorders>
          </w:tcPr>
          <w:p>
            <w:pPr/>
          </w:p>
        </w:tc>
        <w:tc>
          <w:tcPr>
            <w:tcW w:w="1312"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93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电子产品的</w:t>
            </w:r>
          </w:p>
        </w:tc>
        <w:tc>
          <w:tcPr>
            <w:tcW w:w="1222" w:type="dxa"/>
            <w:tcBorders>
              <w:top w:val="single" w:sz="4" w:space="0" w:color="000000"/>
              <w:left w:val="single" w:sz="4" w:space="0" w:color="000000"/>
              <w:bottom w:val="nil" w:sz="6" w:space="0" w:color="auto"/>
              <w:right w:val="single" w:sz="4" w:space="0" w:color="000000"/>
            </w:tcBorders>
          </w:tcPr>
          <w:p>
            <w:pPr/>
          </w:p>
        </w:tc>
        <w:tc>
          <w:tcPr>
            <w:tcW w:w="1189"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189" w:type="dxa"/>
            <w:tcBorders>
              <w:top w:val="single" w:sz="4" w:space="0" w:color="000000"/>
              <w:left w:val="single" w:sz="4" w:space="0" w:color="000000"/>
              <w:bottom w:val="nil" w:sz="6" w:space="0" w:color="auto"/>
              <w:right w:val="single" w:sz="4" w:space="0" w:color="000000"/>
            </w:tcBorders>
          </w:tcPr>
          <w:p>
            <w:pPr/>
          </w:p>
        </w:tc>
        <w:tc>
          <w:tcPr>
            <w:tcW w:w="1294" w:type="dxa"/>
            <w:tcBorders>
              <w:top w:val="single" w:sz="4" w:space="0" w:color="000000"/>
              <w:left w:val="single" w:sz="4" w:space="0" w:color="000000"/>
              <w:bottom w:val="nil" w:sz="6" w:space="0" w:color="auto"/>
              <w:right w:val="single" w:sz="4" w:space="0" w:color="000000"/>
            </w:tcBorders>
          </w:tcPr>
          <w:p>
            <w:pPr/>
          </w:p>
        </w:tc>
        <w:tc>
          <w:tcPr>
            <w:tcW w:w="1312"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93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研发、制造、</w:t>
            </w:r>
          </w:p>
        </w:tc>
        <w:tc>
          <w:tcPr>
            <w:tcW w:w="1222"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93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销售；计算</w:t>
            </w:r>
          </w:p>
        </w:tc>
        <w:tc>
          <w:tcPr>
            <w:tcW w:w="1222"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福建星榕基 信息科技有 限责任公司</w:t>
            </w:r>
          </w:p>
        </w:tc>
        <w:tc>
          <w:tcPr>
            <w:tcW w:w="93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9"/>
              <w:jc w:val="left"/>
              <w:rPr>
                <w:rFonts w:ascii="宋体" w:hAnsi="宋体" w:cs="宋体" w:eastAsia="宋体" w:hint="default"/>
                <w:sz w:val="18"/>
                <w:szCs w:val="18"/>
              </w:rPr>
            </w:pPr>
            <w:r>
              <w:rPr>
                <w:rFonts w:ascii="宋体" w:hAnsi="宋体" w:cs="宋体" w:eastAsia="宋体" w:hint="default"/>
                <w:sz w:val="18"/>
                <w:szCs w:val="18"/>
              </w:rPr>
              <w:t>机、软件及辅 助设备的批 发、零售；国 内贸易代理；</w:t>
            </w:r>
          </w:p>
        </w:tc>
        <w:tc>
          <w:tcPr>
            <w:tcW w:w="122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50,000,000.00</w:t>
            </w:r>
          </w:p>
        </w:tc>
        <w:tc>
          <w:tcPr>
            <w:tcW w:w="118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75,816,768.01</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58,752,668.63</w:t>
            </w:r>
          </w:p>
        </w:tc>
        <w:tc>
          <w:tcPr>
            <w:tcW w:w="118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31,124,474.58</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3,666,812.40</w:t>
            </w:r>
          </w:p>
        </w:tc>
        <w:tc>
          <w:tcPr>
            <w:tcW w:w="131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3,919,955.80</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93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信息技术咨</w:t>
            </w:r>
          </w:p>
        </w:tc>
        <w:tc>
          <w:tcPr>
            <w:tcW w:w="1222"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54" w:type="dxa"/>
            <w:tcBorders>
              <w:top w:val="nil" w:sz="6" w:space="0" w:color="auto"/>
              <w:left w:val="single" w:sz="4" w:space="0" w:color="000000"/>
              <w:bottom w:val="nil" w:sz="6" w:space="0" w:color="auto"/>
              <w:right w:val="single" w:sz="4" w:space="0" w:color="000000"/>
            </w:tcBorders>
          </w:tcPr>
          <w:p>
            <w:pPr/>
          </w:p>
        </w:tc>
        <w:tc>
          <w:tcPr>
            <w:tcW w:w="93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询服务；对外</w:t>
            </w:r>
          </w:p>
        </w:tc>
        <w:tc>
          <w:tcPr>
            <w:tcW w:w="1222"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93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222" w:type="dxa"/>
            <w:tcBorders>
              <w:top w:val="nil" w:sz="6" w:space="0" w:color="auto"/>
              <w:left w:val="single" w:sz="4" w:space="0" w:color="000000"/>
              <w:bottom w:val="single" w:sz="4" w:space="0" w:color="000000"/>
              <w:right w:val="single" w:sz="4" w:space="0" w:color="000000"/>
            </w:tcBorders>
          </w:tcPr>
          <w:p>
            <w:pPr/>
          </w:p>
        </w:tc>
        <w:tc>
          <w:tcPr>
            <w:tcW w:w="1189"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189" w:type="dxa"/>
            <w:tcBorders>
              <w:top w:val="nil" w:sz="6" w:space="0" w:color="auto"/>
              <w:left w:val="single" w:sz="4" w:space="0" w:color="000000"/>
              <w:bottom w:val="single" w:sz="4" w:space="0" w:color="000000"/>
              <w:right w:val="single" w:sz="4" w:space="0" w:color="000000"/>
            </w:tcBorders>
          </w:tcPr>
          <w:p>
            <w:pPr/>
          </w:p>
        </w:tc>
        <w:tc>
          <w:tcPr>
            <w:tcW w:w="1294" w:type="dxa"/>
            <w:tcBorders>
              <w:top w:val="nil" w:sz="6" w:space="0" w:color="auto"/>
              <w:left w:val="single" w:sz="4" w:space="0" w:color="000000"/>
              <w:bottom w:val="single" w:sz="4" w:space="0" w:color="000000"/>
              <w:right w:val="single" w:sz="4" w:space="0" w:color="000000"/>
            </w:tcBorders>
          </w:tcPr>
          <w:p>
            <w:pPr/>
          </w:p>
        </w:tc>
        <w:tc>
          <w:tcPr>
            <w:tcW w:w="1312"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93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计算机及网</w:t>
            </w:r>
          </w:p>
        </w:tc>
        <w:tc>
          <w:tcPr>
            <w:tcW w:w="1222" w:type="dxa"/>
            <w:tcBorders>
              <w:top w:val="single" w:sz="4" w:space="0" w:color="000000"/>
              <w:left w:val="single" w:sz="4" w:space="0" w:color="000000"/>
              <w:bottom w:val="nil" w:sz="6" w:space="0" w:color="auto"/>
              <w:right w:val="single" w:sz="4" w:space="0" w:color="000000"/>
            </w:tcBorders>
          </w:tcPr>
          <w:p>
            <w:pPr/>
          </w:p>
        </w:tc>
        <w:tc>
          <w:tcPr>
            <w:tcW w:w="1189"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189" w:type="dxa"/>
            <w:tcBorders>
              <w:top w:val="single" w:sz="4" w:space="0" w:color="000000"/>
              <w:left w:val="single" w:sz="4" w:space="0" w:color="000000"/>
              <w:bottom w:val="nil" w:sz="6" w:space="0" w:color="auto"/>
              <w:right w:val="single" w:sz="4" w:space="0" w:color="000000"/>
            </w:tcBorders>
          </w:tcPr>
          <w:p>
            <w:pPr/>
          </w:p>
        </w:tc>
        <w:tc>
          <w:tcPr>
            <w:tcW w:w="1294" w:type="dxa"/>
            <w:tcBorders>
              <w:top w:val="single" w:sz="4" w:space="0" w:color="000000"/>
              <w:left w:val="single" w:sz="4" w:space="0" w:color="000000"/>
              <w:bottom w:val="nil" w:sz="6" w:space="0" w:color="auto"/>
              <w:right w:val="single" w:sz="4" w:space="0" w:color="000000"/>
            </w:tcBorders>
          </w:tcPr>
          <w:p>
            <w:pPr/>
          </w:p>
        </w:tc>
        <w:tc>
          <w:tcPr>
            <w:tcW w:w="1312"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93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络软件开发</w:t>
            </w:r>
          </w:p>
        </w:tc>
        <w:tc>
          <w:tcPr>
            <w:tcW w:w="1222"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马鞍山榕基</w:t>
            </w:r>
          </w:p>
        </w:tc>
        <w:tc>
          <w:tcPr>
            <w:tcW w:w="93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服务、计算机</w:t>
            </w:r>
          </w:p>
        </w:tc>
        <w:tc>
          <w:tcPr>
            <w:tcW w:w="1222"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软件信息科</w:t>
            </w:r>
          </w:p>
        </w:tc>
        <w:tc>
          <w:tcPr>
            <w:tcW w:w="93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硬件技术服</w:t>
            </w:r>
          </w:p>
        </w:tc>
        <w:tc>
          <w:tcPr>
            <w:tcW w:w="122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50,000,000.00</w:t>
            </w:r>
          </w:p>
        </w:tc>
        <w:tc>
          <w:tcPr>
            <w:tcW w:w="118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147,566,374.37</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33,819,351.35</w:t>
            </w:r>
          </w:p>
        </w:tc>
        <w:tc>
          <w:tcPr>
            <w:tcW w:w="118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232,017.09</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-11,539,169.96</w:t>
            </w:r>
          </w:p>
        </w:tc>
        <w:tc>
          <w:tcPr>
            <w:tcW w:w="131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-11,539,001.63</w:t>
            </w:r>
          </w:p>
        </w:tc>
      </w:tr>
      <w:tr>
        <w:trPr>
          <w:trHeight w:val="30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93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务、电子计算</w:t>
            </w:r>
          </w:p>
        </w:tc>
        <w:tc>
          <w:tcPr>
            <w:tcW w:w="1222"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93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机及配件的</w:t>
            </w:r>
          </w:p>
        </w:tc>
        <w:tc>
          <w:tcPr>
            <w:tcW w:w="1222"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93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批发</w:t>
            </w:r>
          </w:p>
        </w:tc>
        <w:tc>
          <w:tcPr>
            <w:tcW w:w="1222" w:type="dxa"/>
            <w:tcBorders>
              <w:top w:val="nil" w:sz="6" w:space="0" w:color="auto"/>
              <w:left w:val="single" w:sz="4" w:space="0" w:color="000000"/>
              <w:bottom w:val="single" w:sz="4" w:space="0" w:color="000000"/>
              <w:right w:val="single" w:sz="4" w:space="0" w:color="000000"/>
            </w:tcBorders>
          </w:tcPr>
          <w:p>
            <w:pPr/>
          </w:p>
        </w:tc>
        <w:tc>
          <w:tcPr>
            <w:tcW w:w="1189"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189" w:type="dxa"/>
            <w:tcBorders>
              <w:top w:val="nil" w:sz="6" w:space="0" w:color="auto"/>
              <w:left w:val="single" w:sz="4" w:space="0" w:color="000000"/>
              <w:bottom w:val="single" w:sz="4" w:space="0" w:color="000000"/>
              <w:right w:val="single" w:sz="4" w:space="0" w:color="000000"/>
            </w:tcBorders>
          </w:tcPr>
          <w:p>
            <w:pPr/>
          </w:p>
        </w:tc>
        <w:tc>
          <w:tcPr>
            <w:tcW w:w="1294" w:type="dxa"/>
            <w:tcBorders>
              <w:top w:val="nil" w:sz="6" w:space="0" w:color="auto"/>
              <w:left w:val="single" w:sz="4" w:space="0" w:color="000000"/>
              <w:bottom w:val="single" w:sz="4" w:space="0" w:color="000000"/>
              <w:right w:val="single" w:sz="4" w:space="0" w:color="000000"/>
            </w:tcBorders>
          </w:tcPr>
          <w:p>
            <w:pPr/>
          </w:p>
        </w:tc>
        <w:tc>
          <w:tcPr>
            <w:tcW w:w="1312"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93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电力行业协</w:t>
            </w:r>
          </w:p>
        </w:tc>
        <w:tc>
          <w:tcPr>
            <w:tcW w:w="1222" w:type="dxa"/>
            <w:tcBorders>
              <w:top w:val="single" w:sz="4" w:space="0" w:color="000000"/>
              <w:left w:val="single" w:sz="4" w:space="0" w:color="000000"/>
              <w:bottom w:val="nil" w:sz="6" w:space="0" w:color="auto"/>
              <w:right w:val="single" w:sz="4" w:space="0" w:color="000000"/>
            </w:tcBorders>
          </w:tcPr>
          <w:p>
            <w:pPr/>
          </w:p>
        </w:tc>
        <w:tc>
          <w:tcPr>
            <w:tcW w:w="1189"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189" w:type="dxa"/>
            <w:tcBorders>
              <w:top w:val="single" w:sz="4" w:space="0" w:color="000000"/>
              <w:left w:val="single" w:sz="4" w:space="0" w:color="000000"/>
              <w:bottom w:val="nil" w:sz="6" w:space="0" w:color="auto"/>
              <w:right w:val="single" w:sz="4" w:space="0" w:color="000000"/>
            </w:tcBorders>
          </w:tcPr>
          <w:p>
            <w:pPr/>
          </w:p>
        </w:tc>
        <w:tc>
          <w:tcPr>
            <w:tcW w:w="1294" w:type="dxa"/>
            <w:tcBorders>
              <w:top w:val="single" w:sz="4" w:space="0" w:color="000000"/>
              <w:left w:val="single" w:sz="4" w:space="0" w:color="000000"/>
              <w:bottom w:val="nil" w:sz="6" w:space="0" w:color="auto"/>
              <w:right w:val="single" w:sz="4" w:space="0" w:color="000000"/>
            </w:tcBorders>
          </w:tcPr>
          <w:p>
            <w:pPr/>
          </w:p>
        </w:tc>
        <w:tc>
          <w:tcPr>
            <w:tcW w:w="1312"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93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同办公系统、</w:t>
            </w:r>
          </w:p>
        </w:tc>
        <w:tc>
          <w:tcPr>
            <w:tcW w:w="1222"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福建亿榕信</w:t>
            </w:r>
          </w:p>
        </w:tc>
        <w:tc>
          <w:tcPr>
            <w:tcW w:w="93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电力仪器仪</w:t>
            </w:r>
          </w:p>
        </w:tc>
        <w:tc>
          <w:tcPr>
            <w:tcW w:w="1222"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息技术有限</w:t>
            </w:r>
          </w:p>
        </w:tc>
        <w:tc>
          <w:tcPr>
            <w:tcW w:w="93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表、电能计量</w:t>
            </w:r>
          </w:p>
        </w:tc>
        <w:tc>
          <w:tcPr>
            <w:tcW w:w="122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60,000,000.00</w:t>
            </w:r>
          </w:p>
        </w:tc>
        <w:tc>
          <w:tcPr>
            <w:tcW w:w="118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465,414,386.46</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194,345,635.02</w:t>
            </w:r>
          </w:p>
        </w:tc>
        <w:tc>
          <w:tcPr>
            <w:tcW w:w="118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565,737,816.01</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50,424,984.09</w:t>
            </w:r>
          </w:p>
        </w:tc>
        <w:tc>
          <w:tcPr>
            <w:tcW w:w="131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48,538,209.38</w:t>
            </w:r>
          </w:p>
        </w:tc>
      </w:tr>
      <w:tr>
        <w:trPr>
          <w:trHeight w:val="30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3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设备和电力</w:t>
            </w:r>
          </w:p>
        </w:tc>
        <w:tc>
          <w:tcPr>
            <w:tcW w:w="1222"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93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信息化建设</w:t>
            </w:r>
          </w:p>
        </w:tc>
        <w:tc>
          <w:tcPr>
            <w:tcW w:w="1222"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93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咨询服务等</w:t>
            </w:r>
          </w:p>
        </w:tc>
        <w:tc>
          <w:tcPr>
            <w:tcW w:w="1222" w:type="dxa"/>
            <w:tcBorders>
              <w:top w:val="nil" w:sz="6" w:space="0" w:color="auto"/>
              <w:left w:val="single" w:sz="4" w:space="0" w:color="000000"/>
              <w:bottom w:val="single" w:sz="4" w:space="0" w:color="000000"/>
              <w:right w:val="single" w:sz="4" w:space="0" w:color="000000"/>
            </w:tcBorders>
          </w:tcPr>
          <w:p>
            <w:pPr/>
          </w:p>
        </w:tc>
        <w:tc>
          <w:tcPr>
            <w:tcW w:w="1189"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189" w:type="dxa"/>
            <w:tcBorders>
              <w:top w:val="nil" w:sz="6" w:space="0" w:color="auto"/>
              <w:left w:val="single" w:sz="4" w:space="0" w:color="000000"/>
              <w:bottom w:val="single" w:sz="4" w:space="0" w:color="000000"/>
              <w:right w:val="single" w:sz="4" w:space="0" w:color="000000"/>
            </w:tcBorders>
          </w:tcPr>
          <w:p>
            <w:pPr/>
          </w:p>
        </w:tc>
        <w:tc>
          <w:tcPr>
            <w:tcW w:w="1294" w:type="dxa"/>
            <w:tcBorders>
              <w:top w:val="nil" w:sz="6" w:space="0" w:color="auto"/>
              <w:left w:val="single" w:sz="4" w:space="0" w:color="000000"/>
              <w:bottom w:val="single" w:sz="4" w:space="0" w:color="000000"/>
              <w:right w:val="single" w:sz="4" w:space="0" w:color="000000"/>
            </w:tcBorders>
          </w:tcPr>
          <w:p>
            <w:pPr/>
          </w:p>
        </w:tc>
        <w:tc>
          <w:tcPr>
            <w:tcW w:w="131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540" w:right="540"/>
        </w:sectPr>
      </w:pPr>
    </w:p>
    <w:p>
      <w:pPr>
        <w:spacing w:line="240" w:lineRule="auto" w:before="10"/>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1054"/>
        <w:gridCol w:w="931"/>
        <w:gridCol w:w="1134"/>
        <w:gridCol w:w="1222"/>
        <w:gridCol w:w="1189"/>
        <w:gridCol w:w="1274"/>
        <w:gridCol w:w="1189"/>
        <w:gridCol w:w="1294"/>
        <w:gridCol w:w="1312"/>
      </w:tblGrid>
      <w:tr>
        <w:trPr>
          <w:trHeight w:val="358" w:hRule="exact"/>
        </w:trPr>
        <w:tc>
          <w:tcPr>
            <w:tcW w:w="1054" w:type="dxa"/>
            <w:tcBorders>
              <w:top w:val="single" w:sz="4" w:space="0" w:color="000000"/>
              <w:left w:val="single" w:sz="4" w:space="0" w:color="000000"/>
              <w:bottom w:val="nil" w:sz="6" w:space="0" w:color="auto"/>
              <w:right w:val="single" w:sz="4" w:space="0" w:color="000000"/>
            </w:tcBorders>
          </w:tcPr>
          <w:p>
            <w:pPr/>
          </w:p>
        </w:tc>
        <w:tc>
          <w:tcPr>
            <w:tcW w:w="93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莲子种植及</w:t>
            </w:r>
          </w:p>
        </w:tc>
        <w:tc>
          <w:tcPr>
            <w:tcW w:w="1222" w:type="dxa"/>
            <w:tcBorders>
              <w:top w:val="single" w:sz="4" w:space="0" w:color="000000"/>
              <w:left w:val="single" w:sz="4" w:space="0" w:color="000000"/>
              <w:bottom w:val="nil" w:sz="6" w:space="0" w:color="auto"/>
              <w:right w:val="single" w:sz="4" w:space="0" w:color="000000"/>
            </w:tcBorders>
          </w:tcPr>
          <w:p>
            <w:pPr/>
          </w:p>
        </w:tc>
        <w:tc>
          <w:tcPr>
            <w:tcW w:w="1189"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189" w:type="dxa"/>
            <w:tcBorders>
              <w:top w:val="single" w:sz="4" w:space="0" w:color="000000"/>
              <w:left w:val="single" w:sz="4" w:space="0" w:color="000000"/>
              <w:bottom w:val="nil" w:sz="6" w:space="0" w:color="auto"/>
              <w:right w:val="single" w:sz="4" w:space="0" w:color="000000"/>
            </w:tcBorders>
          </w:tcPr>
          <w:p>
            <w:pPr/>
          </w:p>
        </w:tc>
        <w:tc>
          <w:tcPr>
            <w:tcW w:w="1294" w:type="dxa"/>
            <w:tcBorders>
              <w:top w:val="single" w:sz="4" w:space="0" w:color="000000"/>
              <w:left w:val="single" w:sz="4" w:space="0" w:color="000000"/>
              <w:bottom w:val="nil" w:sz="6" w:space="0" w:color="auto"/>
              <w:right w:val="single" w:sz="4" w:space="0" w:color="000000"/>
            </w:tcBorders>
          </w:tcPr>
          <w:p>
            <w:pPr/>
          </w:p>
        </w:tc>
        <w:tc>
          <w:tcPr>
            <w:tcW w:w="131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93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初级农产品</w:t>
            </w:r>
          </w:p>
        </w:tc>
        <w:tc>
          <w:tcPr>
            <w:tcW w:w="1222"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93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的初加工、销</w:t>
            </w:r>
          </w:p>
        </w:tc>
        <w:tc>
          <w:tcPr>
            <w:tcW w:w="1222"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福建文鑫莲 业食品有限 公司</w:t>
            </w:r>
          </w:p>
        </w:tc>
        <w:tc>
          <w:tcPr>
            <w:tcW w:w="93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售和产品研 发；预包装食 品和散装食 品的批发零</w:t>
            </w:r>
          </w:p>
        </w:tc>
        <w:tc>
          <w:tcPr>
            <w:tcW w:w="122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59,600,000.00</w:t>
            </w:r>
          </w:p>
        </w:tc>
        <w:tc>
          <w:tcPr>
            <w:tcW w:w="118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31" w:right="0"/>
              <w:jc w:val="left"/>
              <w:rPr>
                <w:rFonts w:ascii="Times New Roman" w:hAnsi="Times New Roman" w:cs="Times New Roman" w:eastAsia="Times New Roman" w:hint="default"/>
                <w:sz w:val="18"/>
                <w:szCs w:val="18"/>
              </w:rPr>
            </w:pPr>
            <w:r>
              <w:rPr>
                <w:rFonts w:ascii="Times New Roman"/>
                <w:sz w:val="18"/>
              </w:rPr>
              <w:t>214,062,821.89</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17" w:right="0"/>
              <w:jc w:val="left"/>
              <w:rPr>
                <w:rFonts w:ascii="Times New Roman" w:hAnsi="Times New Roman" w:cs="Times New Roman" w:eastAsia="Times New Roman" w:hint="default"/>
                <w:sz w:val="18"/>
                <w:szCs w:val="18"/>
              </w:rPr>
            </w:pPr>
            <w:r>
              <w:rPr>
                <w:rFonts w:ascii="Times New Roman"/>
                <w:sz w:val="18"/>
              </w:rPr>
              <w:t>108,392,586.80</w:t>
            </w:r>
          </w:p>
        </w:tc>
        <w:tc>
          <w:tcPr>
            <w:tcW w:w="118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21" w:right="0"/>
              <w:jc w:val="left"/>
              <w:rPr>
                <w:rFonts w:ascii="Times New Roman" w:hAnsi="Times New Roman" w:cs="Times New Roman" w:eastAsia="Times New Roman" w:hint="default"/>
                <w:sz w:val="18"/>
                <w:szCs w:val="18"/>
              </w:rPr>
            </w:pPr>
            <w:r>
              <w:rPr>
                <w:rFonts w:ascii="Times New Roman"/>
                <w:sz w:val="18"/>
              </w:rPr>
              <w:t>72,123,157.10</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56" w:right="0"/>
              <w:jc w:val="left"/>
              <w:rPr>
                <w:rFonts w:ascii="Times New Roman" w:hAnsi="Times New Roman" w:cs="Times New Roman" w:eastAsia="Times New Roman" w:hint="default"/>
                <w:sz w:val="18"/>
                <w:szCs w:val="18"/>
              </w:rPr>
            </w:pPr>
            <w:r>
              <w:rPr>
                <w:rFonts w:ascii="Times New Roman"/>
                <w:sz w:val="18"/>
              </w:rPr>
              <w:t>-6,749,890.39</w:t>
            </w:r>
          </w:p>
        </w:tc>
        <w:tc>
          <w:tcPr>
            <w:tcW w:w="131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557" w:right="0"/>
              <w:jc w:val="left"/>
              <w:rPr>
                <w:rFonts w:ascii="Times New Roman" w:hAnsi="Times New Roman" w:cs="Times New Roman" w:eastAsia="Times New Roman" w:hint="default"/>
                <w:sz w:val="18"/>
                <w:szCs w:val="18"/>
              </w:rPr>
            </w:pPr>
            <w:r>
              <w:rPr>
                <w:rFonts w:ascii="Times New Roman"/>
                <w:sz w:val="18"/>
              </w:rPr>
              <w:t>53,619.26</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93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售；莲子剥壳</w:t>
            </w:r>
          </w:p>
        </w:tc>
        <w:tc>
          <w:tcPr>
            <w:tcW w:w="1222"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54" w:type="dxa"/>
            <w:tcBorders>
              <w:top w:val="nil" w:sz="6" w:space="0" w:color="auto"/>
              <w:left w:val="single" w:sz="4" w:space="0" w:color="000000"/>
              <w:bottom w:val="nil" w:sz="6" w:space="0" w:color="auto"/>
              <w:right w:val="single" w:sz="4" w:space="0" w:color="000000"/>
            </w:tcBorders>
          </w:tcPr>
          <w:p>
            <w:pPr/>
          </w:p>
        </w:tc>
        <w:tc>
          <w:tcPr>
            <w:tcW w:w="93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机、脱模机的</w:t>
            </w:r>
          </w:p>
        </w:tc>
        <w:tc>
          <w:tcPr>
            <w:tcW w:w="1222"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189"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1312"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93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222" w:type="dxa"/>
            <w:tcBorders>
              <w:top w:val="nil" w:sz="6" w:space="0" w:color="auto"/>
              <w:left w:val="single" w:sz="4" w:space="0" w:color="000000"/>
              <w:bottom w:val="single" w:sz="4" w:space="0" w:color="000000"/>
              <w:right w:val="single" w:sz="4" w:space="0" w:color="000000"/>
            </w:tcBorders>
          </w:tcPr>
          <w:p>
            <w:pPr/>
          </w:p>
        </w:tc>
        <w:tc>
          <w:tcPr>
            <w:tcW w:w="1189"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189" w:type="dxa"/>
            <w:tcBorders>
              <w:top w:val="nil" w:sz="6" w:space="0" w:color="auto"/>
              <w:left w:val="single" w:sz="4" w:space="0" w:color="000000"/>
              <w:bottom w:val="single" w:sz="4" w:space="0" w:color="000000"/>
              <w:right w:val="single" w:sz="4" w:space="0" w:color="000000"/>
            </w:tcBorders>
          </w:tcPr>
          <w:p>
            <w:pPr/>
          </w:p>
        </w:tc>
        <w:tc>
          <w:tcPr>
            <w:tcW w:w="1294" w:type="dxa"/>
            <w:tcBorders>
              <w:top w:val="nil" w:sz="6" w:space="0" w:color="auto"/>
              <w:left w:val="single" w:sz="4" w:space="0" w:color="000000"/>
              <w:bottom w:val="single" w:sz="4" w:space="0" w:color="000000"/>
              <w:right w:val="single" w:sz="4" w:space="0" w:color="000000"/>
            </w:tcBorders>
          </w:tcPr>
          <w:p>
            <w:pPr/>
          </w:p>
        </w:tc>
        <w:tc>
          <w:tcPr>
            <w:tcW w:w="1312"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1"/>
        <w:ind w:left="594" w:right="5531"/>
        <w:jc w:val="left"/>
      </w:pPr>
      <w:r>
        <w:rPr/>
        <w:t>报告期内取得和处置子公司的情况</w:t>
      </w:r>
    </w:p>
    <w:p>
      <w:pPr>
        <w:pStyle w:val="BodyText"/>
        <w:spacing w:line="240" w:lineRule="auto" w:before="117"/>
        <w:ind w:left="593" w:right="553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589" w:type="dxa"/>
        <w:tblLayout w:type="fixed"/>
        <w:tblCellMar>
          <w:top w:w="0" w:type="dxa"/>
          <w:left w:w="0" w:type="dxa"/>
          <w:bottom w:w="0" w:type="dxa"/>
          <w:right w:w="0" w:type="dxa"/>
        </w:tblCellMar>
        <w:tblLook w:val="01E0"/>
      </w:tblPr>
      <w:tblGrid>
        <w:gridCol w:w="3188"/>
        <w:gridCol w:w="3190"/>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358" w:hRule="exact"/>
        </w:trPr>
        <w:tc>
          <w:tcPr>
            <w:tcW w:w="3188"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
        </w:tc>
        <w:tc>
          <w:tcPr>
            <w:tcW w:w="31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有助于推进物联网应用技术的研发及公</w:t>
            </w:r>
          </w:p>
        </w:tc>
      </w:tr>
      <w:tr>
        <w:trPr>
          <w:trHeight w:val="313" w:hRule="exact"/>
        </w:trPr>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福建容大物联网科技有限公司</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司在电力行业信息化建设领域的持续拓</w:t>
            </w:r>
          </w:p>
        </w:tc>
      </w:tr>
      <w:tr>
        <w:trPr>
          <w:trHeight w:val="356" w:hRule="exact"/>
        </w:trPr>
        <w:tc>
          <w:tcPr>
            <w:tcW w:w="3188"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
        </w:tc>
        <w:tc>
          <w:tcPr>
            <w:tcW w:w="31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展带来新的机遇</w:t>
            </w:r>
          </w:p>
        </w:tc>
      </w:tr>
    </w:tbl>
    <w:p>
      <w:pPr>
        <w:pStyle w:val="BodyText"/>
        <w:spacing w:line="240" w:lineRule="auto" w:before="51"/>
        <w:ind w:left="594" w:right="5531"/>
        <w:jc w:val="left"/>
      </w:pPr>
      <w:r>
        <w:rPr/>
        <w:t>主要控股参股公司情况说明</w:t>
      </w:r>
    </w:p>
    <w:p>
      <w:pPr>
        <w:spacing w:line="240" w:lineRule="auto" w:before="13"/>
        <w:rPr>
          <w:rFonts w:ascii="宋体" w:hAnsi="宋体" w:cs="宋体" w:eastAsia="宋体" w:hint="default"/>
          <w:sz w:val="24"/>
          <w:szCs w:val="24"/>
        </w:rPr>
      </w:pPr>
    </w:p>
    <w:p>
      <w:pPr>
        <w:pStyle w:val="Heading2"/>
        <w:spacing w:line="240" w:lineRule="auto"/>
        <w:ind w:left="594" w:right="5531"/>
        <w:jc w:val="left"/>
        <w:rPr>
          <w:b w:val="0"/>
          <w:bCs w:val="0"/>
        </w:rPr>
      </w:pP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94" w:right="553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594" w:right="5531"/>
        <w:jc w:val="left"/>
        <w:rPr>
          <w:b w:val="0"/>
          <w:bCs w:val="0"/>
        </w:rPr>
      </w:pP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953" w:right="5531"/>
        <w:jc w:val="left"/>
      </w:pPr>
      <w:r>
        <w:rPr>
          <w:rFonts w:ascii="Times New Roman" w:hAnsi="Times New Roman" w:cs="Times New Roman" w:eastAsia="Times New Roman" w:hint="default"/>
        </w:rPr>
        <w:t>1</w:t>
      </w:r>
      <w:r>
        <w:rPr/>
        <w:t>、行业竞争格局和发展趋势 公司所属行业为信息产业中的软件和信息技术服务业。</w:t>
      </w:r>
    </w:p>
    <w:p>
      <w:pPr>
        <w:pStyle w:val="BodyText"/>
        <w:spacing w:line="314" w:lineRule="auto" w:before="47"/>
        <w:ind w:left="594" w:right="490" w:firstLine="360"/>
        <w:jc w:val="left"/>
      </w:pPr>
      <w:r>
        <w:rPr/>
        <w:t>国内软件和信息技术服务业作为</w:t>
      </w:r>
      <w:r>
        <w:rPr>
          <w:rFonts w:ascii="Times New Roman" w:hAnsi="Times New Roman" w:cs="Times New Roman" w:eastAsia="Times New Roman" w:hint="default"/>
        </w:rPr>
        <w:t>“</w:t>
      </w:r>
      <w:r>
        <w:rPr/>
        <w:t>战略性新兴产业</w:t>
      </w:r>
      <w:r>
        <w:rPr>
          <w:rFonts w:ascii="Times New Roman" w:hAnsi="Times New Roman" w:cs="Times New Roman" w:eastAsia="Times New Roman" w:hint="default"/>
        </w:rPr>
        <w:t>”</w:t>
      </w:r>
      <w:r>
        <w:rPr/>
        <w:t>，受益于国家对新一代信息技术产业持续的政策和资金扶持，市场规 </w:t>
      </w:r>
      <w:r>
        <w:rPr>
          <w:spacing w:val="-2"/>
        </w:rPr>
        <w:t>模持续扩大。同时，国民经济的发展和社会信息化的建设，引导社会各方面力量向软件产业领域持续投入，也将为软件产业</w:t>
      </w:r>
      <w:r>
        <w:rPr>
          <w:spacing w:val="-66"/>
        </w:rPr>
        <w:t> </w:t>
      </w:r>
      <w:r>
        <w:rPr>
          <w:spacing w:val="-66"/>
        </w:rPr>
      </w:r>
      <w:r>
        <w:rPr/>
        <w:t>的发展提供巨大的需求。未来，信息技术创新不断加快，信息领域新产品、新服务、新业态大量涌现，在云计算、大数据、</w:t>
      </w:r>
      <w:r>
        <w:rPr>
          <w:spacing w:val="-85"/>
        </w:rPr>
        <w:t> </w:t>
      </w:r>
      <w:r>
        <w:rPr>
          <w:spacing w:val="-85"/>
        </w:rPr>
      </w:r>
      <w:r>
        <w:rPr>
          <w:spacing w:val="-2"/>
        </w:rPr>
        <w:t>物联网、移动互联网等新一代信息技术驱动下，将进一步加快软件业向服务化转型的步伐，使社会各领域信息化水平持续提</w:t>
      </w:r>
      <w:r>
        <w:rPr>
          <w:spacing w:val="-66"/>
        </w:rPr>
        <w:t> </w:t>
      </w:r>
      <w:r>
        <w:rPr>
          <w:spacing w:val="-66"/>
        </w:rPr>
      </w:r>
      <w:r>
        <w:rPr>
          <w:spacing w:val="-2"/>
        </w:rPr>
        <w:t>升。围绕着智慧城市建设、信息惠民工程建设，民生服务应用、政府信息化、信息基础设施建设等新的市场需求将不断被激</w:t>
      </w:r>
      <w:r>
        <w:rPr>
          <w:spacing w:val="-66"/>
        </w:rPr>
        <w:t> </w:t>
      </w:r>
      <w:r>
        <w:rPr>
          <w:spacing w:val="-66"/>
        </w:rPr>
      </w:r>
      <w:r>
        <w:rPr/>
        <w:t>发，为中国软件企业带来新的市场机遇和发展活力。</w:t>
      </w:r>
    </w:p>
    <w:p>
      <w:pPr>
        <w:pStyle w:val="BodyText"/>
        <w:spacing w:line="240" w:lineRule="auto" w:before="83"/>
        <w:ind w:left="954" w:right="5531"/>
        <w:jc w:val="left"/>
      </w:pPr>
      <w:r>
        <w:rPr>
          <w:rFonts w:ascii="Times New Roman" w:hAnsi="Times New Roman" w:cs="Times New Roman" w:eastAsia="Times New Roman" w:hint="default"/>
        </w:rPr>
        <w:t>2</w:t>
      </w:r>
      <w:r>
        <w:rPr/>
        <w:t>、数字中国建设峰会</w:t>
      </w:r>
    </w:p>
    <w:p>
      <w:pPr>
        <w:pStyle w:val="BodyText"/>
        <w:spacing w:line="300" w:lineRule="auto" w:before="125"/>
        <w:ind w:left="594" w:right="588" w:firstLine="360"/>
        <w:jc w:val="both"/>
      </w:pPr>
      <w:r>
        <w:rPr>
          <w:spacing w:val="-1"/>
        </w:rPr>
        <w:t>首届数字中国建设峰会将于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21</w:t>
      </w:r>
      <w:r>
        <w:rPr>
          <w:spacing w:val="-1"/>
        </w:rPr>
        <w:t>日</w:t>
      </w:r>
      <w:r>
        <w:rPr>
          <w:rFonts w:ascii="Times New Roman" w:hAnsi="Times New Roman" w:cs="Times New Roman" w:eastAsia="Times New Roman" w:hint="default"/>
          <w:spacing w:val="-1"/>
        </w:rPr>
        <w:t>-25</w:t>
      </w:r>
      <w:r>
        <w:rPr>
          <w:spacing w:val="-1"/>
        </w:rPr>
        <w:t>日在福州举行。数字中国建设峰会是推进数字中国建设的重要载体。本届</w:t>
      </w:r>
      <w:r>
        <w:rPr/>
        <w:t> </w:t>
      </w:r>
      <w:r>
        <w:rPr>
          <w:spacing w:val="-2"/>
        </w:rPr>
        <w:t>峰会的主题是</w:t>
      </w:r>
      <w:r>
        <w:rPr>
          <w:rFonts w:ascii="Times New Roman" w:hAnsi="Times New Roman" w:cs="Times New Roman" w:eastAsia="Times New Roman" w:hint="default"/>
          <w:spacing w:val="-2"/>
        </w:rPr>
        <w:t>“</w:t>
      </w:r>
      <w:r>
        <w:rPr>
          <w:spacing w:val="-2"/>
        </w:rPr>
        <w:t>以信息化驱动现代化，加快建设数字中国</w:t>
      </w:r>
      <w:r>
        <w:rPr>
          <w:rFonts w:ascii="Times New Roman" w:hAnsi="Times New Roman" w:cs="Times New Roman" w:eastAsia="Times New Roman" w:hint="default"/>
          <w:spacing w:val="-2"/>
        </w:rPr>
        <w:t>”</w:t>
      </w:r>
      <w:r>
        <w:rPr>
          <w:spacing w:val="-2"/>
        </w:rPr>
        <w:t>，定位于为我国信息化发展提供政策发布平台、为电子政务和数字</w:t>
      </w:r>
      <w:r>
        <w:rPr>
          <w:spacing w:val="-43"/>
        </w:rPr>
        <w:t> </w:t>
      </w:r>
      <w:r>
        <w:rPr>
          <w:spacing w:val="-43"/>
        </w:rPr>
      </w:r>
      <w:r>
        <w:rPr/>
        <w:t>经济发展提供成果展示平台、为数字中国建设理论经验和实践提供交流平台。</w:t>
      </w:r>
    </w:p>
    <w:p>
      <w:pPr>
        <w:pStyle w:val="BodyText"/>
        <w:spacing w:line="300" w:lineRule="auto" w:before="92"/>
        <w:ind w:left="594" w:right="588" w:firstLine="360"/>
        <w:jc w:val="both"/>
      </w:pPr>
      <w:r>
        <w:rPr>
          <w:spacing w:val="-2"/>
        </w:rPr>
        <w:t>福建是习总书记关于数字中国建设的思想源头，也是实践起点。</w:t>
      </w:r>
      <w:r>
        <w:rPr>
          <w:rFonts w:ascii="Times New Roman" w:hAnsi="Times New Roman" w:cs="Times New Roman" w:eastAsia="Times New Roman" w:hint="default"/>
          <w:spacing w:val="-2"/>
        </w:rPr>
        <w:t>“</w:t>
      </w:r>
      <w:r>
        <w:rPr>
          <w:spacing w:val="-2"/>
        </w:rPr>
        <w:t>数字福建</w:t>
      </w:r>
      <w:r>
        <w:rPr>
          <w:rFonts w:ascii="Times New Roman" w:hAnsi="Times New Roman" w:cs="Times New Roman" w:eastAsia="Times New Roman" w:hint="default"/>
          <w:spacing w:val="-2"/>
        </w:rPr>
        <w:t>”</w:t>
      </w:r>
      <w:r>
        <w:rPr>
          <w:spacing w:val="-2"/>
        </w:rPr>
        <w:t>经过</w:t>
      </w:r>
      <w:r>
        <w:rPr>
          <w:rFonts w:ascii="Times New Roman" w:hAnsi="Times New Roman" w:cs="Times New Roman" w:eastAsia="Times New Roman" w:hint="default"/>
          <w:spacing w:val="-2"/>
        </w:rPr>
        <w:t>18</w:t>
      </w:r>
      <w:r>
        <w:rPr>
          <w:spacing w:val="-2"/>
        </w:rPr>
        <w:t>年的探索和实践，福建省积累了很多</w:t>
      </w:r>
      <w:r>
        <w:rPr/>
        <w:t> 宝贵的经验、成功的经验，特别是在电子政务、数字经济、社会体验、智慧城市等方面都取得了比较好的成绩。从</w:t>
      </w:r>
      <w:r>
        <w:rPr>
          <w:rFonts w:ascii="Times New Roman" w:hAnsi="Times New Roman" w:cs="Times New Roman" w:eastAsia="Times New Roman" w:hint="default"/>
        </w:rPr>
        <w:t>“</w:t>
      </w:r>
      <w:r>
        <w:rPr/>
        <w:t>数字福</w:t>
      </w:r>
      <w:r>
        <w:rPr>
          <w:spacing w:val="-78"/>
        </w:rPr>
        <w:t> </w:t>
      </w:r>
      <w:r>
        <w:rPr>
          <w:spacing w:val="-78"/>
        </w:rPr>
      </w:r>
      <w:r>
        <w:rPr/>
        <w:t>建</w:t>
      </w:r>
      <w:r>
        <w:rPr>
          <w:rFonts w:ascii="Times New Roman" w:hAnsi="Times New Roman" w:cs="Times New Roman" w:eastAsia="Times New Roman" w:hint="default"/>
        </w:rPr>
        <w:t>”</w:t>
      </w:r>
      <w:r>
        <w:rPr/>
        <w:t>建设伊始，榕基软件便是这场改革的重要参与力量。企业立足</w:t>
      </w:r>
      <w:r>
        <w:rPr>
          <w:rFonts w:ascii="Times New Roman" w:hAnsi="Times New Roman" w:cs="Times New Roman" w:eastAsia="Times New Roman" w:hint="default"/>
        </w:rPr>
        <w:t>“</w:t>
      </w:r>
      <w:r>
        <w:rPr/>
        <w:t>数字福建</w:t>
      </w:r>
      <w:r>
        <w:rPr>
          <w:rFonts w:ascii="Times New Roman" w:hAnsi="Times New Roman" w:cs="Times New Roman" w:eastAsia="Times New Roman" w:hint="default"/>
        </w:rPr>
        <w:t>”</w:t>
      </w:r>
      <w:r>
        <w:rPr/>
        <w:t>主战场</w:t>
      </w:r>
      <w:r>
        <w:rPr>
          <w:rFonts w:ascii="Times New Roman" w:hAnsi="Times New Roman" w:cs="Times New Roman" w:eastAsia="Times New Roman" w:hint="default"/>
        </w:rPr>
        <w:t>“</w:t>
      </w:r>
      <w:r>
        <w:rPr/>
        <w:t>电子政务</w:t>
      </w:r>
      <w:r>
        <w:rPr>
          <w:rFonts w:ascii="Times New Roman" w:hAnsi="Times New Roman" w:cs="Times New Roman" w:eastAsia="Times New Roman" w:hint="default"/>
        </w:rPr>
        <w:t>”</w:t>
      </w:r>
      <w:r>
        <w:rPr/>
        <w:t>，</w:t>
      </w:r>
      <w:r>
        <w:rPr>
          <w:rFonts w:ascii="Times New Roman" w:hAnsi="Times New Roman" w:cs="Times New Roman" w:eastAsia="Times New Roman" w:hint="default"/>
        </w:rPr>
        <w:t>2001</w:t>
      </w:r>
      <w:r>
        <w:rPr/>
        <w:t>年即开始承担首批重</w:t>
      </w:r>
      <w:r>
        <w:rPr>
          <w:spacing w:val="-46"/>
        </w:rPr>
        <w:t> </w:t>
      </w:r>
      <w:r>
        <w:rPr>
          <w:spacing w:val="-46"/>
        </w:rPr>
      </w:r>
      <w:r>
        <w:rPr>
          <w:spacing w:val="-1"/>
        </w:rPr>
        <w:t>要示范工程</w:t>
      </w:r>
      <w:r>
        <w:rPr>
          <w:rFonts w:ascii="Times New Roman" w:hAnsi="Times New Roman" w:cs="Times New Roman" w:eastAsia="Times New Roman" w:hint="default"/>
          <w:spacing w:val="-1"/>
        </w:rPr>
        <w:t>“</w:t>
      </w:r>
      <w:r>
        <w:rPr>
          <w:spacing w:val="-1"/>
        </w:rPr>
        <w:t>三网一库</w:t>
      </w:r>
      <w:r>
        <w:rPr>
          <w:rFonts w:ascii="Times New Roman" w:hAnsi="Times New Roman" w:cs="Times New Roman" w:eastAsia="Times New Roman" w:hint="default"/>
          <w:spacing w:val="-1"/>
        </w:rPr>
        <w:t>”</w:t>
      </w:r>
      <w:r>
        <w:rPr>
          <w:spacing w:val="-1"/>
        </w:rPr>
        <w:t>项目和</w:t>
      </w:r>
      <w:r>
        <w:rPr>
          <w:rFonts w:ascii="Times New Roman" w:hAnsi="Times New Roman" w:cs="Times New Roman" w:eastAsia="Times New Roman" w:hint="default"/>
          <w:spacing w:val="-1"/>
        </w:rPr>
        <w:t>“</w:t>
      </w:r>
      <w:r>
        <w:rPr>
          <w:spacing w:val="-1"/>
        </w:rPr>
        <w:t>湖前社区信息化</w:t>
      </w:r>
      <w:r>
        <w:rPr>
          <w:rFonts w:ascii="Times New Roman" w:hAnsi="Times New Roman" w:cs="Times New Roman" w:eastAsia="Times New Roman" w:hint="default"/>
          <w:spacing w:val="-1"/>
        </w:rPr>
        <w:t>”</w:t>
      </w:r>
      <w:r>
        <w:rPr>
          <w:spacing w:val="-1"/>
        </w:rPr>
        <w:t>项目建设，帮助福建在国内率先实施了省级政府一体化全业务政务办公模式</w:t>
      </w:r>
      <w:r>
        <w:rPr>
          <w:spacing w:val="-76"/>
        </w:rPr>
        <w:t> </w:t>
      </w:r>
      <w:r>
        <w:rPr>
          <w:spacing w:val="-76"/>
        </w:rPr>
      </w:r>
      <w:r>
        <w:rPr/>
        <w:t>创新和社区数字化服务模式创新。</w:t>
      </w:r>
      <w:r>
        <w:rPr>
          <w:rFonts w:ascii="Times New Roman" w:hAnsi="Times New Roman" w:cs="Times New Roman" w:eastAsia="Times New Roman" w:hint="default"/>
        </w:rPr>
        <w:t>“12345</w:t>
      </w:r>
      <w:r>
        <w:rPr/>
        <w:t>，有事找政府。</w:t>
      </w:r>
      <w:r>
        <w:rPr>
          <w:rFonts w:ascii="Times New Roman" w:hAnsi="Times New Roman" w:cs="Times New Roman" w:eastAsia="Times New Roman" w:hint="default"/>
        </w:rPr>
        <w:t>”</w:t>
      </w:r>
      <w:r>
        <w:rPr/>
        <w:t>这个对福建人有着特殊意义的数字，最早源自福州市鼓楼区的星</w:t>
      </w:r>
      <w:r>
        <w:rPr>
          <w:spacing w:val="-73"/>
        </w:rPr>
        <w:t> </w:t>
      </w:r>
      <w:r>
        <w:rPr>
          <w:spacing w:val="-73"/>
        </w:rPr>
      </w:r>
      <w:r>
        <w:rPr/>
        <w:t>星之火。从一区到一市，再到覆盖福建全省三级政府</w:t>
      </w:r>
      <w:r>
        <w:rPr>
          <w:rFonts w:ascii="Times New Roman" w:hAnsi="Times New Roman" w:cs="Times New Roman" w:eastAsia="Times New Roman" w:hint="default"/>
        </w:rPr>
        <w:t>8500</w:t>
      </w:r>
      <w:r>
        <w:rPr/>
        <w:t>个机关单位，榕基软件承担了</w:t>
      </w:r>
      <w:r>
        <w:rPr>
          <w:rFonts w:ascii="Times New Roman" w:hAnsi="Times New Roman" w:cs="Times New Roman" w:eastAsia="Times New Roman" w:hint="default"/>
        </w:rPr>
        <w:t>12345</w:t>
      </w:r>
      <w:r>
        <w:rPr/>
        <w:t>从便民呼叫中心到网络化多维</w:t>
      </w:r>
    </w:p>
    <w:p>
      <w:pPr>
        <w:spacing w:after="0" w:line="300" w:lineRule="auto"/>
        <w:jc w:val="both"/>
        <w:sectPr>
          <w:pgSz w:w="11910" w:h="16840"/>
          <w:pgMar w:header="877" w:footer="982" w:top="1100" w:bottom="1180" w:left="540" w:right="540"/>
        </w:sectPr>
      </w:pPr>
    </w:p>
    <w:p>
      <w:pPr>
        <w:spacing w:line="240" w:lineRule="auto" w:before="12"/>
        <w:rPr>
          <w:rFonts w:ascii="宋体" w:hAnsi="宋体" w:cs="宋体" w:eastAsia="宋体" w:hint="default"/>
          <w:sz w:val="21"/>
          <w:szCs w:val="21"/>
        </w:rPr>
      </w:pPr>
    </w:p>
    <w:p>
      <w:pPr>
        <w:pStyle w:val="BodyText"/>
        <w:spacing w:line="309" w:lineRule="auto" w:before="44"/>
        <w:ind w:left="153" w:right="189"/>
        <w:jc w:val="both"/>
      </w:pPr>
      <w:r>
        <w:rPr>
          <w:spacing w:val="-2"/>
        </w:rPr>
        <w:t>互动政务服务平台的蜕变，搭建了民众反映诉求、政府受理民意的重要平台，有效促进了福建党政群的互动沟通。近日，首</w:t>
      </w:r>
      <w:r>
        <w:rPr>
          <w:spacing w:val="-67"/>
        </w:rPr>
        <w:t> </w:t>
      </w:r>
      <w:r>
        <w:rPr>
          <w:spacing w:val="-67"/>
        </w:rPr>
      </w:r>
      <w:r>
        <w:rPr/>
        <w:t>届数字中国建设年度最佳实践成果评选结果公示，福建省数字办推荐的</w:t>
      </w:r>
      <w:r>
        <w:rPr>
          <w:rFonts w:ascii="Times New Roman" w:hAnsi="Times New Roman" w:cs="Times New Roman" w:eastAsia="Times New Roman" w:hint="default"/>
        </w:rPr>
        <w:t>“</w:t>
      </w:r>
      <w:r>
        <w:rPr/>
        <w:t>福州市</w:t>
      </w:r>
      <w:r>
        <w:rPr>
          <w:rFonts w:ascii="Times New Roman" w:hAnsi="Times New Roman" w:cs="Times New Roman" w:eastAsia="Times New Roman" w:hint="default"/>
        </w:rPr>
        <w:t>12345</w:t>
      </w:r>
      <w:r>
        <w:rPr/>
        <w:t>便民服务平台</w:t>
      </w:r>
      <w:r>
        <w:rPr>
          <w:rFonts w:ascii="Times New Roman" w:hAnsi="Times New Roman" w:cs="Times New Roman" w:eastAsia="Times New Roman" w:hint="default"/>
        </w:rPr>
        <w:t>”</w:t>
      </w:r>
      <w:r>
        <w:rPr/>
        <w:t>入围全国</w:t>
      </w:r>
      <w:r>
        <w:rPr>
          <w:rFonts w:ascii="Times New Roman" w:hAnsi="Times New Roman" w:cs="Times New Roman" w:eastAsia="Times New Roman" w:hint="default"/>
        </w:rPr>
        <w:t>30</w:t>
      </w:r>
      <w:r>
        <w:rPr/>
        <w:t>个最佳实践</w:t>
      </w:r>
      <w:r>
        <w:rPr>
          <w:spacing w:val="-69"/>
        </w:rPr>
        <w:t> </w:t>
      </w:r>
      <w:r>
        <w:rPr>
          <w:spacing w:val="-69"/>
        </w:rPr>
      </w:r>
      <w:r>
        <w:rPr/>
        <w:t>成果。</w:t>
      </w:r>
    </w:p>
    <w:p>
      <w:pPr>
        <w:pStyle w:val="BodyText"/>
        <w:spacing w:line="300" w:lineRule="auto" w:before="86"/>
        <w:ind w:right="188" w:firstLine="360"/>
        <w:jc w:val="both"/>
      </w:pPr>
      <w:r>
        <w:rPr>
          <w:spacing w:val="-2"/>
        </w:rPr>
        <w:t>凭借在</w:t>
      </w:r>
      <w:r>
        <w:rPr>
          <w:rFonts w:ascii="Times New Roman" w:hAnsi="Times New Roman" w:cs="Times New Roman" w:eastAsia="Times New Roman" w:hint="default"/>
          <w:spacing w:val="-2"/>
        </w:rPr>
        <w:t>“</w:t>
      </w:r>
      <w:r>
        <w:rPr>
          <w:spacing w:val="-2"/>
        </w:rPr>
        <w:t>数字福建</w:t>
      </w:r>
      <w:r>
        <w:rPr>
          <w:rFonts w:ascii="Times New Roman" w:hAnsi="Times New Roman" w:cs="Times New Roman" w:eastAsia="Times New Roman" w:hint="default"/>
          <w:spacing w:val="-2"/>
        </w:rPr>
        <w:t>”</w:t>
      </w:r>
      <w:r>
        <w:rPr>
          <w:spacing w:val="-2"/>
        </w:rPr>
        <w:t>建设中积累的经验和技术、品牌、人才等优势，公司的市场拓展到北京、河南、广东、浙江等地，公</w:t>
      </w:r>
      <w:r>
        <w:rPr/>
        <w:t> 司是国内电子政务细分领域最具竞争力的服务商之一，在互联网</w:t>
      </w:r>
      <w:r>
        <w:rPr>
          <w:rFonts w:ascii="Times New Roman" w:hAnsi="Times New Roman" w:cs="Times New Roman" w:eastAsia="Times New Roman" w:hint="default"/>
        </w:rPr>
        <w:t>+</w:t>
      </w:r>
      <w:r>
        <w:rPr/>
        <w:t>政务、互联网</w:t>
      </w:r>
      <w:r>
        <w:rPr>
          <w:rFonts w:ascii="Times New Roman" w:hAnsi="Times New Roman" w:cs="Times New Roman" w:eastAsia="Times New Roman" w:hint="default"/>
        </w:rPr>
        <w:t>+</w:t>
      </w:r>
      <w:r>
        <w:rPr/>
        <w:t>党建、党政办公及金质工程、天平工程、</w:t>
      </w:r>
      <w:r>
        <w:rPr>
          <w:spacing w:val="-29"/>
        </w:rPr>
        <w:t> </w:t>
      </w:r>
      <w:r>
        <w:rPr>
          <w:spacing w:val="-29"/>
        </w:rPr>
      </w:r>
      <w:r>
        <w:rPr/>
        <w:t>金环工程、金旅工程等领域取得丰硕的成果，为</w:t>
      </w:r>
      <w:r>
        <w:rPr>
          <w:rFonts w:ascii="Times New Roman" w:hAnsi="Times New Roman" w:cs="Times New Roman" w:eastAsia="Times New Roman" w:hint="default"/>
        </w:rPr>
        <w:t>“</w:t>
      </w:r>
      <w:r>
        <w:rPr/>
        <w:t>数字福建</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数字中国</w:t>
      </w:r>
      <w:r>
        <w:rPr>
          <w:rFonts w:ascii="Times New Roman" w:hAnsi="Times New Roman" w:cs="Times New Roman" w:eastAsia="Times New Roman" w:hint="default"/>
        </w:rPr>
        <w:t>”</w:t>
      </w:r>
      <w:r>
        <w:rPr/>
        <w:t>建设做出了重要的贡献。</w:t>
      </w:r>
    </w:p>
    <w:p>
      <w:pPr>
        <w:pStyle w:val="BodyText"/>
        <w:spacing w:line="360" w:lineRule="auto" w:before="74"/>
        <w:ind w:left="514" w:right="184"/>
        <w:jc w:val="left"/>
      </w:pPr>
      <w:r>
        <w:rPr>
          <w:rFonts w:ascii="Times New Roman" w:hAnsi="Times New Roman" w:cs="Times New Roman" w:eastAsia="Times New Roman" w:hint="default"/>
        </w:rPr>
        <w:t>3</w:t>
      </w:r>
      <w:r>
        <w:rPr/>
        <w:t>、公司发展战略 </w:t>
      </w:r>
      <w:r>
        <w:rPr>
          <w:spacing w:val="-2"/>
        </w:rPr>
        <w:t>公司将紧抓软件服务行业云计算、物联网、移动互联网、大数据、智慧城市等新一代信息技术对传统行业信息化的升级</w:t>
      </w:r>
    </w:p>
    <w:p>
      <w:pPr>
        <w:pStyle w:val="BodyText"/>
        <w:spacing w:line="236" w:lineRule="exact"/>
        <w:ind w:right="0"/>
        <w:jc w:val="both"/>
      </w:pPr>
      <w:r>
        <w:rPr/>
        <w:t>改造和迁移的发展趋势，继续推动</w:t>
      </w:r>
      <w:r>
        <w:rPr>
          <w:rFonts w:ascii="Times New Roman" w:hAnsi="Times New Roman" w:cs="Times New Roman" w:eastAsia="Times New Roman" w:hint="default"/>
        </w:rPr>
        <w:t>“</w:t>
      </w:r>
      <w:r>
        <w:rPr/>
        <w:t>行业化、产品化、服务化</w:t>
      </w:r>
      <w:r>
        <w:rPr>
          <w:rFonts w:ascii="Times New Roman" w:hAnsi="Times New Roman" w:cs="Times New Roman" w:eastAsia="Times New Roman" w:hint="default"/>
        </w:rPr>
        <w:t>”</w:t>
      </w:r>
      <w:r>
        <w:rPr/>
        <w:t>发展战略，提升电子政务、信息安全、质检三电工程和协同管</w:t>
      </w:r>
    </w:p>
    <w:p>
      <w:pPr>
        <w:pStyle w:val="BodyText"/>
        <w:spacing w:line="316" w:lineRule="auto" w:before="63"/>
        <w:ind w:right="99"/>
        <w:jc w:val="both"/>
      </w:pPr>
      <w:r>
        <w:rPr/>
        <w:t>理四个领域软件产品和服务的产业化速度，坚持技术创新，带动软件平台化和服务化商业模式创新，培育新的利润增长点，</w:t>
      </w:r>
      <w:r>
        <w:rPr>
          <w:spacing w:val="-85"/>
        </w:rPr>
        <w:t> </w:t>
      </w:r>
      <w:r>
        <w:rPr>
          <w:spacing w:val="-85"/>
        </w:rPr>
      </w:r>
      <w:r>
        <w:rPr/>
        <w:t>推动公司持续成长，实现规模化、跨越式发展。</w:t>
      </w:r>
    </w:p>
    <w:p>
      <w:pPr>
        <w:pStyle w:val="BodyText"/>
        <w:spacing w:line="240" w:lineRule="auto" w:before="81"/>
        <w:ind w:left="514" w:right="184"/>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年经营计划</w:t>
      </w:r>
    </w:p>
    <w:p>
      <w:pPr>
        <w:pStyle w:val="BodyText"/>
        <w:spacing w:line="300" w:lineRule="auto" w:before="124"/>
        <w:ind w:right="189" w:firstLine="360"/>
        <w:jc w:val="both"/>
      </w:pPr>
      <w:r>
        <w:rPr>
          <w:rFonts w:ascii="Times New Roman" w:hAnsi="Times New Roman" w:cs="Times New Roman" w:eastAsia="Times New Roman" w:hint="default"/>
          <w:spacing w:val="-2"/>
        </w:rPr>
        <w:t>2018</w:t>
      </w:r>
      <w:r>
        <w:rPr>
          <w:spacing w:val="-2"/>
        </w:rPr>
        <w:t>年，公司将努力扩大收入规模，提升细分业务领域的盈利水平。同时公司选择和公司当前业务、技术背景较为接近</w:t>
      </w:r>
      <w:r>
        <w:rPr/>
        <w:t> 且市场潜力较大的互联网</w:t>
      </w:r>
      <w:r>
        <w:rPr>
          <w:rFonts w:ascii="Times New Roman" w:hAnsi="Times New Roman" w:cs="Times New Roman" w:eastAsia="Times New Roman" w:hint="default"/>
        </w:rPr>
        <w:t>+</w:t>
      </w:r>
      <w:r>
        <w:rPr/>
        <w:t>政务、互联网</w:t>
      </w:r>
      <w:r>
        <w:rPr>
          <w:rFonts w:ascii="Times New Roman" w:hAnsi="Times New Roman" w:cs="Times New Roman" w:eastAsia="Times New Roman" w:hint="default"/>
        </w:rPr>
        <w:t>+</w:t>
      </w:r>
      <w:r>
        <w:rPr/>
        <w:t>党建、金质工程、物联网平台、中小企业服务平台等作为新的突破方向，优化产</w:t>
      </w:r>
      <w:r>
        <w:rPr>
          <w:spacing w:val="-29"/>
        </w:rPr>
        <w:t> </w:t>
      </w:r>
      <w:r>
        <w:rPr>
          <w:spacing w:val="-29"/>
        </w:rPr>
      </w:r>
      <w:r>
        <w:rPr/>
        <w:t>业链布局，保持对关键业务和技术的投入力度，为未来发展奠定坚实基础。</w:t>
      </w:r>
    </w:p>
    <w:p>
      <w:pPr>
        <w:pStyle w:val="BodyText"/>
        <w:spacing w:line="300" w:lineRule="auto" w:before="94"/>
        <w:ind w:right="188" w:firstLine="360"/>
        <w:jc w:val="both"/>
      </w:pPr>
      <w:r>
        <w:rPr/>
        <w:t>（</w:t>
      </w:r>
      <w:r>
        <w:rPr>
          <w:rFonts w:ascii="Times New Roman" w:hAnsi="Times New Roman" w:cs="Times New Roman" w:eastAsia="Times New Roman" w:hint="default"/>
        </w:rPr>
        <w:t>1</w:t>
      </w:r>
      <w:r>
        <w:rPr/>
        <w:t>）继续在重点发展行业巩固现有优势，加强顶层设计，以产品化和行业化思路强化行业布局；在持续跟进行业，以 持续创新的思路规划解决方案、产品和服务，逐步扩大核心业务比例。</w:t>
      </w:r>
    </w:p>
    <w:p>
      <w:pPr>
        <w:pStyle w:val="BodyText"/>
        <w:spacing w:line="309" w:lineRule="auto" w:before="94"/>
        <w:ind w:right="188" w:firstLine="360"/>
        <w:jc w:val="both"/>
      </w:pPr>
      <w:r>
        <w:rPr/>
        <w:t>（</w:t>
      </w:r>
      <w:r>
        <w:rPr>
          <w:rFonts w:ascii="Times New Roman" w:hAnsi="Times New Roman" w:cs="Times New Roman" w:eastAsia="Times New Roman" w:hint="default"/>
        </w:rPr>
        <w:t>2</w:t>
      </w:r>
      <w:r>
        <w:rPr/>
        <w:t>）公司将进一步贯彻</w:t>
      </w:r>
      <w:r>
        <w:rPr>
          <w:rFonts w:ascii="Times New Roman" w:hAnsi="Times New Roman" w:cs="Times New Roman" w:eastAsia="Times New Roman" w:hint="default"/>
        </w:rPr>
        <w:t>“</w:t>
      </w:r>
      <w:r>
        <w:rPr/>
        <w:t>行业化、产品化、服务化</w:t>
      </w:r>
      <w:r>
        <w:rPr>
          <w:rFonts w:ascii="Times New Roman" w:hAnsi="Times New Roman" w:cs="Times New Roman" w:eastAsia="Times New Roman" w:hint="default"/>
        </w:rPr>
        <w:t>”</w:t>
      </w:r>
      <w:r>
        <w:rPr/>
        <w:t>的经营战略创新，继续坚持以市场为导向、以企业技术中心为核心 </w:t>
      </w:r>
      <w:r>
        <w:rPr>
          <w:spacing w:val="-2"/>
        </w:rPr>
        <w:t>的自主创新体系，健全创新机制，加强人才队伍培养和引进，提升优势领域软件产品的研发和产业化速度，推动商业模式创</w:t>
      </w:r>
      <w:r>
        <w:rPr>
          <w:spacing w:val="-66"/>
        </w:rPr>
        <w:t> </w:t>
      </w:r>
      <w:r>
        <w:rPr>
          <w:spacing w:val="-66"/>
        </w:rPr>
      </w:r>
      <w:r>
        <w:rPr/>
        <w:t>新，推动逐步发展新的利润增长点。</w:t>
      </w:r>
    </w:p>
    <w:p>
      <w:pPr>
        <w:pStyle w:val="BodyText"/>
        <w:spacing w:line="300" w:lineRule="auto" w:before="85"/>
        <w:ind w:right="188" w:firstLine="360"/>
        <w:jc w:val="both"/>
      </w:pPr>
      <w:r>
        <w:rPr>
          <w:spacing w:val="-3"/>
        </w:rPr>
        <w:t>（</w:t>
      </w:r>
      <w:r>
        <w:rPr>
          <w:rFonts w:ascii="Times New Roman" w:hAnsi="Times New Roman" w:cs="Times New Roman" w:eastAsia="Times New Roman" w:hint="default"/>
          <w:spacing w:val="-3"/>
        </w:rPr>
        <w:t>3</w:t>
      </w:r>
      <w:r>
        <w:rPr>
          <w:spacing w:val="-3"/>
        </w:rPr>
        <w:t>）公司坚持</w:t>
      </w:r>
      <w:r>
        <w:rPr>
          <w:rFonts w:ascii="Times New Roman" w:hAnsi="Times New Roman" w:cs="Times New Roman" w:eastAsia="Times New Roman" w:hint="default"/>
          <w:spacing w:val="-3"/>
        </w:rPr>
        <w:t>“</w:t>
      </w:r>
      <w:r>
        <w:rPr>
          <w:spacing w:val="-3"/>
        </w:rPr>
        <w:t>以人为本</w:t>
      </w:r>
      <w:r>
        <w:rPr>
          <w:rFonts w:ascii="Times New Roman" w:hAnsi="Times New Roman" w:cs="Times New Roman" w:eastAsia="Times New Roman" w:hint="default"/>
          <w:spacing w:val="-3"/>
        </w:rPr>
        <w:t>”</w:t>
      </w:r>
      <w:r>
        <w:rPr>
          <w:spacing w:val="-3"/>
        </w:rPr>
        <w:t>的基本管理思想，建立科学、快速的利益响应机制，稳定公司核心骨干，引进中高层次人才，</w:t>
      </w:r>
      <w:r>
        <w:rPr/>
        <w:t> 优化人才结构，建立适合公司的激励机制。</w:t>
      </w:r>
    </w:p>
    <w:p>
      <w:pPr>
        <w:pStyle w:val="BodyText"/>
        <w:spacing w:line="300" w:lineRule="auto" w:before="94"/>
        <w:ind w:right="188" w:firstLine="360"/>
        <w:jc w:val="both"/>
      </w:pPr>
      <w:r>
        <w:rPr/>
        <w:t>（</w:t>
      </w:r>
      <w:r>
        <w:rPr>
          <w:rFonts w:ascii="Times New Roman" w:hAnsi="Times New Roman" w:cs="Times New Roman" w:eastAsia="Times New Roman" w:hint="default"/>
        </w:rPr>
        <w:t>4</w:t>
      </w:r>
      <w:r>
        <w:rPr/>
        <w:t>）在技术创新方面，公司将加大在所处领域的核心产品和技术研发及产业化投入，不断增强技术实力，保持行业技 术领先水平，增强企业的核心竞争能力，为公司的成长提供产品和技术优势。</w:t>
      </w:r>
    </w:p>
    <w:p>
      <w:pPr>
        <w:pStyle w:val="BodyText"/>
        <w:spacing w:line="309" w:lineRule="auto" w:before="94"/>
        <w:ind w:right="188" w:firstLine="360"/>
        <w:jc w:val="both"/>
      </w:pPr>
      <w:r>
        <w:rPr/>
        <w:t>（</w:t>
      </w:r>
      <w:r>
        <w:rPr>
          <w:rFonts w:ascii="Times New Roman" w:hAnsi="Times New Roman" w:cs="Times New Roman" w:eastAsia="Times New Roman" w:hint="default"/>
        </w:rPr>
        <w:t>5</w:t>
      </w:r>
      <w:r>
        <w:rPr/>
        <w:t>）在市场营销与服务体系建设方面，公司已初步建立以北京为指挥中心、遍布全国的营销和服务网络体系，公司将 </w:t>
      </w:r>
      <w:r>
        <w:rPr>
          <w:spacing w:val="-2"/>
        </w:rPr>
        <w:t>继续完善北京、上海、河南等区域中心体系建设，增强运维服务网点营销服务能力，继续完善产品代理体系，加大品牌宣传</w:t>
      </w:r>
      <w:r>
        <w:rPr>
          <w:spacing w:val="-66"/>
        </w:rPr>
        <w:t> </w:t>
      </w:r>
      <w:r>
        <w:rPr>
          <w:spacing w:val="-66"/>
        </w:rPr>
      </w:r>
      <w:r>
        <w:rPr/>
        <w:t>力度，促进公司规模化发展。</w:t>
      </w:r>
    </w:p>
    <w:p>
      <w:pPr>
        <w:pStyle w:val="BodyText"/>
        <w:spacing w:line="240" w:lineRule="auto" w:before="85"/>
        <w:ind w:left="514" w:right="184"/>
        <w:jc w:val="left"/>
      </w:pPr>
      <w:r>
        <w:rPr>
          <w:rFonts w:ascii="Times New Roman" w:hAnsi="Times New Roman" w:cs="Times New Roman" w:eastAsia="Times New Roman" w:hint="default"/>
        </w:rPr>
        <w:t>5</w:t>
      </w:r>
      <w:r>
        <w:rPr/>
        <w:t>、未来面对的风险及应对措施</w:t>
      </w:r>
    </w:p>
    <w:p>
      <w:pPr>
        <w:pStyle w:val="BodyText"/>
        <w:spacing w:line="360" w:lineRule="auto" w:before="125"/>
        <w:ind w:left="514" w:right="184"/>
        <w:jc w:val="left"/>
      </w:pPr>
      <w:r>
        <w:rPr/>
        <w:t>（</w:t>
      </w:r>
      <w:r>
        <w:rPr>
          <w:rFonts w:ascii="Times New Roman" w:hAnsi="Times New Roman" w:cs="Times New Roman" w:eastAsia="Times New Roman" w:hint="default"/>
        </w:rPr>
        <w:t>1</w:t>
      </w:r>
      <w:r>
        <w:rPr/>
        <w:t>）人力资源风险 </w:t>
      </w:r>
      <w:r>
        <w:rPr>
          <w:spacing w:val="-2"/>
        </w:rPr>
        <w:t>公司规模的迅速扩张带来人才上的瓶颈，高端人才比较紧缺仍然是公司目前存在的主要困难，特别是研发人员扩张速度</w:t>
      </w:r>
    </w:p>
    <w:p>
      <w:pPr>
        <w:pStyle w:val="BodyText"/>
        <w:spacing w:line="222" w:lineRule="exact"/>
        <w:ind w:right="0"/>
        <w:jc w:val="both"/>
      </w:pPr>
      <w:r>
        <w:rPr/>
        <w:t>跟不上公司业务规模的扩张，导致公司潜在的新用户的需求得不到很好的满足，这可能会使公司失去一些市场机会。</w:t>
      </w:r>
    </w:p>
    <w:p>
      <w:pPr>
        <w:pStyle w:val="BodyText"/>
        <w:spacing w:line="307" w:lineRule="auto" w:before="137"/>
        <w:ind w:left="153" w:right="191" w:firstLine="360"/>
        <w:jc w:val="both"/>
      </w:pPr>
      <w:r>
        <w:rPr/>
        <w:t>公司将建立多层次培训体系、薪酬体系和有效的激励措施，满足研发技术类的人才需求；加强企业文化建设，把</w:t>
      </w:r>
      <w:r>
        <w:rPr>
          <w:rFonts w:ascii="Times New Roman" w:hAnsi="Times New Roman" w:cs="Times New Roman" w:eastAsia="Times New Roman" w:hint="default"/>
        </w:rPr>
        <w:t>“</w:t>
      </w:r>
      <w:r>
        <w:rPr/>
        <w:t>服务 </w:t>
      </w:r>
      <w:r>
        <w:rPr>
          <w:spacing w:val="-3"/>
        </w:rPr>
        <w:t>于社会以促进企业发展，贡献于企业以追求个人进步</w:t>
      </w:r>
      <w:r>
        <w:rPr>
          <w:rFonts w:ascii="Times New Roman" w:hAnsi="Times New Roman" w:cs="Times New Roman" w:eastAsia="Times New Roman" w:hint="default"/>
          <w:spacing w:val="-3"/>
        </w:rPr>
        <w:t>”</w:t>
      </w:r>
      <w:r>
        <w:rPr>
          <w:spacing w:val="-3"/>
        </w:rPr>
        <w:t>作为核心价值观，努力培育团结、创新、开拓、务实的企业文化精神，</w:t>
      </w:r>
      <w:r>
        <w:rPr/>
        <w:t> </w:t>
      </w:r>
      <w:r>
        <w:rPr>
          <w:spacing w:val="-5"/>
        </w:rPr>
        <w:t>争取广大员工的认可；将投入更多资源改善工作环境和工作条件，增强公司对高素质人才的吸引力和归属感。公司将在河南、</w:t>
      </w:r>
      <w:r>
        <w:rPr>
          <w:spacing w:val="-79"/>
        </w:rPr>
        <w:t> </w:t>
      </w:r>
      <w:r>
        <w:rPr>
          <w:spacing w:val="-79"/>
        </w:rPr>
      </w:r>
      <w:r>
        <w:rPr/>
        <w:t>上海设立区域研发中心，未来还将根据发展需要在其他地区设立区域研发中心。</w:t>
      </w:r>
    </w:p>
    <w:p>
      <w:pPr>
        <w:pStyle w:val="BodyText"/>
        <w:spacing w:line="360" w:lineRule="auto" w:before="88"/>
        <w:ind w:left="513" w:right="184"/>
        <w:jc w:val="left"/>
      </w:pPr>
      <w:r>
        <w:rPr/>
        <w:t>（</w:t>
      </w:r>
      <w:r>
        <w:rPr>
          <w:rFonts w:ascii="Times New Roman" w:hAnsi="Times New Roman" w:cs="Times New Roman" w:eastAsia="Times New Roman" w:hint="default"/>
        </w:rPr>
        <w:t>2</w:t>
      </w:r>
      <w:r>
        <w:rPr/>
        <w:t>）行业技术风险 </w:t>
      </w:r>
      <w:r>
        <w:rPr>
          <w:spacing w:val="-2"/>
        </w:rPr>
        <w:t>软件行业技术进步快、产品更新快、市场需求变化快的特点以及公司规模化扩张对公司保持持续的技术领先提出了更高</w:t>
      </w:r>
    </w:p>
    <w:p>
      <w:pPr>
        <w:pStyle w:val="BodyText"/>
        <w:spacing w:line="222" w:lineRule="exact"/>
        <w:ind w:left="153" w:right="0"/>
        <w:jc w:val="both"/>
      </w:pPr>
      <w:r>
        <w:rPr/>
        <w:t>的要求。公司将继续跟踪、学习和应用新的技术，准确把握国际信息技术发展趋势，继续积极开发具有自有知识产权的新产</w:t>
      </w:r>
    </w:p>
    <w:p>
      <w:pPr>
        <w:pStyle w:val="BodyText"/>
        <w:spacing w:line="240" w:lineRule="auto" w:before="76"/>
        <w:ind w:left="153" w:right="0"/>
        <w:jc w:val="both"/>
      </w:pPr>
      <w:r>
        <w:rPr/>
        <w:t>品，开发出功能和性能更加完善的新产品，以满足客户更加多样化、个性化的需求。</w:t>
      </w:r>
    </w:p>
    <w:p>
      <w:pPr>
        <w:pStyle w:val="BodyText"/>
        <w:spacing w:line="360" w:lineRule="auto" w:before="137"/>
        <w:ind w:left="513" w:right="184"/>
        <w:jc w:val="left"/>
      </w:pPr>
      <w:r>
        <w:rPr/>
        <w:t>（</w:t>
      </w:r>
      <w:r>
        <w:rPr>
          <w:rFonts w:ascii="Times New Roman" w:hAnsi="Times New Roman" w:cs="Times New Roman" w:eastAsia="Times New Roman" w:hint="default"/>
        </w:rPr>
        <w:t>3</w:t>
      </w:r>
      <w:r>
        <w:rPr/>
        <w:t>）公司管理能力风险 </w:t>
      </w:r>
      <w:r>
        <w:rPr>
          <w:spacing w:val="-2"/>
        </w:rPr>
        <w:t>随着公司业务规模的扩大，人员的增长，对运营管控能力提出更高的要求。如果公司管理能力不能跟上规模和人员发展</w:t>
      </w:r>
    </w:p>
    <w:p>
      <w:pPr>
        <w:spacing w:after="0" w:line="360"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81" w:lineRule="auto" w:before="44"/>
        <w:ind w:left="513" w:right="184" w:hanging="360"/>
        <w:jc w:val="left"/>
      </w:pPr>
      <w:r>
        <w:rPr/>
        <w:t>的要求，将会对公司业绩产生影响。 </w:t>
      </w:r>
      <w:r>
        <w:rPr>
          <w:spacing w:val="-2"/>
        </w:rPr>
        <w:t>公司将通过进一步完善法人治理结构，建立健全的内部组织结构，细化内控的具体执行办法，完成对相关人员的业务和</w:t>
      </w:r>
    </w:p>
    <w:p>
      <w:pPr>
        <w:pStyle w:val="BodyText"/>
        <w:spacing w:line="206" w:lineRule="exact"/>
        <w:ind w:left="153" w:right="184"/>
        <w:jc w:val="left"/>
      </w:pPr>
      <w:r>
        <w:rPr/>
        <w:t>风险防范培训、考核、监督与评价工作等方式从而避免在公司管理能力出现的风险，积极应对公司规模扩张带来的挑战。</w:t>
      </w:r>
    </w:p>
    <w:p>
      <w:pPr>
        <w:pStyle w:val="BodyText"/>
        <w:spacing w:line="360" w:lineRule="auto" w:before="137"/>
        <w:ind w:left="513" w:right="91"/>
        <w:jc w:val="left"/>
      </w:pPr>
      <w:r>
        <w:rPr/>
        <w:t>（</w:t>
      </w:r>
      <w:r>
        <w:rPr>
          <w:rFonts w:ascii="Times New Roman" w:hAnsi="Times New Roman" w:cs="Times New Roman" w:eastAsia="Times New Roman" w:hint="default"/>
        </w:rPr>
        <w:t>4</w:t>
      </w:r>
      <w:r>
        <w:rPr/>
        <w:t>）新业务投入风险 公司依照发展战略及面临的市场形势，</w:t>
      </w:r>
      <w:r>
        <w:rPr>
          <w:rFonts w:ascii="Times New Roman" w:hAnsi="Times New Roman" w:cs="Times New Roman" w:eastAsia="Times New Roman" w:hint="default"/>
        </w:rPr>
        <w:t>2018</w:t>
      </w:r>
      <w:r>
        <w:rPr/>
        <w:t>年将继续保持新业务的投入力度。新业务的投入会相应增加公司经营成本，</w:t>
      </w:r>
    </w:p>
    <w:p>
      <w:pPr>
        <w:pStyle w:val="BodyText"/>
        <w:spacing w:line="199" w:lineRule="exact"/>
        <w:ind w:left="153" w:right="184"/>
        <w:jc w:val="left"/>
      </w:pPr>
      <w:r>
        <w:rPr/>
        <w:t>如遭遇重大市场环境变化，有可能达不到预期的投资目标。</w:t>
      </w:r>
    </w:p>
    <w:p>
      <w:pPr>
        <w:pStyle w:val="BodyText"/>
        <w:spacing w:line="316" w:lineRule="auto" w:before="139"/>
        <w:ind w:left="153" w:right="91" w:firstLine="360"/>
        <w:jc w:val="left"/>
      </w:pPr>
      <w:r>
        <w:rPr>
          <w:spacing w:val="-4"/>
        </w:rPr>
        <w:t>公司将通过跟踪新业务市场发展趋势，定期进行新业务研讨、严格审核大额新业务投入等措施提高新业务开展的预见性，</w:t>
      </w:r>
      <w:r>
        <w:rPr/>
        <w:t> 降低由此带来的经营风险。</w:t>
      </w:r>
    </w:p>
    <w:p>
      <w:pPr>
        <w:spacing w:line="240" w:lineRule="auto" w:before="9"/>
        <w:rPr>
          <w:rFonts w:ascii="宋体" w:hAnsi="宋体" w:cs="宋体" w:eastAsia="宋体" w:hint="default"/>
          <w:sz w:val="20"/>
          <w:szCs w:val="20"/>
        </w:rPr>
      </w:pPr>
    </w:p>
    <w:p>
      <w:pPr>
        <w:pStyle w:val="Heading2"/>
        <w:spacing w:line="240" w:lineRule="auto"/>
        <w:ind w:right="184"/>
        <w:jc w:val="left"/>
        <w:rPr>
          <w:b w:val="0"/>
          <w:bCs w:val="0"/>
        </w:rPr>
      </w:pPr>
      <w:r>
        <w:rPr/>
        <w:t>十、接待调研、沟通、采访等活动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84"/>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843"/>
        <w:gridCol w:w="2268"/>
        <w:gridCol w:w="1985"/>
        <w:gridCol w:w="3473"/>
      </w:tblGrid>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1"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3"/>
              <w:jc w:val="left"/>
              <w:rPr>
                <w:rFonts w:ascii="Times New Roman" w:hAnsi="Times New Roman" w:cs="Times New Roman" w:eastAsia="Times New Roman" w:hint="default"/>
                <w:sz w:val="18"/>
                <w:szCs w:val="18"/>
              </w:rPr>
            </w:pPr>
            <w:hyperlink r:id="rId18">
              <w:r>
                <w:rPr>
                  <w:rFonts w:ascii="Times New Roman"/>
                  <w:sz w:val="18"/>
                </w:rPr>
                <w:t>http://irm.cninfo.com.cn/ircs/ssgs/queryCompa</w:t>
              </w:r>
            </w:hyperlink>
            <w:r>
              <w:rPr>
                <w:rFonts w:ascii="Times New Roman"/>
                <w:sz w:val="18"/>
              </w:rPr>
              <w:t> nyMicroBlogForSzse.do?stockcode=002474</w:t>
            </w: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4"/>
              <w:jc w:val="left"/>
              <w:rPr>
                <w:rFonts w:ascii="Times New Roman" w:hAnsi="Times New Roman" w:cs="Times New Roman" w:eastAsia="Times New Roman" w:hint="default"/>
                <w:sz w:val="18"/>
                <w:szCs w:val="18"/>
              </w:rPr>
            </w:pPr>
            <w:hyperlink r:id="rId19">
              <w:r>
                <w:rPr>
                  <w:rFonts w:ascii="Times New Roman"/>
                  <w:spacing w:val="-1"/>
                  <w:sz w:val="18"/>
                </w:rPr>
                <w:t>http://www.cninfo.com.cn/finalpage/2017-05-0</w:t>
              </w:r>
            </w:hyperlink>
            <w:r>
              <w:rPr>
                <w:rFonts w:ascii="Times New Roman"/>
                <w:spacing w:val="-18"/>
                <w:sz w:val="18"/>
              </w:rPr>
              <w:t> </w:t>
            </w:r>
            <w:r>
              <w:rPr>
                <w:rFonts w:ascii="Times New Roman"/>
                <w:spacing w:val="-18"/>
                <w:sz w:val="18"/>
              </w:rPr>
            </w:r>
            <w:r>
              <w:rPr>
                <w:rFonts w:ascii="Times New Roman"/>
                <w:sz w:val="18"/>
              </w:rPr>
              <w:t>9/1203487008.DOC</w:t>
            </w: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4"/>
              <w:jc w:val="left"/>
              <w:rPr>
                <w:rFonts w:ascii="Times New Roman" w:hAnsi="Times New Roman" w:cs="Times New Roman" w:eastAsia="Times New Roman" w:hint="default"/>
                <w:sz w:val="18"/>
                <w:szCs w:val="18"/>
              </w:rPr>
            </w:pPr>
            <w:hyperlink r:id="rId20">
              <w:r>
                <w:rPr>
                  <w:rFonts w:ascii="Times New Roman"/>
                  <w:spacing w:val="-1"/>
                  <w:sz w:val="18"/>
                </w:rPr>
                <w:t>http://www.cninfo.com.cn/finalpage/2017-08-2</w:t>
              </w:r>
            </w:hyperlink>
            <w:r>
              <w:rPr>
                <w:rFonts w:ascii="Times New Roman"/>
                <w:spacing w:val="-18"/>
                <w:sz w:val="18"/>
              </w:rPr>
              <w:t> </w:t>
            </w:r>
            <w:r>
              <w:rPr>
                <w:rFonts w:ascii="Times New Roman"/>
                <w:spacing w:val="-18"/>
                <w:sz w:val="18"/>
              </w:rPr>
            </w:r>
            <w:r>
              <w:rPr>
                <w:rFonts w:ascii="Times New Roman"/>
                <w:sz w:val="18"/>
              </w:rPr>
              <w:t>5/1203869104.DOC</w:t>
            </w: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4"/>
              <w:jc w:val="left"/>
              <w:rPr>
                <w:rFonts w:ascii="Times New Roman" w:hAnsi="Times New Roman" w:cs="Times New Roman" w:eastAsia="Times New Roman" w:hint="default"/>
                <w:sz w:val="18"/>
                <w:szCs w:val="18"/>
              </w:rPr>
            </w:pPr>
            <w:hyperlink r:id="rId21">
              <w:r>
                <w:rPr>
                  <w:rFonts w:ascii="Times New Roman"/>
                  <w:spacing w:val="-1"/>
                  <w:sz w:val="18"/>
                </w:rPr>
                <w:t>http://www.cninfo.com.cn/finalpage/2017-08-3</w:t>
              </w:r>
            </w:hyperlink>
            <w:r>
              <w:rPr>
                <w:rFonts w:ascii="Times New Roman"/>
                <w:spacing w:val="-18"/>
                <w:sz w:val="18"/>
              </w:rPr>
              <w:t> </w:t>
            </w:r>
            <w:r>
              <w:rPr>
                <w:rFonts w:ascii="Times New Roman"/>
                <w:spacing w:val="-18"/>
                <w:sz w:val="18"/>
              </w:rPr>
            </w:r>
            <w:r>
              <w:rPr>
                <w:rFonts w:ascii="Times New Roman"/>
                <w:sz w:val="18"/>
              </w:rPr>
              <w:t>0/1203906879.DOC</w:t>
            </w: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4"/>
              <w:jc w:val="left"/>
              <w:rPr>
                <w:rFonts w:ascii="Times New Roman" w:hAnsi="Times New Roman" w:cs="Times New Roman" w:eastAsia="Times New Roman" w:hint="default"/>
                <w:sz w:val="18"/>
                <w:szCs w:val="18"/>
              </w:rPr>
            </w:pPr>
            <w:hyperlink r:id="rId22">
              <w:r>
                <w:rPr>
                  <w:rFonts w:ascii="Times New Roman"/>
                  <w:spacing w:val="-1"/>
                  <w:sz w:val="18"/>
                </w:rPr>
                <w:t>http://www.cninfo.com.cn/finalpage/2017-09-0</w:t>
              </w:r>
            </w:hyperlink>
            <w:r>
              <w:rPr>
                <w:rFonts w:ascii="Times New Roman"/>
                <w:spacing w:val="-18"/>
                <w:sz w:val="18"/>
              </w:rPr>
              <w:t> </w:t>
            </w:r>
            <w:r>
              <w:rPr>
                <w:rFonts w:ascii="Times New Roman"/>
                <w:spacing w:val="-18"/>
                <w:sz w:val="18"/>
              </w:rPr>
            </w:r>
            <w:r>
              <w:rPr>
                <w:rFonts w:ascii="Times New Roman"/>
                <w:sz w:val="18"/>
              </w:rPr>
              <w:t>1/1203923174.DOC</w:t>
            </w: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2"/>
              <w:jc w:val="left"/>
              <w:rPr>
                <w:rFonts w:ascii="Times New Roman" w:hAnsi="Times New Roman" w:cs="Times New Roman" w:eastAsia="Times New Roman" w:hint="default"/>
                <w:sz w:val="18"/>
                <w:szCs w:val="18"/>
              </w:rPr>
            </w:pPr>
            <w:hyperlink r:id="rId23">
              <w:r>
                <w:rPr>
                  <w:rFonts w:ascii="Times New Roman"/>
                  <w:spacing w:val="-1"/>
                  <w:sz w:val="18"/>
                </w:rPr>
                <w:t>http://www.cninfo.com.cn/finalpage/2017-11-1</w:t>
              </w:r>
            </w:hyperlink>
            <w:r>
              <w:rPr>
                <w:rFonts w:ascii="Times New Roman"/>
                <w:spacing w:val="-26"/>
                <w:sz w:val="18"/>
              </w:rPr>
              <w:t> </w:t>
            </w:r>
            <w:r>
              <w:rPr>
                <w:rFonts w:ascii="Times New Roman"/>
                <w:spacing w:val="-26"/>
                <w:sz w:val="18"/>
              </w:rPr>
            </w:r>
            <w:r>
              <w:rPr>
                <w:rFonts w:ascii="Times New Roman"/>
                <w:sz w:val="18"/>
              </w:rPr>
              <w:t>7/1204146266.DOC</w:t>
            </w:r>
          </w:p>
        </w:tc>
      </w:tr>
    </w:tbl>
    <w:p>
      <w:pPr>
        <w:spacing w:after="0" w:line="362" w:lineRule="auto"/>
        <w:jc w:val="left"/>
        <w:rPr>
          <w:rFonts w:ascii="Times New Roman" w:hAnsi="Times New Roman" w:cs="Times New Roman" w:eastAsia="Times New Roman" w:hint="default"/>
          <w:sz w:val="18"/>
          <w:szCs w:val="18"/>
        </w:rPr>
        <w:sectPr>
          <w:pgSz w:w="11910" w:h="16840"/>
          <w:pgMar w:header="877" w:footer="982" w:top="110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494"/>
        <w:jc w:val="center"/>
        <w:rPr>
          <w:b w:val="0"/>
          <w:bCs w:val="0"/>
        </w:rPr>
      </w:pPr>
      <w:bookmarkStart w:name="_TOC_250007" w:id="5"/>
      <w:r>
        <w:rPr/>
        <w:t>第五节</w:t>
      </w:r>
      <w:r>
        <w:rPr>
          <w:spacing w:val="-5"/>
        </w:rPr>
        <w:t> </w:t>
      </w:r>
      <w:r>
        <w:rPr/>
        <w:t>重要事项</w:t>
      </w:r>
      <w:bookmarkEnd w:id="5"/>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1258"/>
        <w:jc w:val="left"/>
        <w:rPr>
          <w:b w:val="0"/>
          <w:bCs w:val="0"/>
        </w:rPr>
      </w:pP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258"/>
        <w:jc w:val="left"/>
      </w:pPr>
      <w:r>
        <w:rPr/>
        <w:t>报告期内普通股利润分配政策，特别是现金分红政策的制定、执行或调整情况</w:t>
      </w:r>
    </w:p>
    <w:p>
      <w:pPr>
        <w:pStyle w:val="BodyText"/>
        <w:spacing w:line="240" w:lineRule="auto" w:before="117"/>
        <w:ind w:left="153"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258"/>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240" w:lineRule="auto" w:before="102"/>
        <w:ind w:right="1258"/>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2015</w:t>
      </w:r>
      <w:r>
        <w:rPr/>
        <w:t>年度权益分派预案：</w:t>
      </w:r>
    </w:p>
    <w:p>
      <w:pPr>
        <w:pStyle w:val="BodyText"/>
        <w:spacing w:line="240" w:lineRule="auto" w:before="103"/>
        <w:ind w:left="495" w:right="2137"/>
        <w:jc w:val="center"/>
      </w:pPr>
      <w:r>
        <w:rPr>
          <w:rFonts w:ascii="Times New Roman" w:hAnsi="Times New Roman" w:cs="Times New Roman" w:eastAsia="Times New Roman" w:hint="default"/>
        </w:rPr>
        <w:t>2015</w:t>
      </w:r>
      <w:r>
        <w:rPr>
          <w:rFonts w:ascii="Times New Roman" w:hAnsi="Times New Roman" w:cs="Times New Roman" w:eastAsia="Times New Roman" w:hint="default"/>
          <w:spacing w:val="26"/>
        </w:rPr>
        <w:t> </w:t>
      </w:r>
      <w:r>
        <w:rPr/>
        <w:t>年度不进行利润分配，也不进行资本公积金转增股本，公司未分配利润结转下一年度。</w:t>
      </w:r>
    </w:p>
    <w:p>
      <w:pPr>
        <w:pStyle w:val="BodyText"/>
        <w:spacing w:line="338" w:lineRule="auto" w:before="102"/>
        <w:ind w:left="514" w:right="0" w:hanging="360"/>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2016</w:t>
      </w:r>
      <w:r>
        <w:rPr/>
        <w:t>年度权益分派预案： </w:t>
      </w:r>
      <w:r>
        <w:rPr>
          <w:spacing w:val="-1"/>
        </w:rPr>
        <w:t>以</w:t>
      </w:r>
      <w:r>
        <w:rPr>
          <w:rFonts w:ascii="Times New Roman" w:hAnsi="Times New Roman" w:cs="Times New Roman" w:eastAsia="Times New Roman" w:hint="default"/>
          <w:spacing w:val="-1"/>
        </w:rPr>
        <w:t>2016</w:t>
      </w:r>
      <w:r>
        <w:rPr>
          <w:spacing w:val="-1"/>
        </w:rPr>
        <w:t>年年末总股本</w:t>
      </w:r>
      <w:r>
        <w:rPr>
          <w:rFonts w:ascii="Times New Roman" w:hAnsi="Times New Roman" w:cs="Times New Roman" w:eastAsia="Times New Roman" w:hint="default"/>
          <w:spacing w:val="-1"/>
        </w:rPr>
        <w:t>622,200,000</w:t>
      </w:r>
      <w:r>
        <w:rPr>
          <w:spacing w:val="-1"/>
        </w:rPr>
        <w:t>股为基数，向全体股东每</w:t>
      </w:r>
      <w:r>
        <w:rPr>
          <w:rFonts w:ascii="Times New Roman" w:hAnsi="Times New Roman" w:cs="Times New Roman" w:eastAsia="Times New Roman" w:hint="default"/>
          <w:spacing w:val="-1"/>
        </w:rPr>
        <w:t>10</w:t>
      </w:r>
      <w:r>
        <w:rPr>
          <w:spacing w:val="-1"/>
        </w:rPr>
        <w:t>股派现金</w:t>
      </w:r>
      <w:r>
        <w:rPr>
          <w:rFonts w:ascii="Times New Roman" w:hAnsi="Times New Roman" w:cs="Times New Roman" w:eastAsia="Times New Roman" w:hint="default"/>
          <w:spacing w:val="-1"/>
        </w:rPr>
        <w:t>0.10</w:t>
      </w:r>
      <w:r>
        <w:rPr>
          <w:spacing w:val="-1"/>
        </w:rPr>
        <w:t>元（含税），共派发股利</w:t>
      </w:r>
      <w:r>
        <w:rPr>
          <w:rFonts w:ascii="Times New Roman" w:hAnsi="Times New Roman" w:cs="Times New Roman" w:eastAsia="Times New Roman" w:hint="default"/>
          <w:spacing w:val="-1"/>
        </w:rPr>
        <w:t>6,222,000</w:t>
      </w:r>
      <w:r>
        <w:rPr>
          <w:spacing w:val="-1"/>
        </w:rPr>
        <w:t>元，剩余未</w:t>
      </w:r>
    </w:p>
    <w:p>
      <w:pPr>
        <w:pStyle w:val="BodyText"/>
        <w:spacing w:line="231" w:lineRule="exact"/>
        <w:ind w:right="1258"/>
        <w:jc w:val="left"/>
      </w:pPr>
      <w:r>
        <w:rPr/>
        <w:t>分配利润</w:t>
      </w:r>
      <w:r>
        <w:rPr>
          <w:rFonts w:ascii="Times New Roman" w:hAnsi="Times New Roman" w:cs="Times New Roman" w:eastAsia="Times New Roman" w:hint="default"/>
        </w:rPr>
        <w:t>367,591,797.59</w:t>
      </w:r>
      <w:r>
        <w:rPr/>
        <w:t>元结转下一年度，</w:t>
      </w:r>
      <w:r>
        <w:rPr>
          <w:rFonts w:ascii="Times New Roman" w:hAnsi="Times New Roman" w:cs="Times New Roman" w:eastAsia="Times New Roman" w:hint="default"/>
        </w:rPr>
        <w:t>2016</w:t>
      </w:r>
      <w:r>
        <w:rPr/>
        <w:t>年度公司不进行资本公积金转增股本。</w:t>
      </w:r>
    </w:p>
    <w:p>
      <w:pPr>
        <w:pStyle w:val="BodyText"/>
        <w:spacing w:line="338" w:lineRule="auto" w:before="103"/>
        <w:ind w:left="514" w:right="0" w:hanging="360"/>
        <w:jc w:val="left"/>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2017</w:t>
      </w:r>
      <w:r>
        <w:rPr/>
        <w:t>年度权益分派预案： </w:t>
      </w:r>
      <w:r>
        <w:rPr>
          <w:spacing w:val="-1"/>
        </w:rPr>
        <w:t>以</w:t>
      </w:r>
      <w:r>
        <w:rPr>
          <w:rFonts w:ascii="Times New Roman" w:hAnsi="Times New Roman" w:cs="Times New Roman" w:eastAsia="Times New Roman" w:hint="default"/>
          <w:spacing w:val="-1"/>
        </w:rPr>
        <w:t>2017</w:t>
      </w:r>
      <w:r>
        <w:rPr>
          <w:spacing w:val="-1"/>
        </w:rPr>
        <w:t>年年末总股本</w:t>
      </w:r>
      <w:r>
        <w:rPr>
          <w:rFonts w:ascii="Times New Roman" w:hAnsi="Times New Roman" w:cs="Times New Roman" w:eastAsia="Times New Roman" w:hint="default"/>
          <w:spacing w:val="-1"/>
        </w:rPr>
        <w:t>622,200,000</w:t>
      </w:r>
      <w:r>
        <w:rPr>
          <w:spacing w:val="-1"/>
        </w:rPr>
        <w:t>股为基数，向全体股东每</w:t>
      </w:r>
      <w:r>
        <w:rPr>
          <w:rFonts w:ascii="Times New Roman" w:hAnsi="Times New Roman" w:cs="Times New Roman" w:eastAsia="Times New Roman" w:hint="default"/>
          <w:spacing w:val="-1"/>
        </w:rPr>
        <w:t>10</w:t>
      </w:r>
      <w:r>
        <w:rPr>
          <w:spacing w:val="-1"/>
        </w:rPr>
        <w:t>股派现金</w:t>
      </w:r>
      <w:r>
        <w:rPr>
          <w:rFonts w:ascii="Times New Roman" w:hAnsi="Times New Roman" w:cs="Times New Roman" w:eastAsia="Times New Roman" w:hint="default"/>
          <w:spacing w:val="-1"/>
        </w:rPr>
        <w:t>0.10</w:t>
      </w:r>
      <w:r>
        <w:rPr>
          <w:spacing w:val="-1"/>
        </w:rPr>
        <w:t>元（含税），共派发股利</w:t>
      </w:r>
      <w:r>
        <w:rPr>
          <w:rFonts w:ascii="Times New Roman" w:hAnsi="Times New Roman" w:cs="Times New Roman" w:eastAsia="Times New Roman" w:hint="default"/>
          <w:spacing w:val="-1"/>
        </w:rPr>
        <w:t>6,222,000</w:t>
      </w:r>
      <w:r>
        <w:rPr>
          <w:spacing w:val="-1"/>
        </w:rPr>
        <w:t>元，剩余未</w:t>
      </w:r>
    </w:p>
    <w:p>
      <w:pPr>
        <w:pStyle w:val="BodyText"/>
        <w:spacing w:line="231" w:lineRule="exact"/>
        <w:ind w:right="1258"/>
        <w:jc w:val="left"/>
      </w:pPr>
      <w:r>
        <w:rPr/>
        <w:t>分配利润</w:t>
      </w:r>
      <w:r>
        <w:rPr>
          <w:rFonts w:ascii="Times New Roman" w:hAnsi="Times New Roman" w:cs="Times New Roman" w:eastAsia="Times New Roman" w:hint="default"/>
        </w:rPr>
        <w:t>402,596,388.57</w:t>
      </w:r>
      <w:r>
        <w:rPr/>
        <w:t>元结转下一年度，</w:t>
      </w:r>
      <w:r>
        <w:rPr>
          <w:rFonts w:ascii="Times New Roman" w:hAnsi="Times New Roman" w:cs="Times New Roman" w:eastAsia="Times New Roman" w:hint="default"/>
        </w:rPr>
        <w:t>2017</w:t>
      </w:r>
      <w:r>
        <w:rPr/>
        <w:t>年度公司不进行资本公积金转增股本。</w:t>
      </w:r>
    </w:p>
    <w:p>
      <w:pPr>
        <w:pStyle w:val="BodyText"/>
        <w:spacing w:line="240" w:lineRule="auto" w:before="102"/>
        <w:ind w:right="1258"/>
        <w:jc w:val="left"/>
      </w:pPr>
      <w:r>
        <w:rPr/>
        <w:t>公司近三年（包括本报告期）普通股现金分红情况表</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772"/>
        <w:gridCol w:w="1701"/>
        <w:gridCol w:w="1417"/>
        <w:gridCol w:w="1486"/>
      </w:tblGrid>
      <w:tr>
        <w:trPr>
          <w:trHeight w:val="161" w:hRule="exact"/>
        </w:trPr>
        <w:tc>
          <w:tcPr>
            <w:tcW w:w="1596" w:type="dxa"/>
            <w:vMerge w:val="restart"/>
            <w:tcBorders>
              <w:top w:val="single" w:sz="4" w:space="0" w:color="000000"/>
              <w:left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77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71" w:right="68"/>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归属于上市公司普通 股股东的净利润</w:t>
            </w:r>
          </w:p>
        </w:tc>
        <w:tc>
          <w:tcPr>
            <w:tcW w:w="1701"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4" w:right="34"/>
              <w:jc w:val="center"/>
              <w:rPr>
                <w:rFonts w:ascii="宋体" w:hAnsi="宋体" w:cs="宋体" w:eastAsia="宋体" w:hint="default"/>
                <w:sz w:val="18"/>
                <w:szCs w:val="18"/>
              </w:rPr>
            </w:pPr>
            <w:r>
              <w:rPr>
                <w:rFonts w:ascii="宋体" w:hAnsi="宋体" w:cs="宋体" w:eastAsia="宋体" w:hint="default"/>
                <w:sz w:val="18"/>
                <w:szCs w:val="18"/>
              </w:rPr>
              <w:t>占合并报表中归属于 上市公司普通股股东 的净利润的比率</w:t>
            </w:r>
          </w:p>
        </w:tc>
        <w:tc>
          <w:tcPr>
            <w:tcW w:w="1417" w:type="dxa"/>
            <w:tcBorders>
              <w:top w:val="single" w:sz="4" w:space="0" w:color="000000"/>
              <w:left w:val="single" w:sz="4" w:space="0" w:color="000000"/>
              <w:bottom w:val="nil" w:sz="6" w:space="0" w:color="auto"/>
              <w:right w:val="single" w:sz="4" w:space="0" w:color="000000"/>
            </w:tcBorders>
            <w:shd w:val="clear" w:color="auto" w:fill="D3D3D3"/>
          </w:tcPr>
          <w:p>
            <w:pPr/>
          </w:p>
        </w:tc>
        <w:tc>
          <w:tcPr>
            <w:tcW w:w="148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3D3D3"/>
          </w:tcPr>
          <w:p>
            <w:pPr/>
          </w:p>
        </w:tc>
        <w:tc>
          <w:tcPr>
            <w:tcW w:w="159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611"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772" w:type="dxa"/>
            <w:vMerge/>
            <w:tcBorders>
              <w:left w:val="single" w:sz="4" w:space="0" w:color="000000"/>
              <w:right w:val="single" w:sz="4" w:space="0" w:color="000000"/>
            </w:tcBorders>
            <w:shd w:val="clear" w:color="auto" w:fill="D3D3D3"/>
          </w:tcPr>
          <w:p>
            <w:pPr/>
          </w:p>
        </w:tc>
        <w:tc>
          <w:tcPr>
            <w:tcW w:w="1701" w:type="dxa"/>
            <w:vMerge/>
            <w:tcBorders>
              <w:left w:val="single" w:sz="4" w:space="0" w:color="000000"/>
              <w:right w:val="single" w:sz="4" w:space="0" w:color="000000"/>
            </w:tcBorders>
            <w:shd w:val="clear" w:color="auto" w:fill="D3D3D3"/>
          </w:tcPr>
          <w:p>
            <w:pPr/>
          </w:p>
        </w:tc>
        <w:tc>
          <w:tcPr>
            <w:tcW w:w="1417"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53" w:right="71"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分红的金额</w:t>
            </w:r>
          </w:p>
        </w:tc>
        <w:tc>
          <w:tcPr>
            <w:tcW w:w="148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88" w:right="107"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3D3D3"/>
          </w:tcPr>
          <w:p>
            <w:pPr/>
          </w:p>
        </w:tc>
        <w:tc>
          <w:tcPr>
            <w:tcW w:w="1772" w:type="dxa"/>
            <w:vMerge/>
            <w:tcBorders>
              <w:left w:val="single" w:sz="4" w:space="0" w:color="000000"/>
              <w:right w:val="single" w:sz="4" w:space="0" w:color="000000"/>
            </w:tcBorders>
            <w:shd w:val="clear" w:color="auto" w:fill="D3D3D3"/>
          </w:tcPr>
          <w:p>
            <w:pPr/>
          </w:p>
        </w:tc>
        <w:tc>
          <w:tcPr>
            <w:tcW w:w="1701"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shd w:val="clear" w:color="auto" w:fill="D3D3D3"/>
          </w:tcPr>
          <w:p>
            <w:pPr/>
          </w:p>
        </w:tc>
        <w:tc>
          <w:tcPr>
            <w:tcW w:w="1486" w:type="dxa"/>
            <w:vMerge/>
            <w:tcBorders>
              <w:left w:val="single" w:sz="4" w:space="0" w:color="000000"/>
              <w:right w:val="single" w:sz="4" w:space="0" w:color="000000"/>
            </w:tcBorders>
            <w:shd w:val="clear" w:color="auto" w:fill="D3D3D3"/>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3D3D3"/>
          </w:tcPr>
          <w:p>
            <w:pPr/>
          </w:p>
        </w:tc>
        <w:tc>
          <w:tcPr>
            <w:tcW w:w="1594" w:type="dxa"/>
            <w:vMerge/>
            <w:tcBorders>
              <w:left w:val="single" w:sz="4" w:space="0" w:color="000000"/>
              <w:bottom w:val="nil" w:sz="6" w:space="0" w:color="auto"/>
              <w:right w:val="single" w:sz="4" w:space="0" w:color="000000"/>
            </w:tcBorders>
            <w:shd w:val="clear" w:color="auto" w:fill="D3D3D3"/>
          </w:tcPr>
          <w:p>
            <w:pPr/>
          </w:p>
        </w:tc>
        <w:tc>
          <w:tcPr>
            <w:tcW w:w="1772" w:type="dxa"/>
            <w:vMerge/>
            <w:tcBorders>
              <w:left w:val="single" w:sz="4" w:space="0" w:color="000000"/>
              <w:right w:val="single" w:sz="4" w:space="0" w:color="000000"/>
            </w:tcBorders>
            <w:shd w:val="clear" w:color="auto" w:fill="D3D3D3"/>
          </w:tcPr>
          <w:p>
            <w:pPr/>
          </w:p>
        </w:tc>
        <w:tc>
          <w:tcPr>
            <w:tcW w:w="1701"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bottom w:val="nil" w:sz="6" w:space="0" w:color="auto"/>
              <w:right w:val="single" w:sz="4" w:space="0" w:color="000000"/>
            </w:tcBorders>
            <w:shd w:val="clear" w:color="auto" w:fill="D3D3D3"/>
          </w:tcPr>
          <w:p>
            <w:pPr/>
          </w:p>
        </w:tc>
        <w:tc>
          <w:tcPr>
            <w:tcW w:w="1486"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772" w:type="dxa"/>
            <w:vMerge/>
            <w:tcBorders>
              <w:left w:val="single" w:sz="4" w:space="0" w:color="000000"/>
              <w:bottom w:val="single" w:sz="4" w:space="0" w:color="000000"/>
              <w:right w:val="single" w:sz="4" w:space="0" w:color="000000"/>
            </w:tcBorders>
            <w:shd w:val="clear" w:color="auto" w:fill="D3D3D3"/>
          </w:tcPr>
          <w:p>
            <w:pPr/>
          </w:p>
        </w:tc>
        <w:tc>
          <w:tcPr>
            <w:tcW w:w="1701"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shd w:val="clear" w:color="auto" w:fill="D3D3D3"/>
          </w:tcPr>
          <w:p>
            <w:pPr/>
          </w:p>
        </w:tc>
        <w:tc>
          <w:tcPr>
            <w:tcW w:w="148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6,222,000.00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32,763,224.88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18.99%</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6,222,000.00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24,845,319.23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25.04%</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15,830,627.57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258"/>
        <w:jc w:val="left"/>
      </w:pPr>
      <w:r>
        <w:rPr/>
        <w:t>公司报告期内盈利且母公司可供普通股股东分配利润为正但未提出普通股现金红利分配预案</w:t>
      </w:r>
    </w:p>
    <w:p>
      <w:pPr>
        <w:pStyle w:val="BodyText"/>
        <w:spacing w:line="240" w:lineRule="auto" w:before="117"/>
        <w:ind w:left="153"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258"/>
        <w:jc w:val="left"/>
        <w:rPr>
          <w:b w:val="0"/>
          <w:bCs w:val="0"/>
        </w:rPr>
      </w:pP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772"/>
        <w:gridCol w:w="5784"/>
      </w:tblGrid>
      <w:tr>
        <w:trPr>
          <w:trHeight w:val="402" w:hRule="exact"/>
        </w:trPr>
        <w:tc>
          <w:tcPr>
            <w:tcW w:w="3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3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622,200,000</w:t>
            </w:r>
          </w:p>
        </w:tc>
      </w:tr>
      <w:tr>
        <w:trPr>
          <w:trHeight w:val="402" w:hRule="exact"/>
        </w:trPr>
        <w:tc>
          <w:tcPr>
            <w:tcW w:w="3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6,222,000</w:t>
            </w:r>
          </w:p>
        </w:tc>
      </w:tr>
      <w:tr>
        <w:trPr>
          <w:trHeight w:val="402" w:hRule="exact"/>
        </w:trPr>
        <w:tc>
          <w:tcPr>
            <w:tcW w:w="3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408,818,388.57</w:t>
            </w:r>
          </w:p>
        </w:tc>
      </w:tr>
      <w:tr>
        <w:trPr>
          <w:trHeight w:val="403" w:hRule="exact"/>
        </w:trPr>
        <w:tc>
          <w:tcPr>
            <w:tcW w:w="3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2"/>
        <w:rPr>
          <w:rFonts w:ascii="宋体" w:hAnsi="宋体" w:cs="宋体" w:eastAsia="宋体" w:hint="default"/>
          <w:sz w:val="24"/>
          <w:szCs w:val="24"/>
        </w:rPr>
      </w:pPr>
      <w:r>
        <w:rPr/>
        <w:pict>
          <v:group style="position:absolute;margin-left:382.980011pt;margin-top:350pt;width:49.15pt;height:119.05pt;mso-position-horizontal-relative:page;mso-position-vertical-relative:page;z-index:-1148224" coordorigin="7660,7000" coordsize="983,2381">
            <v:group style="position:absolute;left:7660;top:7000;width:983;height:2028" coordorigin="7660,7000" coordsize="983,2028">
              <v:shape style="position:absolute;left:7660;top:7000;width:983;height:2028" coordorigin="7660,7000" coordsize="983,2028" path="m7660,9028l8642,9028,8642,7000,7660,7000,7660,9028xe" filled="true" fillcolor="#ffffff" stroked="false">
                <v:path arrowok="t"/>
                <v:fill type="solid"/>
              </v:shape>
            </v:group>
            <v:group style="position:absolute;left:7682;top:9028;width:936;height:353" coordorigin="7682,9028" coordsize="936,353">
              <v:shape style="position:absolute;left:7682;top:9028;width:936;height:353" coordorigin="7682,9028" coordsize="936,353" path="m7682,9380l8618,9380,8618,9028,7682,9028,7682,9380xe" filled="true" fillcolor="#ffffff" stroked="false">
                <v:path arrowok="t"/>
                <v:fill type="solid"/>
              </v:shape>
            </v:group>
            <w10:wrap type="none"/>
          </v:group>
        </w:pict>
      </w:r>
    </w:p>
    <w:p>
      <w:pPr>
        <w:spacing w:line="1447" w:lineRule="exact"/>
        <w:ind w:left="144" w:right="0" w:firstLine="0"/>
        <w:rPr>
          <w:rFonts w:ascii="宋体" w:hAnsi="宋体" w:cs="宋体" w:eastAsia="宋体" w:hint="default"/>
          <w:sz w:val="20"/>
          <w:szCs w:val="20"/>
        </w:rPr>
      </w:pPr>
      <w:r>
        <w:rPr>
          <w:rFonts w:ascii="宋体" w:hAnsi="宋体" w:cs="宋体" w:eastAsia="宋体" w:hint="default"/>
          <w:position w:val="-28"/>
          <w:sz w:val="20"/>
          <w:szCs w:val="20"/>
        </w:rPr>
        <w:pict>
          <v:group style="width:482pt;height:72.4pt;mso-position-horizontal-relative:char;mso-position-vertical-relative:line" coordorigin="0,0" coordsize="9640,1448">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d3d3d3">
                <v:path arrowok="t"/>
              </v:shape>
            </v:group>
            <v:group style="position:absolute;left:37;top:14;width:9513;height:393" coordorigin="37,14" coordsize="9513,393">
              <v:shape style="position:absolute;left:37;top:14;width:9513;height:393" coordorigin="37,14" coordsize="9513,393" path="m37,407l9550,407,9550,14,37,14,37,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7998pt" strokecolor="#000000">
                <v:path arrowok="t"/>
              </v:shape>
            </v:group>
            <v:group style="position:absolute;left:10;top:5;width:2;height:1438" coordorigin="10,5" coordsize="2,1438">
              <v:shape style="position:absolute;left:10;top:5;width:2;height:1438" coordorigin="10,5" coordsize="0,1438" path="m10,5l10,1442e" filled="false" stroked="true" strokeweight=".48001pt" strokecolor="#000000">
                <v:path arrowok="t"/>
              </v:shape>
            </v:group>
            <v:group style="position:absolute;left:5;top:1438;width:9568;height:2" coordorigin="5,1438" coordsize="9568,2">
              <v:shape style="position:absolute;left:5;top:1438;width:9568;height:2" coordorigin="5,1438" coordsize="9568,0" path="m5,1438l9572,1438e" filled="false" stroked="true" strokeweight=".48004pt" strokecolor="#000000">
                <v:path arrowok="t"/>
              </v:shape>
            </v:group>
            <v:group style="position:absolute;left:9577;top:5;width:2;height:1438" coordorigin="9577,5" coordsize="2,1438">
              <v:shape style="position:absolute;left:9577;top:5;width:2;height:1438" coordorigin="9577,5" coordsize="0,1438" path="m9577,5l9577,1442e" filled="false" stroked="true" strokeweight=".47998pt" strokecolor="#000000">
                <v:path arrowok="t"/>
              </v:shape>
              <v:shape style="position:absolute;left:10;top:10;width:9568;height:402" type="#_x0000_t202" filled="false" stroked="false">
                <v:textbox inset="0,0,0,0">
                  <w:txbxContent>
                    <w:p>
                      <w:pPr>
                        <w:spacing w:before="56"/>
                        <w:ind w:left="2893" w:right="0" w:firstLine="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xbxContent>
                </v:textbox>
                <w10:wrap type="none"/>
              </v:shape>
              <v:shape style="position:absolute;left:10;top:412;width:9568;height:1026" type="#_x0000_t202" filled="false" stroked="false">
                <v:textbox inset="0,0,0,0">
                  <w:txbxContent>
                    <w:p>
                      <w:pPr>
                        <w:spacing w:before="56"/>
                        <w:ind w:left="387" w:right="0" w:firstLine="0"/>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日召开的第四届董事会第九次会议审议通过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年度利润分配预案为：以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年年末总股本</w:t>
                      </w:r>
                    </w:p>
                    <w:p>
                      <w:pPr>
                        <w:spacing w:line="302" w:lineRule="auto" w:before="63"/>
                        <w:ind w:left="27" w:right="1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622,200,000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股派现金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0.10</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元（含税），共派发现金股利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6,222,000.00</w:t>
                      </w:r>
                      <w:r>
                        <w:rPr>
                          <w:rFonts w:ascii="Times New Roman" w:hAnsi="Times New Roman" w:cs="Times New Roman" w:eastAsia="Times New Roman" w:hint="default"/>
                          <w:spacing w:val="-2"/>
                          <w:sz w:val="18"/>
                          <w:szCs w:val="18"/>
                        </w:rPr>
                        <w:t> </w:t>
                      </w:r>
                      <w:r>
                        <w:rPr>
                          <w:rFonts w:ascii="宋体" w:hAnsi="宋体" w:cs="宋体" w:eastAsia="宋体" w:hint="default"/>
                          <w:spacing w:val="-14"/>
                          <w:sz w:val="18"/>
                          <w:szCs w:val="18"/>
                        </w:rPr>
                        <w:t>元（含税），送红股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宋体" w:hAnsi="宋体" w:cs="宋体" w:eastAsia="宋体" w:hint="default"/>
                          <w:spacing w:val="1"/>
                          <w:sz w:val="18"/>
                          <w:szCs w:val="18"/>
                        </w:rPr>
                        <w:t> </w:t>
                      </w:r>
                      <w:r>
                        <w:rPr>
                          <w:rFonts w:ascii="宋体" w:hAnsi="宋体" w:cs="宋体" w:eastAsia="宋体" w:hint="default"/>
                          <w:sz w:val="18"/>
                          <w:szCs w:val="18"/>
                        </w:rPr>
                        <w:t>不以公积金转增股本。</w:t>
                      </w:r>
                    </w:p>
                  </w:txbxContent>
                </v:textbox>
                <w10:wrap type="none"/>
              </v:shape>
              <v:shape style="position:absolute;left:9458;top:835;width:18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28"/>
          <w:sz w:val="20"/>
          <w:szCs w:val="20"/>
        </w:rPr>
      </w:r>
    </w:p>
    <w:p>
      <w:pPr>
        <w:spacing w:line="240" w:lineRule="auto" w:before="10"/>
        <w:rPr>
          <w:rFonts w:ascii="宋体" w:hAnsi="宋体" w:cs="宋体" w:eastAsia="宋体" w:hint="default"/>
          <w:sz w:val="17"/>
          <w:szCs w:val="17"/>
        </w:rPr>
      </w:pPr>
    </w:p>
    <w:p>
      <w:pPr>
        <w:pStyle w:val="Heading2"/>
        <w:spacing w:line="240" w:lineRule="auto" w:before="26"/>
        <w:ind w:right="1258"/>
        <w:jc w:val="left"/>
        <w:rPr>
          <w:b w:val="0"/>
          <w:bCs w:val="0"/>
        </w:rPr>
      </w:pP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right="151"/>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859"/>
        <w:gridCol w:w="1700"/>
        <w:gridCol w:w="992"/>
        <w:gridCol w:w="947"/>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13" w:space="0" w:color="D3D3D3"/>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3D3D3"/>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13" w:space="0" w:color="D3D3D3"/>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在本公司任董事、高</w:t>
            </w:r>
          </w:p>
        </w:tc>
        <w:tc>
          <w:tcPr>
            <w:tcW w:w="992" w:type="dxa"/>
            <w:tcBorders>
              <w:top w:val="single" w:sz="4" w:space="0" w:color="000000"/>
              <w:left w:val="single" w:sz="4" w:space="0" w:color="000000"/>
              <w:bottom w:val="nil" w:sz="6" w:space="0" w:color="auto"/>
              <w:right w:val="single" w:sz="4" w:space="0" w:color="000000"/>
            </w:tcBorders>
          </w:tcPr>
          <w:p>
            <w:pPr/>
          </w:p>
        </w:tc>
        <w:tc>
          <w:tcPr>
            <w:tcW w:w="947"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级管理人员的股东鲁</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峰、侯伟承诺：在其</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任职期间每年转让的</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股份不得超过其所持</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有本公司股份总数的</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在职期间</w:t>
            </w:r>
          </w:p>
        </w:tc>
        <w:tc>
          <w:tcPr>
            <w:tcW w:w="1108" w:type="dxa"/>
            <w:tcBorders>
              <w:top w:val="nil" w:sz="6" w:space="0" w:color="auto"/>
              <w:left w:val="single" w:sz="4" w:space="0" w:color="000000"/>
              <w:bottom w:val="nil" w:sz="6" w:space="0" w:color="auto"/>
              <w:right w:val="single" w:sz="4" w:space="0" w:color="000000"/>
            </w:tcBorders>
          </w:tcPr>
          <w:p>
            <w:pPr/>
          </w:p>
        </w:tc>
      </w:tr>
      <w:tr>
        <w:trPr>
          <w:trHeight w:val="941"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鲁峰、侯伟</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700" w:type="dxa"/>
            <w:tcBorders>
              <w:top w:val="nil" w:sz="6" w:space="0" w:color="auto"/>
              <w:left w:val="single" w:sz="4" w:space="0" w:color="000000"/>
              <w:bottom w:val="nil" w:sz="6" w:space="0" w:color="auto"/>
              <w:right w:val="single" w:sz="9" w:space="0" w:color="FFFFFF"/>
            </w:tcBorders>
          </w:tcPr>
          <w:p>
            <w:pPr>
              <w:pStyle w:val="TableParagraph"/>
              <w:spacing w:line="309" w:lineRule="auto" w:before="10"/>
              <w:ind w:left="22" w:right="3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；离职后半年内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不转让其所持有的本 公司股份；申报离职</w:t>
            </w:r>
          </w:p>
        </w:tc>
        <w:tc>
          <w:tcPr>
            <w:tcW w:w="992" w:type="dxa"/>
            <w:tcBorders>
              <w:top w:val="nil" w:sz="6" w:space="0" w:color="auto"/>
              <w:left w:val="single" w:sz="9" w:space="0" w:color="FFFFFF"/>
              <w:bottom w:val="nil" w:sz="6" w:space="0" w:color="auto"/>
              <w:right w:val="single" w:sz="4" w:space="0" w:color="000000"/>
            </w:tcBorders>
          </w:tcPr>
          <w:p>
            <w:pPr>
              <w:pStyle w:val="TableParagraph"/>
              <w:spacing w:line="196" w:lineRule="exact" w:before="10"/>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以及申报 离职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在承诺期限 </w:t>
            </w:r>
            <w:r>
              <w:rPr>
                <w:rFonts w:ascii="宋体" w:hAnsi="宋体" w:cs="宋体" w:eastAsia="宋体" w:hint="default"/>
                <w:spacing w:val="-5"/>
                <w:sz w:val="18"/>
                <w:szCs w:val="18"/>
              </w:rPr>
              <w:t>内，按承诺持</w:t>
            </w:r>
            <w:r>
              <w:rPr>
                <w:rFonts w:ascii="宋体" w:hAnsi="宋体" w:cs="宋体" w:eastAsia="宋体" w:hint="default"/>
                <w:sz w:val="18"/>
                <w:szCs w:val="18"/>
              </w:rPr>
              <w:t> 续履行中</w:t>
            </w: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个月后的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个月内</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月内</w:t>
            </w: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通过证券交易所挂牌</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交易出售的发行人股</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140" w:hRule="exact"/>
        </w:trPr>
        <w:tc>
          <w:tcPr>
            <w:tcW w:w="2836" w:type="dxa"/>
            <w:vMerge/>
            <w:tcBorders>
              <w:left w:val="single" w:sz="4" w:space="0" w:color="000000"/>
              <w:bottom w:val="nil" w:sz="6" w:space="0" w:color="auto"/>
              <w:right w:val="single" w:sz="4" w:space="0" w:color="000000"/>
            </w:tcBorders>
            <w:shd w:val="clear" w:color="auto" w:fill="D3D3D3"/>
          </w:tcPr>
          <w:p>
            <w:pPr/>
          </w:p>
        </w:tc>
        <w:tc>
          <w:tcPr>
            <w:tcW w:w="1126" w:type="dxa"/>
            <w:vMerge w:val="restart"/>
            <w:tcBorders>
              <w:top w:val="nil" w:sz="6" w:space="0" w:color="auto"/>
              <w:left w:val="single" w:sz="13" w:space="0" w:color="D3D3D3"/>
              <w:right w:val="single" w:sz="4" w:space="0" w:color="000000"/>
            </w:tcBorders>
          </w:tcPr>
          <w:p>
            <w:pPr/>
          </w:p>
        </w:tc>
        <w:tc>
          <w:tcPr>
            <w:tcW w:w="859" w:type="dxa"/>
            <w:vMerge w:val="restart"/>
            <w:tcBorders>
              <w:top w:val="nil" w:sz="6" w:space="0" w:color="auto"/>
              <w:left w:val="single" w:sz="4" w:space="0" w:color="000000"/>
              <w:right w:val="single" w:sz="4" w:space="0" w:color="000000"/>
            </w:tcBorders>
          </w:tcPr>
          <w:p>
            <w:pPr/>
          </w:p>
        </w:tc>
        <w:tc>
          <w:tcPr>
            <w:tcW w:w="1700" w:type="dxa"/>
            <w:vMerge w:val="restart"/>
            <w:tcBorders>
              <w:top w:val="nil" w:sz="6" w:space="0" w:color="auto"/>
              <w:left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票数量占其所持有发</w:t>
            </w:r>
          </w:p>
        </w:tc>
        <w:tc>
          <w:tcPr>
            <w:tcW w:w="992" w:type="dxa"/>
            <w:vMerge w:val="restart"/>
            <w:tcBorders>
              <w:top w:val="nil" w:sz="6" w:space="0" w:color="auto"/>
              <w:left w:val="single" w:sz="4" w:space="0" w:color="000000"/>
              <w:right w:val="single" w:sz="4" w:space="0" w:color="000000"/>
            </w:tcBorders>
          </w:tcPr>
          <w:p>
            <w:pPr/>
          </w:p>
        </w:tc>
        <w:tc>
          <w:tcPr>
            <w:tcW w:w="947" w:type="dxa"/>
            <w:vMerge w:val="restart"/>
            <w:tcBorders>
              <w:top w:val="nil" w:sz="6" w:space="0" w:color="auto"/>
              <w:left w:val="single" w:sz="4" w:space="0" w:color="000000"/>
              <w:right w:val="single" w:sz="4" w:space="0" w:color="000000"/>
            </w:tcBorders>
          </w:tcPr>
          <w:p>
            <w:pPr/>
          </w:p>
        </w:tc>
        <w:tc>
          <w:tcPr>
            <w:tcW w:w="1108" w:type="dxa"/>
            <w:vMerge w:val="restart"/>
            <w:tcBorders>
              <w:top w:val="nil" w:sz="6" w:space="0" w:color="auto"/>
              <w:left w:val="single" w:sz="4" w:space="0" w:color="000000"/>
              <w:right w:val="single" w:sz="4" w:space="0" w:color="000000"/>
            </w:tcBorders>
          </w:tcPr>
          <w:p>
            <w:pPr/>
          </w:p>
        </w:tc>
      </w:tr>
      <w:tr>
        <w:trPr>
          <w:trHeight w:val="172" w:hRule="exact"/>
        </w:trPr>
        <w:tc>
          <w:tcPr>
            <w:tcW w:w="283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vMerge/>
            <w:tcBorders>
              <w:left w:val="single" w:sz="13" w:space="0" w:color="D3D3D3"/>
              <w:bottom w:val="nil" w:sz="6" w:space="0" w:color="auto"/>
              <w:right w:val="single" w:sz="4" w:space="0" w:color="000000"/>
            </w:tcBorders>
          </w:tcPr>
          <w:p>
            <w:pPr/>
          </w:p>
        </w:tc>
        <w:tc>
          <w:tcPr>
            <w:tcW w:w="859" w:type="dxa"/>
            <w:vMerge/>
            <w:tcBorders>
              <w:left w:val="single" w:sz="4" w:space="0" w:color="000000"/>
              <w:bottom w:val="nil" w:sz="6" w:space="0" w:color="auto"/>
              <w:right w:val="single" w:sz="4" w:space="0" w:color="000000"/>
            </w:tcBorders>
          </w:tcPr>
          <w:p>
            <w:pPr/>
          </w:p>
        </w:tc>
        <w:tc>
          <w:tcPr>
            <w:tcW w:w="1700" w:type="dxa"/>
            <w:vMerge/>
            <w:tcBorders>
              <w:left w:val="single" w:sz="4" w:space="0" w:color="000000"/>
              <w:bottom w:val="nil" w:sz="6" w:space="0" w:color="auto"/>
              <w:right w:val="single" w:sz="4" w:space="0" w:color="000000"/>
            </w:tcBorders>
          </w:tcPr>
          <w:p>
            <w:pPr/>
          </w:p>
        </w:tc>
        <w:tc>
          <w:tcPr>
            <w:tcW w:w="992" w:type="dxa"/>
            <w:vMerge/>
            <w:tcBorders>
              <w:left w:val="single" w:sz="4" w:space="0" w:color="000000"/>
              <w:bottom w:val="nil" w:sz="6" w:space="0" w:color="auto"/>
              <w:right w:val="single" w:sz="4" w:space="0" w:color="000000"/>
            </w:tcBorders>
          </w:tcPr>
          <w:p>
            <w:pPr/>
          </w:p>
        </w:tc>
        <w:tc>
          <w:tcPr>
            <w:tcW w:w="947" w:type="dxa"/>
            <w:vMerge/>
            <w:tcBorders>
              <w:left w:val="single" w:sz="4" w:space="0" w:color="000000"/>
              <w:bottom w:val="nil" w:sz="6" w:space="0" w:color="auto"/>
              <w:right w:val="single" w:sz="4" w:space="0" w:color="000000"/>
            </w:tcBorders>
          </w:tcPr>
          <w:p>
            <w:pPr/>
          </w:p>
        </w:tc>
        <w:tc>
          <w:tcPr>
            <w:tcW w:w="1108" w:type="dxa"/>
            <w:vMerge/>
            <w:tcBorders>
              <w:left w:val="single" w:sz="4" w:space="0" w:color="000000"/>
              <w:bottom w:val="nil" w:sz="6" w:space="0" w:color="auto"/>
              <w:right w:val="single" w:sz="4" w:space="0" w:color="000000"/>
            </w:tcBorders>
          </w:tcPr>
          <w:p>
            <w:pPr/>
          </w:p>
        </w:tc>
      </w:tr>
      <w:tr>
        <w:trPr>
          <w:trHeight w:val="221" w:hRule="exact"/>
        </w:trPr>
        <w:tc>
          <w:tcPr>
            <w:tcW w:w="2836" w:type="dxa"/>
            <w:vMerge/>
            <w:tcBorders>
              <w:left w:val="single" w:sz="4" w:space="0" w:color="000000"/>
              <w:bottom w:val="nil" w:sz="6" w:space="0" w:color="auto"/>
              <w:right w:val="single" w:sz="4" w:space="0" w:color="000000"/>
            </w:tcBorders>
            <w:shd w:val="clear" w:color="auto" w:fill="D3D3D3"/>
          </w:tcPr>
          <w:p>
            <w:pPr/>
          </w:p>
        </w:tc>
        <w:tc>
          <w:tcPr>
            <w:tcW w:w="1126" w:type="dxa"/>
            <w:vMerge w:val="restart"/>
            <w:tcBorders>
              <w:top w:val="nil" w:sz="6" w:space="0" w:color="auto"/>
              <w:left w:val="single" w:sz="13" w:space="0" w:color="D3D3D3"/>
              <w:right w:val="single" w:sz="4" w:space="0" w:color="000000"/>
            </w:tcBorders>
          </w:tcPr>
          <w:p>
            <w:pPr/>
          </w:p>
        </w:tc>
        <w:tc>
          <w:tcPr>
            <w:tcW w:w="859" w:type="dxa"/>
            <w:vMerge w:val="restart"/>
            <w:tcBorders>
              <w:top w:val="nil" w:sz="6" w:space="0" w:color="auto"/>
              <w:left w:val="single" w:sz="4" w:space="0" w:color="000000"/>
              <w:right w:val="single" w:sz="4" w:space="0" w:color="000000"/>
            </w:tcBorders>
          </w:tcPr>
          <w:p>
            <w:pPr/>
          </w:p>
        </w:tc>
        <w:tc>
          <w:tcPr>
            <w:tcW w:w="1700" w:type="dxa"/>
            <w:vMerge w:val="restart"/>
            <w:tcBorders>
              <w:top w:val="nil" w:sz="6" w:space="0" w:color="auto"/>
              <w:left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行人股票总数的比例</w:t>
            </w:r>
          </w:p>
        </w:tc>
        <w:tc>
          <w:tcPr>
            <w:tcW w:w="992" w:type="dxa"/>
            <w:vMerge w:val="restart"/>
            <w:tcBorders>
              <w:top w:val="nil" w:sz="6" w:space="0" w:color="auto"/>
              <w:left w:val="single" w:sz="4" w:space="0" w:color="000000"/>
              <w:right w:val="single" w:sz="4" w:space="0" w:color="000000"/>
            </w:tcBorders>
          </w:tcPr>
          <w:p>
            <w:pPr/>
          </w:p>
        </w:tc>
        <w:tc>
          <w:tcPr>
            <w:tcW w:w="947" w:type="dxa"/>
            <w:vMerge w:val="restart"/>
            <w:tcBorders>
              <w:top w:val="nil" w:sz="6" w:space="0" w:color="auto"/>
              <w:left w:val="single" w:sz="4" w:space="0" w:color="000000"/>
              <w:right w:val="single" w:sz="4" w:space="0" w:color="000000"/>
            </w:tcBorders>
          </w:tcPr>
          <w:p>
            <w:pPr/>
          </w:p>
        </w:tc>
        <w:tc>
          <w:tcPr>
            <w:tcW w:w="1108" w:type="dxa"/>
            <w:vMerge w:val="restart"/>
            <w:tcBorders>
              <w:top w:val="nil" w:sz="6" w:space="0" w:color="auto"/>
              <w:left w:val="single" w:sz="4" w:space="0" w:color="000000"/>
              <w:right w:val="single" w:sz="4" w:space="0" w:color="000000"/>
            </w:tcBorders>
          </w:tcPr>
          <w:p>
            <w:pPr/>
          </w:p>
        </w:tc>
      </w:tr>
      <w:tr>
        <w:trPr>
          <w:trHeight w:val="92" w:hRule="exact"/>
        </w:trPr>
        <w:tc>
          <w:tcPr>
            <w:tcW w:w="2836" w:type="dxa"/>
            <w:vMerge w:val="restart"/>
            <w:tcBorders>
              <w:top w:val="nil" w:sz="6" w:space="0" w:color="auto"/>
              <w:left w:val="single" w:sz="4" w:space="0" w:color="000000"/>
              <w:right w:val="single" w:sz="4" w:space="0" w:color="000000"/>
            </w:tcBorders>
            <w:shd w:val="clear" w:color="auto" w:fill="D3D3D3"/>
          </w:tcPr>
          <w:p>
            <w:pPr/>
          </w:p>
        </w:tc>
        <w:tc>
          <w:tcPr>
            <w:tcW w:w="1126" w:type="dxa"/>
            <w:vMerge/>
            <w:tcBorders>
              <w:left w:val="single" w:sz="13" w:space="0" w:color="D3D3D3"/>
              <w:bottom w:val="nil" w:sz="6" w:space="0" w:color="auto"/>
              <w:right w:val="single" w:sz="4" w:space="0" w:color="000000"/>
            </w:tcBorders>
          </w:tcPr>
          <w:p>
            <w:pPr/>
          </w:p>
        </w:tc>
        <w:tc>
          <w:tcPr>
            <w:tcW w:w="859" w:type="dxa"/>
            <w:vMerge/>
            <w:tcBorders>
              <w:left w:val="single" w:sz="4" w:space="0" w:color="000000"/>
              <w:bottom w:val="nil" w:sz="6" w:space="0" w:color="auto"/>
              <w:right w:val="single" w:sz="4" w:space="0" w:color="000000"/>
            </w:tcBorders>
          </w:tcPr>
          <w:p>
            <w:pPr/>
          </w:p>
        </w:tc>
        <w:tc>
          <w:tcPr>
            <w:tcW w:w="1700" w:type="dxa"/>
            <w:vMerge/>
            <w:tcBorders>
              <w:left w:val="single" w:sz="4" w:space="0" w:color="000000"/>
              <w:bottom w:val="nil" w:sz="6" w:space="0" w:color="auto"/>
              <w:right w:val="single" w:sz="4" w:space="0" w:color="000000"/>
            </w:tcBorders>
          </w:tcPr>
          <w:p>
            <w:pPr/>
          </w:p>
        </w:tc>
        <w:tc>
          <w:tcPr>
            <w:tcW w:w="992" w:type="dxa"/>
            <w:vMerge/>
            <w:tcBorders>
              <w:left w:val="single" w:sz="4" w:space="0" w:color="000000"/>
              <w:bottom w:val="nil" w:sz="6" w:space="0" w:color="auto"/>
              <w:right w:val="single" w:sz="4" w:space="0" w:color="000000"/>
            </w:tcBorders>
          </w:tcPr>
          <w:p>
            <w:pPr/>
          </w:p>
        </w:tc>
        <w:tc>
          <w:tcPr>
            <w:tcW w:w="947" w:type="dxa"/>
            <w:vMerge/>
            <w:tcBorders>
              <w:left w:val="single" w:sz="4" w:space="0" w:color="000000"/>
              <w:bottom w:val="nil" w:sz="6" w:space="0" w:color="auto"/>
              <w:right w:val="single" w:sz="4" w:space="0" w:color="000000"/>
            </w:tcBorders>
          </w:tcPr>
          <w:p>
            <w:pPr/>
          </w:p>
        </w:tc>
        <w:tc>
          <w:tcPr>
            <w:tcW w:w="1108" w:type="dxa"/>
            <w:vMerge/>
            <w:tcBorders>
              <w:left w:val="single" w:sz="4" w:space="0" w:color="000000"/>
              <w:bottom w:val="nil" w:sz="6" w:space="0" w:color="auto"/>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992" w:type="dxa"/>
            <w:tcBorders>
              <w:top w:val="nil" w:sz="6" w:space="0" w:color="auto"/>
              <w:left w:val="single" w:sz="4" w:space="0" w:color="000000"/>
              <w:bottom w:val="single" w:sz="4" w:space="0" w:color="000000"/>
              <w:right w:val="single" w:sz="4" w:space="0" w:color="000000"/>
            </w:tcBorders>
          </w:tcPr>
          <w:p>
            <w:pPr/>
          </w:p>
        </w:tc>
        <w:tc>
          <w:tcPr>
            <w:tcW w:w="947"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2836" w:type="dxa"/>
            <w:vMerge/>
            <w:tcBorders>
              <w:left w:val="single" w:sz="4" w:space="0" w:color="000000"/>
              <w:right w:val="single" w:sz="4" w:space="0" w:color="000000"/>
            </w:tcBorders>
            <w:shd w:val="clear" w:color="auto" w:fill="D3D3D3"/>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为了避免将来发生同</w:t>
            </w:r>
          </w:p>
        </w:tc>
        <w:tc>
          <w:tcPr>
            <w:tcW w:w="992" w:type="dxa"/>
            <w:tcBorders>
              <w:top w:val="single" w:sz="4" w:space="0" w:color="000000"/>
              <w:left w:val="single" w:sz="4" w:space="0" w:color="000000"/>
              <w:bottom w:val="nil" w:sz="6" w:space="0" w:color="auto"/>
              <w:right w:val="single" w:sz="4" w:space="0" w:color="000000"/>
            </w:tcBorders>
          </w:tcPr>
          <w:p>
            <w:pPr/>
          </w:p>
        </w:tc>
        <w:tc>
          <w:tcPr>
            <w:tcW w:w="947"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业竞争，公司控股股</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2183"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鲁峰、侯伟</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2" w:right="104"/>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both"/>
              <w:rPr>
                <w:rFonts w:ascii="宋体" w:hAnsi="宋体" w:cs="宋体" w:eastAsia="宋体" w:hint="default"/>
                <w:sz w:val="18"/>
                <w:szCs w:val="18"/>
              </w:rPr>
            </w:pPr>
            <w:r>
              <w:rPr>
                <w:rFonts w:ascii="宋体" w:hAnsi="宋体" w:cs="宋体" w:eastAsia="宋体" w:hint="default"/>
                <w:sz w:val="18"/>
                <w:szCs w:val="18"/>
              </w:rPr>
              <w:t>东鲁峰和股东侯伟出 具了《放弃竞争与利 </w:t>
            </w:r>
            <w:r>
              <w:rPr>
                <w:rFonts w:ascii="宋体" w:hAnsi="宋体" w:cs="宋体" w:eastAsia="宋体" w:hint="default"/>
                <w:spacing w:val="-16"/>
                <w:sz w:val="18"/>
                <w:szCs w:val="18"/>
              </w:rPr>
              <w:t>益冲突承诺函》，承诺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不生产、开发任何与 股份公司及其下属子 公司生产的产品构成 竞争或可能构成竞争</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4"/>
              <w:ind w:left="22" w:right="23"/>
              <w:jc w:val="left"/>
              <w:rPr>
                <w:rFonts w:ascii="宋体" w:hAnsi="宋体" w:cs="宋体" w:eastAsia="宋体" w:hint="default"/>
                <w:sz w:val="18"/>
                <w:szCs w:val="18"/>
              </w:rPr>
            </w:pPr>
            <w:r>
              <w:rPr>
                <w:rFonts w:ascii="宋体" w:hAnsi="宋体" w:cs="宋体" w:eastAsia="宋体" w:hint="default"/>
                <w:sz w:val="18"/>
                <w:szCs w:val="18"/>
              </w:rPr>
              <w:t>在承诺期限 </w:t>
            </w:r>
            <w:r>
              <w:rPr>
                <w:rFonts w:ascii="宋体" w:hAnsi="宋体" w:cs="宋体" w:eastAsia="宋体" w:hint="default"/>
                <w:spacing w:val="-5"/>
                <w:sz w:val="18"/>
                <w:szCs w:val="18"/>
              </w:rPr>
              <w:t>内，按承诺持</w:t>
            </w:r>
            <w:r>
              <w:rPr>
                <w:rFonts w:ascii="宋体" w:hAnsi="宋体" w:cs="宋体" w:eastAsia="宋体" w:hint="default"/>
                <w:sz w:val="18"/>
                <w:szCs w:val="18"/>
              </w:rPr>
              <w:t> 续履行中</w:t>
            </w: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的产品，不直接或间</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接经营任何与股份公</w:t>
            </w:r>
          </w:p>
        </w:tc>
        <w:tc>
          <w:tcPr>
            <w:tcW w:w="992" w:type="dxa"/>
            <w:tcBorders>
              <w:top w:val="nil" w:sz="6" w:space="0" w:color="auto"/>
              <w:left w:val="single" w:sz="4" w:space="0" w:color="000000"/>
              <w:bottom w:val="single" w:sz="4" w:space="0" w:color="000000"/>
              <w:right w:val="single" w:sz="4" w:space="0" w:color="000000"/>
            </w:tcBorders>
          </w:tcPr>
          <w:p>
            <w:pPr/>
          </w:p>
        </w:tc>
        <w:tc>
          <w:tcPr>
            <w:tcW w:w="947"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r>
        <w:rPr/>
        <w:pict>
          <v:group style="position:absolute;margin-left:382.980011pt;margin-top:398.799988pt;width:49.15pt;height:70.2pt;mso-position-horizontal-relative:page;mso-position-vertical-relative:page;z-index:-1148200" coordorigin="7660,7976" coordsize="983,1404">
            <v:shape style="position:absolute;left:7660;top:7976;width:983;height:1404" coordorigin="7660,7976" coordsize="983,1404" path="m7660,9380l8642,9380,8642,7976,7660,7976,7660,9380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2836"/>
        <w:gridCol w:w="1126"/>
        <w:gridCol w:w="859"/>
        <w:gridCol w:w="1700"/>
        <w:gridCol w:w="992"/>
        <w:gridCol w:w="947"/>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6" w:type="dxa"/>
            <w:vMerge w:val="restart"/>
            <w:tcBorders>
              <w:top w:val="single" w:sz="4" w:space="0" w:color="000000"/>
              <w:left w:val="single" w:sz="4" w:space="0" w:color="000000"/>
              <w:right w:val="single" w:sz="4" w:space="0" w:color="000000"/>
            </w:tcBorders>
          </w:tcPr>
          <w:p>
            <w:pPr/>
          </w:p>
        </w:tc>
        <w:tc>
          <w:tcPr>
            <w:tcW w:w="859" w:type="dxa"/>
            <w:vMerge w:val="restart"/>
            <w:tcBorders>
              <w:top w:val="single" w:sz="4" w:space="0" w:color="000000"/>
              <w:left w:val="single" w:sz="4" w:space="0" w:color="000000"/>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司及其下属子公司经</w:t>
            </w:r>
          </w:p>
        </w:tc>
        <w:tc>
          <w:tcPr>
            <w:tcW w:w="992" w:type="dxa"/>
            <w:vMerge w:val="restart"/>
            <w:tcBorders>
              <w:top w:val="single" w:sz="4" w:space="0" w:color="000000"/>
              <w:left w:val="single" w:sz="4" w:space="0" w:color="000000"/>
              <w:right w:val="single" w:sz="4" w:space="0" w:color="000000"/>
            </w:tcBorders>
          </w:tcPr>
          <w:p>
            <w:pPr/>
          </w:p>
        </w:tc>
        <w:tc>
          <w:tcPr>
            <w:tcW w:w="947"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营的业务构成竞争或</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可能构成竞争的业</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务，也不参与投资任</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何与股份公司及其下</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属子公司生产的产品</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或经营的业务构成竞</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争或可能构成竞争的</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其他企业；从第三方</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获得的商业机会如果</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属于股份公司主营业</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务范围之内的，将尽</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可能地协助股份公司</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bottom w:val="single" w:sz="4" w:space="0" w:color="000000"/>
              <w:right w:val="single" w:sz="4" w:space="0" w:color="000000"/>
            </w:tcBorders>
          </w:tcPr>
          <w:p>
            <w:pPr/>
          </w:p>
        </w:tc>
        <w:tc>
          <w:tcPr>
            <w:tcW w:w="859" w:type="dxa"/>
            <w:vMerge/>
            <w:tcBorders>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取得该等商业机会。</w:t>
            </w:r>
          </w:p>
        </w:tc>
        <w:tc>
          <w:tcPr>
            <w:tcW w:w="992" w:type="dxa"/>
            <w:vMerge/>
            <w:tcBorders>
              <w:left w:val="single" w:sz="4" w:space="0" w:color="000000"/>
              <w:bottom w:val="single" w:sz="4" w:space="0" w:color="000000"/>
              <w:right w:val="single" w:sz="4" w:space="0" w:color="000000"/>
            </w:tcBorders>
          </w:tcPr>
          <w:p>
            <w:pPr/>
          </w:p>
        </w:tc>
        <w:tc>
          <w:tcPr>
            <w:tcW w:w="947"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3D3D3"/>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公司属于高新技术企</w:t>
            </w:r>
          </w:p>
        </w:tc>
        <w:tc>
          <w:tcPr>
            <w:tcW w:w="992" w:type="dxa"/>
            <w:tcBorders>
              <w:top w:val="single" w:sz="4" w:space="0" w:color="000000"/>
              <w:left w:val="single" w:sz="4" w:space="0" w:color="000000"/>
              <w:bottom w:val="nil" w:sz="6" w:space="0" w:color="auto"/>
              <w:right w:val="single" w:sz="4" w:space="0" w:color="000000"/>
            </w:tcBorders>
          </w:tcPr>
          <w:p>
            <w:pPr/>
          </w:p>
        </w:tc>
        <w:tc>
          <w:tcPr>
            <w:tcW w:w="947"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业，行业内技术人员</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流动性较大，为了保</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护公司的知识产权和</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7"/>
              <w:jc w:val="left"/>
              <w:rPr>
                <w:rFonts w:ascii="宋体" w:hAnsi="宋体" w:cs="宋体" w:eastAsia="宋体" w:hint="default"/>
                <w:sz w:val="18"/>
                <w:szCs w:val="18"/>
              </w:rPr>
            </w:pPr>
            <w:r>
              <w:rPr>
                <w:rFonts w:ascii="宋体" w:hAnsi="宋体" w:cs="宋体" w:eastAsia="宋体" w:hint="default"/>
                <w:sz w:val="18"/>
                <w:szCs w:val="18"/>
              </w:rPr>
              <w:t>保持核心人员的稳 定，公司已与高级管 理人员和核心技术人</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3"/>
              <w:jc w:val="left"/>
              <w:rPr>
                <w:rFonts w:ascii="宋体" w:hAnsi="宋体" w:cs="宋体" w:eastAsia="宋体" w:hint="default"/>
                <w:sz w:val="18"/>
                <w:szCs w:val="18"/>
              </w:rPr>
            </w:pPr>
            <w:r>
              <w:rPr>
                <w:rFonts w:ascii="宋体" w:hAnsi="宋体" w:cs="宋体" w:eastAsia="宋体" w:hint="default"/>
                <w:sz w:val="18"/>
                <w:szCs w:val="18"/>
              </w:rPr>
              <w:t>在承诺期限 </w:t>
            </w:r>
            <w:r>
              <w:rPr>
                <w:rFonts w:ascii="宋体" w:hAnsi="宋体" w:cs="宋体" w:eastAsia="宋体" w:hint="default"/>
                <w:spacing w:val="-5"/>
                <w:sz w:val="18"/>
                <w:szCs w:val="18"/>
              </w:rPr>
              <w:t>内，按承诺持</w:t>
            </w:r>
            <w:r>
              <w:rPr>
                <w:rFonts w:ascii="宋体" w:hAnsi="宋体" w:cs="宋体" w:eastAsia="宋体" w:hint="default"/>
                <w:sz w:val="18"/>
                <w:szCs w:val="18"/>
              </w:rPr>
              <w:t> 续履行中</w:t>
            </w: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员签订劳动合同，上</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述人员同时对公司出</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具了《保密义务、技</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术成果归属承诺书</w:t>
            </w:r>
            <w:r>
              <w:rPr>
                <w:rFonts w:ascii="宋体" w:hAnsi="宋体" w:cs="宋体" w:eastAsia="宋体" w:hint="default"/>
                <w:spacing w:val="-90"/>
                <w:sz w:val="18"/>
                <w:szCs w:val="18"/>
              </w:rPr>
              <w:t>》</w:t>
            </w:r>
            <w:r>
              <w:rPr>
                <w:rFonts w:ascii="宋体" w:hAnsi="宋体" w:cs="宋体" w:eastAsia="宋体" w:hint="default"/>
                <w:sz w:val="18"/>
                <w:szCs w:val="18"/>
              </w:rPr>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48" w:right="0"/>
              <w:jc w:val="left"/>
              <w:rPr>
                <w:rFonts w:ascii="宋体" w:hAnsi="宋体" w:cs="宋体" w:eastAsia="宋体" w:hint="default"/>
                <w:sz w:val="18"/>
                <w:szCs w:val="18"/>
              </w:rPr>
            </w:pPr>
            <w:r>
              <w:rPr>
                <w:rFonts w:ascii="宋体" w:hAnsi="宋体" w:cs="宋体" w:eastAsia="宋体" w:hint="default"/>
                <w:sz w:val="18"/>
                <w:szCs w:val="18"/>
              </w:rPr>
              <w:t>。</w:t>
            </w:r>
          </w:p>
        </w:tc>
        <w:tc>
          <w:tcPr>
            <w:tcW w:w="947"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3D3D3"/>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公司所有募集资金将</w:t>
            </w:r>
          </w:p>
        </w:tc>
        <w:tc>
          <w:tcPr>
            <w:tcW w:w="992" w:type="dxa"/>
            <w:tcBorders>
              <w:top w:val="single" w:sz="4" w:space="0" w:color="000000"/>
              <w:left w:val="single" w:sz="4" w:space="0" w:color="000000"/>
              <w:bottom w:val="nil" w:sz="6" w:space="0" w:color="auto"/>
              <w:right w:val="single" w:sz="4" w:space="0" w:color="000000"/>
            </w:tcBorders>
          </w:tcPr>
          <w:p>
            <w:pPr/>
          </w:p>
        </w:tc>
        <w:tc>
          <w:tcPr>
            <w:tcW w:w="947"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存放于专户管理，并</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用于公司新一代电子</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04"/>
              <w:jc w:val="left"/>
              <w:rPr>
                <w:rFonts w:ascii="宋体" w:hAnsi="宋体" w:cs="宋体" w:eastAsia="宋体" w:hint="default"/>
                <w:sz w:val="18"/>
                <w:szCs w:val="18"/>
              </w:rPr>
            </w:pPr>
            <w:r>
              <w:rPr>
                <w:rFonts w:ascii="宋体" w:hAnsi="宋体" w:cs="宋体" w:eastAsia="宋体" w:hint="default"/>
                <w:sz w:val="18"/>
                <w:szCs w:val="18"/>
              </w:rPr>
              <w:t>募集资金 使用承诺</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7"/>
              <w:jc w:val="both"/>
              <w:rPr>
                <w:rFonts w:ascii="宋体" w:hAnsi="宋体" w:cs="宋体" w:eastAsia="宋体" w:hint="default"/>
                <w:sz w:val="18"/>
                <w:szCs w:val="18"/>
              </w:rPr>
            </w:pPr>
            <w:r>
              <w:rPr>
                <w:rFonts w:ascii="宋体" w:hAnsi="宋体" w:cs="宋体" w:eastAsia="宋体" w:hint="default"/>
                <w:sz w:val="18"/>
                <w:szCs w:val="18"/>
              </w:rPr>
              <w:t>政务应用平台、信息 安全风险综合管理系 统、质检三电工程企 业端软件运维服务平</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在承诺期限 </w:t>
            </w:r>
            <w:r>
              <w:rPr>
                <w:rFonts w:ascii="宋体" w:hAnsi="宋体" w:cs="宋体" w:eastAsia="宋体" w:hint="default"/>
                <w:spacing w:val="-5"/>
                <w:sz w:val="18"/>
                <w:szCs w:val="18"/>
              </w:rPr>
              <w:t>内，按承诺持</w:t>
            </w:r>
            <w:r>
              <w:rPr>
                <w:rFonts w:ascii="宋体" w:hAnsi="宋体" w:cs="宋体" w:eastAsia="宋体" w:hint="default"/>
                <w:sz w:val="18"/>
                <w:szCs w:val="18"/>
              </w:rPr>
              <w:t> 续履行中</w:t>
            </w: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台、协同管理软件平</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台、技术研发与创新</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中心等主营业务。</w:t>
            </w:r>
          </w:p>
        </w:tc>
        <w:tc>
          <w:tcPr>
            <w:tcW w:w="992" w:type="dxa"/>
            <w:tcBorders>
              <w:top w:val="nil" w:sz="6" w:space="0" w:color="auto"/>
              <w:left w:val="single" w:sz="4" w:space="0" w:color="000000"/>
              <w:bottom w:val="single" w:sz="4" w:space="0" w:color="000000"/>
              <w:right w:val="single" w:sz="4" w:space="0" w:color="000000"/>
            </w:tcBorders>
          </w:tcPr>
          <w:p>
            <w:pPr/>
          </w:p>
        </w:tc>
        <w:tc>
          <w:tcPr>
            <w:tcW w:w="947"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3D3D3"/>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公司章程第一百六十</w:t>
            </w:r>
          </w:p>
        </w:tc>
        <w:tc>
          <w:tcPr>
            <w:tcW w:w="992" w:type="dxa"/>
            <w:tcBorders>
              <w:top w:val="single" w:sz="4" w:space="0" w:color="000000"/>
              <w:left w:val="single" w:sz="4" w:space="0" w:color="000000"/>
              <w:bottom w:val="nil" w:sz="6" w:space="0" w:color="auto"/>
              <w:right w:val="single" w:sz="4" w:space="0" w:color="000000"/>
            </w:tcBorders>
          </w:tcPr>
          <w:p>
            <w:pPr/>
          </w:p>
        </w:tc>
        <w:tc>
          <w:tcPr>
            <w:tcW w:w="947"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五条规定</w:t>
            </w:r>
            <w:r>
              <w:rPr>
                <w:rFonts w:ascii="宋体" w:hAnsi="宋体" w:cs="宋体" w:eastAsia="宋体" w:hint="default"/>
                <w:spacing w:val="-123"/>
                <w:sz w:val="18"/>
                <w:szCs w:val="18"/>
              </w:rPr>
              <w:t>：</w:t>
            </w:r>
            <w:r>
              <w:rPr>
                <w:rFonts w:ascii="宋体" w:hAnsi="宋体" w:cs="宋体" w:eastAsia="宋体" w:hint="default"/>
                <w:sz w:val="18"/>
                <w:szCs w:val="18"/>
              </w:rPr>
              <w:t>（一</w:t>
            </w:r>
            <w:r>
              <w:rPr>
                <w:rFonts w:ascii="宋体" w:hAnsi="宋体" w:cs="宋体" w:eastAsia="宋体" w:hint="default"/>
                <w:spacing w:val="-33"/>
                <w:sz w:val="18"/>
                <w:szCs w:val="18"/>
              </w:rPr>
              <w:t>）</w:t>
            </w:r>
            <w:r>
              <w:rPr>
                <w:rFonts w:ascii="宋体" w:hAnsi="宋体" w:cs="宋体" w:eastAsia="宋体" w:hint="default"/>
                <w:sz w:val="18"/>
                <w:szCs w:val="18"/>
              </w:rPr>
              <w:t>公司</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7"/>
              <w:jc w:val="both"/>
              <w:rPr>
                <w:rFonts w:ascii="宋体" w:hAnsi="宋体" w:cs="宋体" w:eastAsia="宋体" w:hint="default"/>
                <w:sz w:val="18"/>
                <w:szCs w:val="18"/>
              </w:rPr>
            </w:pPr>
            <w:r>
              <w:rPr>
                <w:rFonts w:ascii="宋体" w:hAnsi="宋体" w:cs="宋体" w:eastAsia="宋体" w:hint="default"/>
                <w:sz w:val="18"/>
                <w:szCs w:val="18"/>
              </w:rPr>
              <w:t>董事会负责制定公司 的股利分配预案，股 东大会负责审批。在 公司当年度盈利且提</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23"/>
              <w:jc w:val="left"/>
              <w:rPr>
                <w:rFonts w:ascii="宋体" w:hAnsi="宋体" w:cs="宋体" w:eastAsia="宋体" w:hint="default"/>
                <w:sz w:val="18"/>
                <w:szCs w:val="18"/>
              </w:rPr>
            </w:pPr>
            <w:r>
              <w:rPr>
                <w:rFonts w:ascii="宋体" w:hAnsi="宋体" w:cs="宋体" w:eastAsia="宋体" w:hint="default"/>
                <w:sz w:val="18"/>
                <w:szCs w:val="18"/>
              </w:rPr>
              <w:t>在承诺期限 </w:t>
            </w:r>
            <w:r>
              <w:rPr>
                <w:rFonts w:ascii="宋体" w:hAnsi="宋体" w:cs="宋体" w:eastAsia="宋体" w:hint="default"/>
                <w:spacing w:val="-5"/>
                <w:sz w:val="18"/>
                <w:szCs w:val="18"/>
              </w:rPr>
              <w:t>内，按承诺持</w:t>
            </w:r>
            <w:r>
              <w:rPr>
                <w:rFonts w:ascii="宋体" w:hAnsi="宋体" w:cs="宋体" w:eastAsia="宋体" w:hint="default"/>
                <w:sz w:val="18"/>
                <w:szCs w:val="18"/>
              </w:rPr>
              <w:t> 续履行中</w:t>
            </w: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取法定公积金及弥补</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以前年度亏损后仍有</w:t>
            </w:r>
          </w:p>
        </w:tc>
        <w:tc>
          <w:tcPr>
            <w:tcW w:w="992" w:type="dxa"/>
            <w:tcBorders>
              <w:top w:val="nil" w:sz="6" w:space="0" w:color="auto"/>
              <w:left w:val="single" w:sz="4" w:space="0" w:color="000000"/>
              <w:bottom w:val="single" w:sz="4" w:space="0" w:color="000000"/>
              <w:right w:val="single" w:sz="4" w:space="0" w:color="000000"/>
            </w:tcBorders>
          </w:tcPr>
          <w:p>
            <w:pPr/>
          </w:p>
        </w:tc>
        <w:tc>
          <w:tcPr>
            <w:tcW w:w="947"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859"/>
        <w:gridCol w:w="1700"/>
        <w:gridCol w:w="992"/>
        <w:gridCol w:w="947"/>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6" w:type="dxa"/>
            <w:vMerge w:val="restart"/>
            <w:tcBorders>
              <w:top w:val="single" w:sz="4" w:space="0" w:color="000000"/>
              <w:left w:val="single" w:sz="4" w:space="0" w:color="000000"/>
              <w:right w:val="single" w:sz="4" w:space="0" w:color="000000"/>
            </w:tcBorders>
          </w:tcPr>
          <w:p>
            <w:pPr/>
          </w:p>
        </w:tc>
        <w:tc>
          <w:tcPr>
            <w:tcW w:w="859" w:type="dxa"/>
            <w:vMerge w:val="restart"/>
            <w:tcBorders>
              <w:top w:val="single" w:sz="4" w:space="0" w:color="000000"/>
              <w:left w:val="single" w:sz="4" w:space="0" w:color="000000"/>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剩余时，董事会应当</w:t>
            </w:r>
          </w:p>
        </w:tc>
        <w:tc>
          <w:tcPr>
            <w:tcW w:w="992" w:type="dxa"/>
            <w:vMerge w:val="restart"/>
            <w:tcBorders>
              <w:top w:val="single" w:sz="4" w:space="0" w:color="000000"/>
              <w:left w:val="single" w:sz="4" w:space="0" w:color="000000"/>
              <w:right w:val="single" w:sz="4" w:space="0" w:color="000000"/>
            </w:tcBorders>
          </w:tcPr>
          <w:p>
            <w:pPr/>
          </w:p>
        </w:tc>
        <w:tc>
          <w:tcPr>
            <w:tcW w:w="947"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作出现金分红预案。</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公司董事会未做出现</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金利润分配预案的，</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应当在定期报告中披</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露原因，公司独立董</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事应当对此发表独立</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意见</w:t>
            </w:r>
            <w:r>
              <w:rPr>
                <w:rFonts w:ascii="宋体" w:hAnsi="宋体" w:cs="宋体" w:eastAsia="宋体" w:hint="default"/>
                <w:spacing w:val="-123"/>
                <w:sz w:val="18"/>
                <w:szCs w:val="18"/>
              </w:rPr>
              <w:t>。</w:t>
            </w:r>
            <w:r>
              <w:rPr>
                <w:rFonts w:ascii="宋体" w:hAnsi="宋体" w:cs="宋体" w:eastAsia="宋体" w:hint="default"/>
                <w:sz w:val="18"/>
                <w:szCs w:val="18"/>
              </w:rPr>
              <w:t>（二</w:t>
            </w:r>
            <w:r>
              <w:rPr>
                <w:rFonts w:ascii="宋体" w:hAnsi="宋体" w:cs="宋体" w:eastAsia="宋体" w:hint="default"/>
                <w:spacing w:val="-33"/>
                <w:sz w:val="18"/>
                <w:szCs w:val="18"/>
              </w:rPr>
              <w:t>）</w:t>
            </w:r>
            <w:r>
              <w:rPr>
                <w:rFonts w:ascii="宋体" w:hAnsi="宋体" w:cs="宋体" w:eastAsia="宋体" w:hint="default"/>
                <w:sz w:val="18"/>
                <w:szCs w:val="18"/>
              </w:rPr>
              <w:t>公司每年</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以现金方式分配的利</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润应当不少于当年可</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分配利润的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；公</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司上市后连续三年以</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现金方式累计分配的</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利润应不少于该连续</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三年实现的年均可分</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；在进</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行现金分配的同时，</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公司可以进行股票股</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利的分配</w:t>
            </w:r>
            <w:r>
              <w:rPr>
                <w:rFonts w:ascii="宋体" w:hAnsi="宋体" w:cs="宋体" w:eastAsia="宋体" w:hint="default"/>
                <w:spacing w:val="-123"/>
                <w:sz w:val="18"/>
                <w:szCs w:val="18"/>
              </w:rPr>
              <w:t>。</w:t>
            </w:r>
            <w:r>
              <w:rPr>
                <w:rFonts w:ascii="宋体" w:hAnsi="宋体" w:cs="宋体" w:eastAsia="宋体" w:hint="default"/>
                <w:sz w:val="18"/>
                <w:szCs w:val="18"/>
              </w:rPr>
              <w:t>（三</w:t>
            </w:r>
            <w:r>
              <w:rPr>
                <w:rFonts w:ascii="宋体" w:hAnsi="宋体" w:cs="宋体" w:eastAsia="宋体" w:hint="default"/>
                <w:spacing w:val="-33"/>
                <w:sz w:val="18"/>
                <w:szCs w:val="18"/>
              </w:rPr>
              <w:t>）</w:t>
            </w:r>
            <w:r>
              <w:rPr>
                <w:rFonts w:ascii="宋体" w:hAnsi="宋体" w:cs="宋体" w:eastAsia="宋体" w:hint="default"/>
                <w:sz w:val="18"/>
                <w:szCs w:val="18"/>
              </w:rPr>
              <w:t>公司</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的利润分配应重视对</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投资者的合理投资回</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报；在有条件的情况</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下，公司可以进行中</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期分配</w:t>
            </w:r>
            <w:r>
              <w:rPr>
                <w:rFonts w:ascii="宋体" w:hAnsi="宋体" w:cs="宋体" w:eastAsia="宋体" w:hint="default"/>
                <w:spacing w:val="-123"/>
                <w:sz w:val="18"/>
                <w:szCs w:val="18"/>
              </w:rPr>
              <w:t>。</w:t>
            </w:r>
            <w:r>
              <w:rPr>
                <w:rFonts w:ascii="宋体" w:hAnsi="宋体" w:cs="宋体" w:eastAsia="宋体" w:hint="default"/>
                <w:sz w:val="18"/>
                <w:szCs w:val="18"/>
              </w:rPr>
              <w:t>（四</w:t>
            </w:r>
            <w:r>
              <w:rPr>
                <w:rFonts w:ascii="宋体" w:hAnsi="宋体" w:cs="宋体" w:eastAsia="宋体" w:hint="default"/>
                <w:spacing w:val="-33"/>
                <w:sz w:val="18"/>
                <w:szCs w:val="18"/>
              </w:rPr>
              <w:t>）</w:t>
            </w:r>
            <w:r>
              <w:rPr>
                <w:rFonts w:ascii="宋体" w:hAnsi="宋体" w:cs="宋体" w:eastAsia="宋体" w:hint="default"/>
                <w:sz w:val="18"/>
                <w:szCs w:val="18"/>
              </w:rPr>
              <w:t>存在股</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东违规占用公司资金</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情况的，公司应当扣</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减该股东所分配的现</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金红利，以偿还其占</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用的资金</w:t>
            </w:r>
            <w:r>
              <w:rPr>
                <w:rFonts w:ascii="宋体" w:hAnsi="宋体" w:cs="宋体" w:eastAsia="宋体" w:hint="default"/>
                <w:spacing w:val="-123"/>
                <w:sz w:val="18"/>
                <w:szCs w:val="18"/>
              </w:rPr>
              <w:t>。</w:t>
            </w:r>
            <w:r>
              <w:rPr>
                <w:rFonts w:ascii="宋体" w:hAnsi="宋体" w:cs="宋体" w:eastAsia="宋体" w:hint="default"/>
                <w:sz w:val="18"/>
                <w:szCs w:val="18"/>
              </w:rPr>
              <w:t>（五</w:t>
            </w:r>
            <w:r>
              <w:rPr>
                <w:rFonts w:ascii="宋体" w:hAnsi="宋体" w:cs="宋体" w:eastAsia="宋体" w:hint="default"/>
                <w:spacing w:val="-33"/>
                <w:sz w:val="18"/>
                <w:szCs w:val="18"/>
              </w:rPr>
              <w:t>）</w:t>
            </w:r>
            <w:r>
              <w:rPr>
                <w:rFonts w:ascii="宋体" w:hAnsi="宋体" w:cs="宋体" w:eastAsia="宋体" w:hint="default"/>
                <w:sz w:val="18"/>
                <w:szCs w:val="18"/>
              </w:rPr>
              <w:t>公司</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根据生产经营情况、</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投资规划和长期发展</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的需要，确需调整利</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润分配政策的，调整</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后的利润分配政策不</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得违反中国证监会和</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证券交易所的有关规</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定。在对有关调整利</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润分配政策的议案进</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行表决时，由全体独</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立董事同意及监事会</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审议并经公司董事会</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审议后方可提交公司</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股东大会审议，公司</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6" w:type="dxa"/>
            <w:vMerge/>
            <w:tcBorders>
              <w:left w:val="single" w:sz="4" w:space="0" w:color="000000"/>
              <w:bottom w:val="single" w:sz="4" w:space="0" w:color="000000"/>
              <w:right w:val="single" w:sz="4" w:space="0" w:color="000000"/>
            </w:tcBorders>
          </w:tcPr>
          <w:p>
            <w:pPr/>
          </w:p>
        </w:tc>
        <w:tc>
          <w:tcPr>
            <w:tcW w:w="859" w:type="dxa"/>
            <w:vMerge/>
            <w:tcBorders>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控股股东应回避表</w:t>
            </w:r>
          </w:p>
        </w:tc>
        <w:tc>
          <w:tcPr>
            <w:tcW w:w="992" w:type="dxa"/>
            <w:vMerge/>
            <w:tcBorders>
              <w:left w:val="single" w:sz="4" w:space="0" w:color="000000"/>
              <w:bottom w:val="single" w:sz="4" w:space="0" w:color="000000"/>
              <w:right w:val="single" w:sz="4" w:space="0" w:color="000000"/>
            </w:tcBorders>
          </w:tcPr>
          <w:p>
            <w:pPr/>
          </w:p>
        </w:tc>
        <w:tc>
          <w:tcPr>
            <w:tcW w:w="947"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r>
        <w:rPr/>
        <w:pict>
          <v:group style="position:absolute;margin-left:382.980011pt;margin-top:676.5pt;width:49.15pt;height:84.8pt;mso-position-horizontal-relative:page;mso-position-vertical-relative:page;z-index:-1148176" coordorigin="7660,13530" coordsize="983,1696">
            <v:shape style="position:absolute;left:7660;top:13530;width:983;height:1696" coordorigin="7660,13530" coordsize="983,1696" path="m7660,15226l8642,15226,8642,13530,7660,13530,7660,15226xe" filled="true" fillcolor="#ffffff" stroked="false">
              <v:path arrowok="t"/>
              <v:fill type="solid"/>
            </v:shape>
            <w10:wrap type="none"/>
          </v:group>
        </w:pict>
      </w:r>
      <w:r>
        <w:rPr/>
        <w:pict>
          <v:group style="position:absolute;margin-left:382.980011pt;margin-top:556.5pt;width:49.15pt;height:84.8pt;mso-position-horizontal-relative:page;mso-position-vertical-relative:page;z-index:-1148152" coordorigin="7660,11130" coordsize="983,1696">
            <v:shape style="position:absolute;left:7660;top:11130;width:983;height:1696" coordorigin="7660,11130" coordsize="983,1696" path="m7660,12826l8642,12826,8642,11130,7660,11130,7660,12826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2836"/>
        <w:gridCol w:w="1126"/>
        <w:gridCol w:w="859"/>
        <w:gridCol w:w="1700"/>
        <w:gridCol w:w="992"/>
        <w:gridCol w:w="947"/>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6" w:type="dxa"/>
            <w:vMerge w:val="restart"/>
            <w:tcBorders>
              <w:top w:val="single" w:sz="4" w:space="0" w:color="000000"/>
              <w:left w:val="single" w:sz="4" w:space="0" w:color="000000"/>
              <w:right w:val="single" w:sz="4" w:space="0" w:color="000000"/>
            </w:tcBorders>
          </w:tcPr>
          <w:p>
            <w:pPr/>
          </w:p>
        </w:tc>
        <w:tc>
          <w:tcPr>
            <w:tcW w:w="859" w:type="dxa"/>
            <w:vMerge w:val="restart"/>
            <w:tcBorders>
              <w:top w:val="single" w:sz="4" w:space="0" w:color="000000"/>
              <w:left w:val="single" w:sz="4" w:space="0" w:color="000000"/>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决，公司可以采取提</w:t>
            </w:r>
          </w:p>
        </w:tc>
        <w:tc>
          <w:tcPr>
            <w:tcW w:w="992" w:type="dxa"/>
            <w:vMerge w:val="restart"/>
            <w:tcBorders>
              <w:top w:val="single" w:sz="4" w:space="0" w:color="000000"/>
              <w:left w:val="single" w:sz="4" w:space="0" w:color="000000"/>
              <w:right w:val="single" w:sz="4" w:space="0" w:color="000000"/>
            </w:tcBorders>
          </w:tcPr>
          <w:p>
            <w:pPr/>
          </w:p>
        </w:tc>
        <w:tc>
          <w:tcPr>
            <w:tcW w:w="947"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供网络投票等方式以</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方便股东参与股东大</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会表决</w:t>
            </w:r>
            <w:r>
              <w:rPr>
                <w:rFonts w:ascii="宋体" w:hAnsi="宋体" w:cs="宋体" w:eastAsia="宋体" w:hint="default"/>
                <w:spacing w:val="-123"/>
                <w:sz w:val="18"/>
                <w:szCs w:val="18"/>
              </w:rPr>
              <w:t>。</w:t>
            </w:r>
            <w:r>
              <w:rPr>
                <w:rFonts w:ascii="宋体" w:hAnsi="宋体" w:cs="宋体" w:eastAsia="宋体" w:hint="default"/>
                <w:sz w:val="18"/>
                <w:szCs w:val="18"/>
              </w:rPr>
              <w:t>（六</w:t>
            </w:r>
            <w:r>
              <w:rPr>
                <w:rFonts w:ascii="宋体" w:hAnsi="宋体" w:cs="宋体" w:eastAsia="宋体" w:hint="default"/>
                <w:spacing w:val="-33"/>
                <w:sz w:val="18"/>
                <w:szCs w:val="18"/>
              </w:rPr>
              <w:t>）</w:t>
            </w:r>
            <w:r>
              <w:rPr>
                <w:rFonts w:ascii="宋体" w:hAnsi="宋体" w:cs="宋体" w:eastAsia="宋体" w:hint="default"/>
                <w:sz w:val="18"/>
                <w:szCs w:val="18"/>
              </w:rPr>
              <w:t>公司应</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以每三年为一个周</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期，制订周期内股东</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6" w:type="dxa"/>
            <w:vMerge/>
            <w:tcBorders>
              <w:left w:val="single" w:sz="4" w:space="0" w:color="000000"/>
              <w:bottom w:val="single" w:sz="4" w:space="0" w:color="000000"/>
              <w:right w:val="single" w:sz="4" w:space="0" w:color="000000"/>
            </w:tcBorders>
          </w:tcPr>
          <w:p>
            <w:pPr/>
          </w:p>
        </w:tc>
        <w:tc>
          <w:tcPr>
            <w:tcW w:w="859" w:type="dxa"/>
            <w:vMerge/>
            <w:tcBorders>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分红回报规划。</w:t>
            </w:r>
          </w:p>
        </w:tc>
        <w:tc>
          <w:tcPr>
            <w:tcW w:w="992" w:type="dxa"/>
            <w:vMerge/>
            <w:tcBorders>
              <w:left w:val="single" w:sz="4" w:space="0" w:color="000000"/>
              <w:bottom w:val="single" w:sz="4" w:space="0" w:color="000000"/>
              <w:right w:val="single" w:sz="4" w:space="0" w:color="000000"/>
            </w:tcBorders>
          </w:tcPr>
          <w:p>
            <w:pPr/>
          </w:p>
        </w:tc>
        <w:tc>
          <w:tcPr>
            <w:tcW w:w="947"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2836" w:type="dxa"/>
            <w:tcBorders>
              <w:top w:val="single" w:sz="4" w:space="0" w:color="000000"/>
              <w:left w:val="single" w:sz="4" w:space="0" w:color="000000"/>
              <w:bottom w:val="nil" w:sz="6" w:space="0" w:color="auto"/>
              <w:right w:val="single" w:sz="4" w:space="0" w:color="000000"/>
            </w:tcBorders>
            <w:shd w:val="clear" w:color="auto" w:fill="D3D3D3"/>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在法定期限内不减持</w:t>
            </w:r>
          </w:p>
        </w:tc>
        <w:tc>
          <w:tcPr>
            <w:tcW w:w="992" w:type="dxa"/>
            <w:tcBorders>
              <w:top w:val="single" w:sz="4" w:space="0" w:color="000000"/>
              <w:left w:val="single" w:sz="4" w:space="0" w:color="000000"/>
              <w:bottom w:val="nil" w:sz="6" w:space="0" w:color="auto"/>
              <w:right w:val="single" w:sz="4" w:space="0" w:color="000000"/>
            </w:tcBorders>
          </w:tcPr>
          <w:p>
            <w:pPr/>
          </w:p>
        </w:tc>
        <w:tc>
          <w:tcPr>
            <w:tcW w:w="947"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1249"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20"/>
              <w:jc w:val="left"/>
              <w:rPr>
                <w:rFonts w:ascii="宋体" w:hAnsi="宋体" w:cs="宋体" w:eastAsia="宋体" w:hint="default"/>
                <w:sz w:val="18"/>
                <w:szCs w:val="18"/>
              </w:rPr>
            </w:pPr>
            <w:r>
              <w:rPr>
                <w:rFonts w:ascii="宋体" w:hAnsi="宋体" w:cs="宋体" w:eastAsia="宋体" w:hint="default"/>
                <w:sz w:val="18"/>
                <w:szCs w:val="18"/>
              </w:rPr>
              <w:t>公司部分董 </w:t>
            </w:r>
            <w:r>
              <w:rPr>
                <w:rFonts w:ascii="宋体" w:hAnsi="宋体" w:cs="宋体" w:eastAsia="宋体" w:hint="default"/>
                <w:spacing w:val="-2"/>
                <w:sz w:val="18"/>
                <w:szCs w:val="18"/>
              </w:rPr>
              <w:t>事、高级管理</w:t>
            </w:r>
            <w:r>
              <w:rPr>
                <w:rFonts w:ascii="宋体" w:hAnsi="宋体" w:cs="宋体" w:eastAsia="宋体" w:hint="default"/>
                <w:sz w:val="18"/>
                <w:szCs w:val="18"/>
              </w:rPr>
              <w:t> 人员和核心 骨干</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7"/>
              <w:jc w:val="both"/>
              <w:rPr>
                <w:rFonts w:ascii="宋体" w:hAnsi="宋体" w:cs="宋体" w:eastAsia="宋体" w:hint="default"/>
                <w:sz w:val="18"/>
                <w:szCs w:val="18"/>
              </w:rPr>
            </w:pPr>
            <w:r>
              <w:rPr>
                <w:rFonts w:ascii="宋体" w:hAnsi="宋体" w:cs="宋体" w:eastAsia="宋体" w:hint="default"/>
                <w:sz w:val="18"/>
                <w:szCs w:val="18"/>
              </w:rPr>
              <w:t>其所持有的本公司股 份；严格遵守有关规 定，不进行内幕交易 及敏感期买卖股份、</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在承诺期限 </w:t>
            </w:r>
            <w:r>
              <w:rPr>
                <w:rFonts w:ascii="宋体" w:hAnsi="宋体" w:cs="宋体" w:eastAsia="宋体" w:hint="default"/>
                <w:spacing w:val="-5"/>
                <w:sz w:val="18"/>
                <w:szCs w:val="18"/>
              </w:rPr>
              <w:t>内，按承诺持</w:t>
            </w:r>
            <w:r>
              <w:rPr>
                <w:rFonts w:ascii="宋体" w:hAnsi="宋体" w:cs="宋体" w:eastAsia="宋体" w:hint="default"/>
                <w:sz w:val="18"/>
                <w:szCs w:val="18"/>
              </w:rPr>
              <w:t> 续履行中</w:t>
            </w:r>
          </w:p>
        </w:tc>
      </w:tr>
      <w:tr>
        <w:trPr>
          <w:trHeight w:val="356"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短线交易。</w:t>
            </w:r>
          </w:p>
        </w:tc>
        <w:tc>
          <w:tcPr>
            <w:tcW w:w="992" w:type="dxa"/>
            <w:tcBorders>
              <w:top w:val="nil" w:sz="6" w:space="0" w:color="auto"/>
              <w:left w:val="single" w:sz="4" w:space="0" w:color="000000"/>
              <w:bottom w:val="single" w:sz="4" w:space="0" w:color="000000"/>
              <w:right w:val="single" w:sz="4" w:space="0" w:color="000000"/>
            </w:tcBorders>
          </w:tcPr>
          <w:p>
            <w:pPr/>
          </w:p>
        </w:tc>
        <w:tc>
          <w:tcPr>
            <w:tcW w:w="947"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w:t>
            </w:r>
          </w:p>
        </w:tc>
        <w:tc>
          <w:tcPr>
            <w:tcW w:w="992" w:type="dxa"/>
            <w:tcBorders>
              <w:top w:val="single" w:sz="4" w:space="0" w:color="000000"/>
              <w:left w:val="single" w:sz="4" w:space="0" w:color="000000"/>
              <w:bottom w:val="nil" w:sz="6" w:space="0" w:color="auto"/>
              <w:right w:val="single" w:sz="4" w:space="0" w:color="000000"/>
            </w:tcBorders>
          </w:tcPr>
          <w:p>
            <w:pPr/>
          </w:p>
        </w:tc>
        <w:tc>
          <w:tcPr>
            <w:tcW w:w="947"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东、副董事长、常务</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副总裁侯伟先生及副</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总裁李惠钦女士、万</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孝雄先生在公告之日</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起</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个交易日后的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09" w:lineRule="auto"/>
              <w:ind w:left="23" w:right="2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w:t>
            </w:r>
            <w:r>
              <w:rPr>
                <w:rFonts w:ascii="宋体" w:hAnsi="宋体" w:cs="宋体" w:eastAsia="宋体" w:hint="default"/>
                <w:spacing w:val="-2"/>
                <w:sz w:val="18"/>
                <w:szCs w:val="18"/>
              </w:rPr>
              <w:t>股东、部分董</w:t>
            </w:r>
            <w:r>
              <w:rPr>
                <w:rFonts w:ascii="宋体" w:hAnsi="宋体" w:cs="宋体" w:eastAsia="宋体" w:hint="default"/>
                <w:sz w:val="18"/>
                <w:szCs w:val="18"/>
              </w:rPr>
              <w:t> 事及高管</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104"/>
              <w:jc w:val="left"/>
              <w:rPr>
                <w:rFonts w:ascii="宋体" w:hAnsi="宋体" w:cs="宋体" w:eastAsia="宋体" w:hint="default"/>
                <w:sz w:val="18"/>
                <w:szCs w:val="18"/>
              </w:rPr>
            </w:pPr>
            <w:r>
              <w:rPr>
                <w:rFonts w:ascii="宋体" w:hAnsi="宋体" w:cs="宋体" w:eastAsia="宋体" w:hint="default"/>
                <w:sz w:val="18"/>
                <w:szCs w:val="18"/>
              </w:rPr>
              <w:t>减持股份 承诺</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47"/>
              <w:jc w:val="both"/>
              <w:rPr>
                <w:rFonts w:ascii="宋体" w:hAnsi="宋体" w:cs="宋体" w:eastAsia="宋体" w:hint="default"/>
                <w:sz w:val="18"/>
                <w:szCs w:val="18"/>
              </w:rPr>
            </w:pPr>
            <w:r>
              <w:rPr>
                <w:rFonts w:ascii="宋体" w:hAnsi="宋体" w:cs="宋体" w:eastAsia="宋体" w:hint="default"/>
                <w:sz w:val="18"/>
                <w:szCs w:val="18"/>
              </w:rPr>
              <w:t>个月内以大宗交易或 者集中竞价交易方式 减持公司股份合计不 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10,749,998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六个月内</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302" w:lineRule="auto" w:before="61"/>
              <w:ind w:left="22" w:right="84"/>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日履行 完毕。</w:t>
            </w:r>
          </w:p>
        </w:tc>
      </w:tr>
      <w:tr>
        <w:trPr>
          <w:trHeight w:val="297"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（占公司总股本比例</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1.73%</w:t>
            </w:r>
            <w:r>
              <w:rPr>
                <w:rFonts w:ascii="宋体" w:hAnsi="宋体" w:cs="宋体" w:eastAsia="宋体" w:hint="default"/>
                <w:spacing w:val="-90"/>
                <w:sz w:val="18"/>
                <w:szCs w:val="18"/>
              </w:rPr>
              <w:t>）</w:t>
            </w:r>
            <w:r>
              <w:rPr>
                <w:rFonts w:ascii="宋体" w:hAnsi="宋体" w:cs="宋体" w:eastAsia="宋体" w:hint="default"/>
                <w:spacing w:val="-35"/>
                <w:sz w:val="18"/>
                <w:szCs w:val="18"/>
              </w:rPr>
              <w:t>，</w:t>
            </w:r>
            <w:r>
              <w:rPr>
                <w:rFonts w:ascii="宋体" w:hAnsi="宋体" w:cs="宋体" w:eastAsia="宋体" w:hint="default"/>
                <w:sz w:val="18"/>
                <w:szCs w:val="18"/>
              </w:rPr>
              <w:t>若此期间</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有送股、资本公积金</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转增股份等股份变动</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事项，则对该数量进</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行相应调整。</w:t>
            </w:r>
          </w:p>
        </w:tc>
        <w:tc>
          <w:tcPr>
            <w:tcW w:w="992" w:type="dxa"/>
            <w:tcBorders>
              <w:top w:val="nil" w:sz="6" w:space="0" w:color="auto"/>
              <w:left w:val="single" w:sz="4" w:space="0" w:color="000000"/>
              <w:bottom w:val="single" w:sz="4" w:space="0" w:color="000000"/>
              <w:right w:val="single" w:sz="4" w:space="0" w:color="000000"/>
            </w:tcBorders>
          </w:tcPr>
          <w:p>
            <w:pPr/>
          </w:p>
        </w:tc>
        <w:tc>
          <w:tcPr>
            <w:tcW w:w="947"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华</w:t>
            </w:r>
          </w:p>
        </w:tc>
        <w:tc>
          <w:tcPr>
            <w:tcW w:w="992" w:type="dxa"/>
            <w:tcBorders>
              <w:top w:val="single" w:sz="4" w:space="0" w:color="000000"/>
              <w:left w:val="single" w:sz="4" w:space="0" w:color="000000"/>
              <w:bottom w:val="nil" w:sz="6" w:space="0" w:color="auto"/>
              <w:right w:val="single" w:sz="4" w:space="0" w:color="000000"/>
            </w:tcBorders>
          </w:tcPr>
          <w:p>
            <w:pPr/>
          </w:p>
        </w:tc>
        <w:tc>
          <w:tcPr>
            <w:tcW w:w="947"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融榕基软件员工持股</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号定向资产管理计</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划</w:t>
            </w:r>
            <w:r>
              <w:rPr>
                <w:rFonts w:ascii="Times New Roman" w:hAnsi="Times New Roman" w:cs="Times New Roman" w:eastAsia="Times New Roman" w:hint="default"/>
                <w:sz w:val="18"/>
                <w:szCs w:val="18"/>
              </w:rPr>
              <w:t>”</w:t>
            </w:r>
            <w:r>
              <w:rPr>
                <w:rFonts w:ascii="宋体" w:hAnsi="宋体" w:cs="宋体" w:eastAsia="宋体" w:hint="default"/>
                <w:sz w:val="18"/>
                <w:szCs w:val="18"/>
              </w:rPr>
              <w:t>通过二级市场购</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297"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入的方式累计购买公</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951"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57"/>
              <w:ind w:left="23" w:right="191"/>
              <w:jc w:val="left"/>
              <w:rPr>
                <w:rFonts w:ascii="宋体" w:hAnsi="宋体" w:cs="宋体" w:eastAsia="宋体" w:hint="default"/>
                <w:sz w:val="18"/>
                <w:szCs w:val="18"/>
              </w:rPr>
            </w:pPr>
            <w:r>
              <w:rPr>
                <w:rFonts w:ascii="宋体" w:hAnsi="宋体" w:cs="宋体" w:eastAsia="宋体" w:hint="default"/>
                <w:sz w:val="18"/>
                <w:szCs w:val="18"/>
              </w:rPr>
              <w:t>员工持股计 划</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319" w:lineRule="auto" w:before="157"/>
              <w:ind w:left="22" w:right="104"/>
              <w:jc w:val="left"/>
              <w:rPr>
                <w:rFonts w:ascii="宋体" w:hAnsi="宋体" w:cs="宋体" w:eastAsia="宋体" w:hint="default"/>
                <w:sz w:val="18"/>
                <w:szCs w:val="18"/>
              </w:rPr>
            </w:pPr>
            <w:r>
              <w:rPr>
                <w:rFonts w:ascii="宋体" w:hAnsi="宋体" w:cs="宋体" w:eastAsia="宋体" w:hint="default"/>
                <w:sz w:val="18"/>
                <w:szCs w:val="18"/>
              </w:rPr>
              <w:t>员工持股 计划承诺</w:t>
            </w:r>
          </w:p>
        </w:tc>
        <w:tc>
          <w:tcPr>
            <w:tcW w:w="1700" w:type="dxa"/>
            <w:tcBorders>
              <w:top w:val="nil" w:sz="6" w:space="0" w:color="auto"/>
              <w:left w:val="single" w:sz="4" w:space="0" w:color="000000"/>
              <w:bottom w:val="nil" w:sz="6" w:space="0" w:color="auto"/>
              <w:right w:val="single" w:sz="9" w:space="0" w:color="FFFFFF"/>
            </w:tcBorders>
          </w:tcPr>
          <w:p>
            <w:pPr>
              <w:pStyle w:val="TableParagraph"/>
              <w:spacing w:line="309" w:lineRule="auto" w:before="20"/>
              <w:ind w:left="22" w:right="115"/>
              <w:jc w:val="left"/>
              <w:rPr>
                <w:rFonts w:ascii="宋体" w:hAnsi="宋体" w:cs="宋体" w:eastAsia="宋体" w:hint="default"/>
                <w:sz w:val="18"/>
                <w:szCs w:val="18"/>
              </w:rPr>
            </w:pPr>
            <w:r>
              <w:rPr>
                <w:rFonts w:ascii="宋体" w:hAnsi="宋体" w:cs="宋体" w:eastAsia="宋体" w:hint="default"/>
                <w:sz w:val="18"/>
                <w:szCs w:val="18"/>
              </w:rPr>
              <w:t>司股票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1,867,900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 占公司总股本约为 </w:t>
            </w:r>
            <w:r>
              <w:rPr>
                <w:rFonts w:ascii="Times New Roman" w:hAnsi="Times New Roman" w:cs="Times New Roman" w:eastAsia="Times New Roman" w:hint="default"/>
                <w:sz w:val="18"/>
                <w:szCs w:val="18"/>
              </w:rPr>
              <w:t>0.30%</w:t>
            </w:r>
            <w:r>
              <w:rPr>
                <w:rFonts w:ascii="宋体" w:hAnsi="宋体" w:cs="宋体" w:eastAsia="宋体" w:hint="default"/>
                <w:sz w:val="18"/>
                <w:szCs w:val="18"/>
              </w:rPr>
              <w:t>，成交金额为</w:t>
            </w:r>
          </w:p>
        </w:tc>
        <w:tc>
          <w:tcPr>
            <w:tcW w:w="992" w:type="dxa"/>
            <w:tcBorders>
              <w:top w:val="nil" w:sz="6" w:space="0" w:color="auto"/>
              <w:left w:val="single" w:sz="9" w:space="0" w:color="FFFFFF"/>
              <w:bottom w:val="nil" w:sz="6" w:space="0" w:color="auto"/>
              <w:right w:val="single" w:sz="4" w:space="0" w:color="000000"/>
            </w:tcBorders>
          </w:tcPr>
          <w:p>
            <w:pPr>
              <w:pStyle w:val="TableParagraph"/>
              <w:spacing w:line="186" w:lineRule="exact" w:before="20"/>
              <w:ind w:left="-15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23"/>
              <w:jc w:val="left"/>
              <w:rPr>
                <w:rFonts w:ascii="宋体" w:hAnsi="宋体" w:cs="宋体" w:eastAsia="宋体" w:hint="default"/>
                <w:sz w:val="18"/>
                <w:szCs w:val="18"/>
              </w:rPr>
            </w:pPr>
            <w:r>
              <w:rPr>
                <w:rFonts w:ascii="宋体" w:hAnsi="宋体" w:cs="宋体" w:eastAsia="宋体" w:hint="default"/>
                <w:sz w:val="18"/>
                <w:szCs w:val="18"/>
              </w:rPr>
              <w:t>在承诺期限 </w:t>
            </w:r>
            <w:r>
              <w:rPr>
                <w:rFonts w:ascii="宋体" w:hAnsi="宋体" w:cs="宋体" w:eastAsia="宋体" w:hint="default"/>
                <w:spacing w:val="-5"/>
                <w:sz w:val="18"/>
                <w:szCs w:val="18"/>
              </w:rPr>
              <w:t>内，按承诺持</w:t>
            </w:r>
            <w:r>
              <w:rPr>
                <w:rFonts w:ascii="宋体" w:hAnsi="宋体" w:cs="宋体" w:eastAsia="宋体" w:hint="default"/>
                <w:sz w:val="18"/>
                <w:szCs w:val="18"/>
              </w:rPr>
              <w:t> 续履行中</w:t>
            </w: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19,584,134.59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元，成</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交均价约为人民币</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10.4846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股。公司</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tcBorders>
              <w:top w:val="nil" w:sz="6" w:space="0" w:color="auto"/>
              <w:left w:val="single" w:sz="4" w:space="0" w:color="000000"/>
              <w:bottom w:val="nil" w:sz="6" w:space="0" w:color="auto"/>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第一期员工持股计划</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的存续期为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 </w:t>
            </w:r>
            <w:r>
              <w:rPr>
                <w:rFonts w:ascii="宋体" w:hAnsi="宋体" w:cs="宋体" w:eastAsia="宋体" w:hint="default"/>
                <w:sz w:val="18"/>
                <w:szCs w:val="18"/>
              </w:rPr>
              <w:t>个月</w:t>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48" w:right="0"/>
              <w:jc w:val="left"/>
              <w:rPr>
                <w:rFonts w:ascii="宋体" w:hAnsi="宋体" w:cs="宋体" w:eastAsia="宋体" w:hint="default"/>
                <w:sz w:val="18"/>
                <w:szCs w:val="18"/>
              </w:rPr>
            </w:pPr>
            <w:r>
              <w:rPr>
                <w:rFonts w:ascii="宋体" w:hAnsi="宋体" w:cs="宋体" w:eastAsia="宋体" w:hint="default"/>
                <w:sz w:val="18"/>
                <w:szCs w:val="18"/>
              </w:rPr>
              <w:t>，</w:t>
            </w:r>
          </w:p>
        </w:tc>
        <w:tc>
          <w:tcPr>
            <w:tcW w:w="947"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859"/>
        <w:gridCol w:w="1700"/>
        <w:gridCol w:w="992"/>
        <w:gridCol w:w="947"/>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3D3D3"/>
          </w:tcPr>
          <w:p>
            <w:pPr/>
          </w:p>
        </w:tc>
        <w:tc>
          <w:tcPr>
            <w:tcW w:w="1126" w:type="dxa"/>
            <w:vMerge w:val="restart"/>
            <w:tcBorders>
              <w:top w:val="single" w:sz="4" w:space="0" w:color="000000"/>
              <w:left w:val="single" w:sz="4" w:space="0" w:color="000000"/>
              <w:right w:val="single" w:sz="4" w:space="0" w:color="000000"/>
            </w:tcBorders>
          </w:tcPr>
          <w:p>
            <w:pPr/>
          </w:p>
        </w:tc>
        <w:tc>
          <w:tcPr>
            <w:tcW w:w="859" w:type="dxa"/>
            <w:vMerge w:val="restart"/>
            <w:tcBorders>
              <w:top w:val="single" w:sz="4" w:space="0" w:color="000000"/>
              <w:left w:val="single" w:sz="4" w:space="0" w:color="000000"/>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锁定期为</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tc>
        <w:tc>
          <w:tcPr>
            <w:tcW w:w="992" w:type="dxa"/>
            <w:vMerge w:val="restart"/>
            <w:tcBorders>
              <w:top w:val="single" w:sz="4" w:space="0" w:color="000000"/>
              <w:left w:val="single" w:sz="4" w:space="0" w:color="000000"/>
              <w:right w:val="single" w:sz="4" w:space="0" w:color="000000"/>
            </w:tcBorders>
          </w:tcPr>
          <w:p>
            <w:pPr/>
          </w:p>
        </w:tc>
        <w:tc>
          <w:tcPr>
            <w:tcW w:w="947"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92"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2" w:hRule="exact"/>
        </w:trPr>
        <w:tc>
          <w:tcPr>
            <w:tcW w:w="2836" w:type="dxa"/>
            <w:vMerge/>
            <w:tcBorders>
              <w:left w:val="single" w:sz="4" w:space="0" w:color="000000"/>
              <w:right w:val="single" w:sz="4" w:space="0" w:color="000000"/>
            </w:tcBorders>
            <w:shd w:val="clear" w:color="auto" w:fill="D3D3D3"/>
          </w:tcPr>
          <w:p>
            <w:pPr/>
          </w:p>
        </w:tc>
        <w:tc>
          <w:tcPr>
            <w:tcW w:w="1126" w:type="dxa"/>
            <w:vMerge/>
            <w:tcBorders>
              <w:left w:val="single" w:sz="4" w:space="0" w:color="000000"/>
              <w:bottom w:val="single" w:sz="4" w:space="0" w:color="000000"/>
              <w:right w:val="single" w:sz="4" w:space="0" w:color="000000"/>
            </w:tcBorders>
          </w:tcPr>
          <w:p>
            <w:pPr/>
          </w:p>
        </w:tc>
        <w:tc>
          <w:tcPr>
            <w:tcW w:w="859" w:type="dxa"/>
            <w:vMerge/>
            <w:tcBorders>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vMerge/>
            <w:tcBorders>
              <w:left w:val="single" w:sz="4" w:space="0" w:color="000000"/>
              <w:bottom w:val="single" w:sz="4" w:space="0" w:color="000000"/>
              <w:right w:val="single" w:sz="4" w:space="0" w:color="000000"/>
            </w:tcBorders>
          </w:tcPr>
          <w:p>
            <w:pPr/>
          </w:p>
        </w:tc>
        <w:tc>
          <w:tcPr>
            <w:tcW w:w="947"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3D3D3"/>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nil" w:sz="6" w:space="0" w:color="auto"/>
              <w:right w:val="single" w:sz="4" w:space="0" w:color="000000"/>
            </w:tcBorders>
          </w:tcPr>
          <w:p>
            <w:pPr/>
          </w:p>
        </w:tc>
        <w:tc>
          <w:tcPr>
            <w:tcW w:w="947"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华融榕基软件员工持</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号定向资产管理</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计划（第二期）已通</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过二级市场购入的方</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式累计购买公司股票</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2,629,101</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股，占公司</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总股本约为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0.42%</w:t>
            </w:r>
            <w:r>
              <w:rPr>
                <w:rFonts w:ascii="宋体" w:hAnsi="宋体" w:cs="宋体" w:eastAsia="宋体"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93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191"/>
              <w:jc w:val="left"/>
              <w:rPr>
                <w:rFonts w:ascii="宋体" w:hAnsi="宋体" w:cs="宋体" w:eastAsia="宋体" w:hint="default"/>
                <w:sz w:val="18"/>
                <w:szCs w:val="18"/>
              </w:rPr>
            </w:pPr>
            <w:r>
              <w:rPr>
                <w:rFonts w:ascii="宋体" w:hAnsi="宋体" w:cs="宋体" w:eastAsia="宋体" w:hint="default"/>
                <w:sz w:val="18"/>
                <w:szCs w:val="18"/>
              </w:rPr>
              <w:t>员工持股计 划</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员工持股 计划承诺</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成交金额为</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24,419,002.20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元，成</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交均价约为人民币</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23"/>
              <w:jc w:val="left"/>
              <w:rPr>
                <w:rFonts w:ascii="宋体" w:hAnsi="宋体" w:cs="宋体" w:eastAsia="宋体" w:hint="default"/>
                <w:sz w:val="18"/>
                <w:szCs w:val="18"/>
              </w:rPr>
            </w:pPr>
            <w:r>
              <w:rPr>
                <w:rFonts w:ascii="宋体" w:hAnsi="宋体" w:cs="宋体" w:eastAsia="宋体" w:hint="default"/>
                <w:sz w:val="18"/>
                <w:szCs w:val="18"/>
              </w:rPr>
              <w:t>在承诺期限 </w:t>
            </w:r>
            <w:r>
              <w:rPr>
                <w:rFonts w:ascii="宋体" w:hAnsi="宋体" w:cs="宋体" w:eastAsia="宋体" w:hint="default"/>
                <w:spacing w:val="-5"/>
                <w:sz w:val="18"/>
                <w:szCs w:val="18"/>
              </w:rPr>
              <w:t>内，按承诺持</w:t>
            </w:r>
            <w:r>
              <w:rPr>
                <w:rFonts w:ascii="宋体" w:hAnsi="宋体" w:cs="宋体" w:eastAsia="宋体" w:hint="default"/>
                <w:sz w:val="18"/>
                <w:szCs w:val="18"/>
              </w:rPr>
              <w:t> 续履行中</w:t>
            </w:r>
          </w:p>
        </w:tc>
      </w:tr>
      <w:tr>
        <w:trPr>
          <w:trHeight w:val="316"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9.29</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元</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股，公司已完</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成本期员工持股计划</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标的股票的购买。公</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司第二期员工持股计</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划的存续期为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1"/>
                <w:sz w:val="18"/>
                <w:szCs w:val="18"/>
              </w:rPr>
              <w:t>月，锁定期为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single" w:sz="4" w:space="0" w:color="000000"/>
              <w:right w:val="single" w:sz="4" w:space="0" w:color="000000"/>
            </w:tcBorders>
          </w:tcPr>
          <w:p>
            <w:pPr/>
          </w:p>
        </w:tc>
        <w:tc>
          <w:tcPr>
            <w:tcW w:w="947"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3D3D3"/>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992" w:type="dxa"/>
            <w:tcBorders>
              <w:top w:val="single" w:sz="4" w:space="0" w:color="000000"/>
              <w:left w:val="single" w:sz="4" w:space="0" w:color="000000"/>
              <w:bottom w:val="nil" w:sz="6" w:space="0" w:color="auto"/>
              <w:right w:val="single" w:sz="4" w:space="0" w:color="000000"/>
            </w:tcBorders>
          </w:tcPr>
          <w:p>
            <w:pPr/>
          </w:p>
        </w:tc>
        <w:tc>
          <w:tcPr>
            <w:tcW w:w="947"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华融榕基软件员工持</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号定向资产管理</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计划（第三期）已通</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过二级市场购入的方</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式累计购买公司股票</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7,856,200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股，占公司</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总股本约为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1.26%</w:t>
            </w:r>
            <w:r>
              <w:rPr>
                <w:rFonts w:ascii="宋体" w:hAnsi="宋体" w:cs="宋体" w:eastAsia="宋体"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93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191"/>
              <w:jc w:val="left"/>
              <w:rPr>
                <w:rFonts w:ascii="宋体" w:hAnsi="宋体" w:cs="宋体" w:eastAsia="宋体" w:hint="default"/>
                <w:sz w:val="18"/>
                <w:szCs w:val="18"/>
              </w:rPr>
            </w:pPr>
            <w:r>
              <w:rPr>
                <w:rFonts w:ascii="宋体" w:hAnsi="宋体" w:cs="宋体" w:eastAsia="宋体" w:hint="default"/>
                <w:sz w:val="18"/>
                <w:szCs w:val="18"/>
              </w:rPr>
              <w:t>员工持股计 划</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员工持股 计划承诺</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成交金额为</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58,225,118.51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元，成</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交均价约为人民币</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23"/>
              <w:jc w:val="left"/>
              <w:rPr>
                <w:rFonts w:ascii="宋体" w:hAnsi="宋体" w:cs="宋体" w:eastAsia="宋体" w:hint="default"/>
                <w:sz w:val="18"/>
                <w:szCs w:val="18"/>
              </w:rPr>
            </w:pPr>
            <w:r>
              <w:rPr>
                <w:rFonts w:ascii="宋体" w:hAnsi="宋体" w:cs="宋体" w:eastAsia="宋体" w:hint="default"/>
                <w:sz w:val="18"/>
                <w:szCs w:val="18"/>
              </w:rPr>
              <w:t>在承诺期限 </w:t>
            </w:r>
            <w:r>
              <w:rPr>
                <w:rFonts w:ascii="宋体" w:hAnsi="宋体" w:cs="宋体" w:eastAsia="宋体" w:hint="default"/>
                <w:spacing w:val="-5"/>
                <w:sz w:val="18"/>
                <w:szCs w:val="18"/>
              </w:rPr>
              <w:t>内，按承诺持</w:t>
            </w:r>
            <w:r>
              <w:rPr>
                <w:rFonts w:ascii="宋体" w:hAnsi="宋体" w:cs="宋体" w:eastAsia="宋体" w:hint="default"/>
                <w:sz w:val="18"/>
                <w:szCs w:val="18"/>
              </w:rPr>
              <w:t> 续履行中</w:t>
            </w:r>
          </w:p>
        </w:tc>
      </w:tr>
      <w:tr>
        <w:trPr>
          <w:trHeight w:val="316"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7.41</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元</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股，公司已完</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成本期员工持股计划</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标的股票的购买。公</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司第一期员工持股计</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划的存续期为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1"/>
                <w:sz w:val="18"/>
                <w:szCs w:val="18"/>
              </w:rPr>
              <w:t>月，锁定期为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日至</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w:t>
            </w:r>
          </w:p>
        </w:tc>
        <w:tc>
          <w:tcPr>
            <w:tcW w:w="992"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single" w:sz="4" w:space="0" w:color="000000"/>
              <w:right w:val="single" w:sz="4" w:space="0" w:color="000000"/>
            </w:tcBorders>
          </w:tcPr>
          <w:p>
            <w:pPr/>
          </w:p>
        </w:tc>
        <w:tc>
          <w:tcPr>
            <w:tcW w:w="947"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如承诺超期未履行完毕的，应当详</w:t>
            </w:r>
          </w:p>
        </w:tc>
        <w:tc>
          <w:tcPr>
            <w:tcW w:w="673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5"/>
        <w:rPr>
          <w:rFonts w:ascii="Times New Roman" w:hAnsi="Times New Roman" w:cs="Times New Roman" w:eastAsia="Times New Roman" w:hint="default"/>
          <w:sz w:val="27"/>
          <w:szCs w:val="27"/>
        </w:rPr>
      </w:pPr>
    </w:p>
    <w:p>
      <w:pPr>
        <w:spacing w:line="693" w:lineRule="exact"/>
        <w:ind w:left="3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479.35pt;height:34.7pt;mso-position-horizontal-relative:char;mso-position-vertical-relative:line" coordorigin="0,0" coordsize="9587,694">
            <v:group style="position:absolute;left:26;top:14;width:2;height:665" coordorigin="26,14" coordsize="2,665">
              <v:shape style="position:absolute;left:26;top:14;width:2;height:665" coordorigin="26,14" coordsize="0,665" path="m26,14l26,679e" filled="false" stroked="true" strokeweight="1.140pt" strokecolor="#d3d3d3">
                <v:path arrowok="t"/>
              </v:shape>
            </v:group>
            <v:group style="position:absolute;left:2829;top:14;width:2;height:665" coordorigin="2829,14" coordsize="2,665">
              <v:shape style="position:absolute;left:2829;top:14;width:2;height:665" coordorigin="2829,14" coordsize="0,665" path="m2829,14l2829,679e" filled="false" stroked="true" strokeweight="1.140pt" strokecolor="#d3d3d3">
                <v:path arrowok="t"/>
              </v:shape>
            </v:group>
            <v:group style="position:absolute;left:37;top:14;width:2781;height:312" coordorigin="37,14" coordsize="2781,312">
              <v:shape style="position:absolute;left:37;top:14;width:2781;height:312" coordorigin="37,14" coordsize="2781,312" path="m37,326l2818,326,2818,14,37,14,37,326xe" filled="true" fillcolor="#d3d3d3" stroked="false">
                <v:path arrowok="t"/>
                <v:fill type="solid"/>
              </v:shape>
            </v:group>
            <v:group style="position:absolute;left:37;top:326;width:2781;height:353" coordorigin="37,326" coordsize="2781,353">
              <v:shape style="position:absolute;left:37;top:326;width:2781;height:353" coordorigin="37,326" coordsize="2781,353" path="m37,679l2818,679,2818,326,37,326,37,679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684" coordorigin="10,5" coordsize="2,684">
              <v:shape style="position:absolute;left:10;top:5;width:2;height:684" coordorigin="10,5" coordsize="0,684" path="m10,5l10,689e" filled="false" stroked="true" strokeweight=".48001pt" strokecolor="#000000">
                <v:path arrowok="t"/>
              </v:shape>
            </v:group>
            <v:group style="position:absolute;left:5;top:684;width:2836;height:2" coordorigin="5,684" coordsize="2836,2">
              <v:shape style="position:absolute;left:5;top:684;width:2836;height:2" coordorigin="5,684" coordsize="2836,0" path="m5,684l2840,684e" filled="false" stroked="true" strokeweight=".47998pt" strokecolor="#000000">
                <v:path arrowok="t"/>
              </v:shape>
            </v:group>
            <v:group style="position:absolute;left:2845;top:14;width:2;height:675" coordorigin="2845,14" coordsize="2,675">
              <v:shape style="position:absolute;left:2845;top:14;width:2;height:675" coordorigin="2845,14" coordsize="0,675" path="m2845,14l2845,689e" filled="false" stroked="true" strokeweight=".48pt" strokecolor="#000000">
                <v:path arrowok="t"/>
              </v:shape>
            </v:group>
            <v:group style="position:absolute;left:2850;top:684;width:6723;height:2" coordorigin="2850,684" coordsize="6723,2">
              <v:shape style="position:absolute;left:2850;top:684;width:6723;height:2" coordorigin="2850,684" coordsize="6723,0" path="m2850,684l9572,684e" filled="false" stroked="true" strokeweight=".47998pt" strokecolor="#000000">
                <v:path arrowok="t"/>
              </v:shape>
            </v:group>
            <v:group style="position:absolute;left:9577;top:5;width:2;height:684" coordorigin="9577,5" coordsize="2,684">
              <v:shape style="position:absolute;left:9577;top:5;width:2;height:684" coordorigin="9577,5" coordsize="0,684" path="m9577,5l9577,689e" filled="false" stroked="true" strokeweight=".47998pt" strokecolor="#000000">
                <v:path arrowok="t"/>
              </v:shape>
              <v:shape style="position:absolute;left:10;top:10;width:2836;height:675" type="#_x0000_t202" filled="false" stroked="false">
                <v:textbox inset="0,0,0,0">
                  <w:txbxContent>
                    <w:p>
                      <w:pPr>
                        <w:spacing w:line="319" w:lineRule="auto" w:before="15"/>
                        <w:ind w:left="27" w:right="107" w:firstLine="0"/>
                        <w:jc w:val="left"/>
                        <w:rPr>
                          <w:rFonts w:ascii="宋体" w:hAnsi="宋体" w:cs="宋体" w:eastAsia="宋体" w:hint="default"/>
                          <w:sz w:val="18"/>
                          <w:szCs w:val="18"/>
                        </w:rPr>
                      </w:pPr>
                      <w:r>
                        <w:rPr>
                          <w:rFonts w:ascii="宋体" w:hAnsi="宋体" w:cs="宋体" w:eastAsia="宋体" w:hint="default"/>
                          <w:sz w:val="18"/>
                          <w:szCs w:val="18"/>
                        </w:rPr>
                        <w:t>细说明未完成履行的具体原因及下 一步的工作计划</w:t>
                      </w:r>
                    </w:p>
                  </w:txbxContent>
                </v:textbox>
                <w10:wrap type="none"/>
              </v:shape>
            </v:group>
          </v:group>
        </w:pict>
      </w:r>
      <w:r>
        <w:rPr>
          <w:rFonts w:ascii="Times New Roman" w:hAnsi="Times New Roman" w:cs="Times New Roman" w:eastAsia="Times New Roman" w:hint="default"/>
          <w:position w:val="-13"/>
          <w:sz w:val="20"/>
          <w:szCs w:val="20"/>
        </w:rPr>
      </w:r>
    </w:p>
    <w:p>
      <w:pPr>
        <w:spacing w:line="240" w:lineRule="auto" w:before="5"/>
        <w:rPr>
          <w:rFonts w:ascii="Times New Roman" w:hAnsi="Times New Roman" w:cs="Times New Roman" w:eastAsia="Times New Roman" w:hint="default"/>
          <w:sz w:val="21"/>
          <w:szCs w:val="21"/>
        </w:rPr>
      </w:pPr>
    </w:p>
    <w:p>
      <w:pPr>
        <w:pStyle w:val="Heading3"/>
        <w:spacing w:line="259" w:lineRule="auto" w:before="35"/>
        <w:ind w:left="394"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9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394" w:right="0"/>
        <w:jc w:val="left"/>
        <w:rPr>
          <w:b w:val="0"/>
          <w:bCs w:val="0"/>
        </w:rPr>
      </w:pP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left="394" w:right="4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left="394"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left="39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394" w:right="0"/>
        <w:jc w:val="left"/>
        <w:rPr>
          <w:b w:val="0"/>
          <w:bCs w:val="0"/>
        </w:rPr>
      </w:pPr>
      <w:r>
        <w:rPr/>
        <w:t>六、与上年度财务报告相比，会计政策、会计估计和核算方法发生变化的情况说明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39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271"/>
        <w:jc w:val="right"/>
      </w:pPr>
      <w:r>
        <w:rPr/>
        <w:t>单位：元</w:t>
      </w:r>
    </w:p>
    <w:p>
      <w:pPr>
        <w:spacing w:line="240" w:lineRule="auto" w:before="0"/>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6380"/>
        <w:gridCol w:w="2126"/>
        <w:gridCol w:w="1559"/>
      </w:tblGrid>
      <w:tr>
        <w:trPr>
          <w:trHeight w:val="600" w:hRule="exact"/>
        </w:trPr>
        <w:tc>
          <w:tcPr>
            <w:tcW w:w="638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47"/>
              <w:ind w:left="2103"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12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47"/>
              <w:ind w:left="334" w:right="0"/>
              <w:jc w:val="left"/>
              <w:rPr>
                <w:rFonts w:ascii="宋体" w:hAnsi="宋体" w:cs="宋体" w:eastAsia="宋体" w:hint="default"/>
                <w:sz w:val="18"/>
                <w:szCs w:val="18"/>
              </w:rPr>
            </w:pPr>
            <w:r>
              <w:rPr>
                <w:rFonts w:ascii="宋体" w:hAnsi="宋体" w:cs="宋体" w:eastAsia="宋体" w:hint="default"/>
                <w:sz w:val="18"/>
                <w:szCs w:val="18"/>
              </w:rPr>
              <w:t>受影响的报表项目</w:t>
            </w:r>
          </w:p>
        </w:tc>
        <w:tc>
          <w:tcPr>
            <w:tcW w:w="1559"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147"/>
              <w:ind w:left="411" w:right="0"/>
              <w:jc w:val="left"/>
              <w:rPr>
                <w:rFonts w:ascii="宋体" w:hAnsi="宋体" w:cs="宋体" w:eastAsia="宋体" w:hint="default"/>
                <w:sz w:val="18"/>
                <w:szCs w:val="18"/>
              </w:rPr>
            </w:pPr>
            <w:r>
              <w:rPr>
                <w:rFonts w:ascii="宋体" w:hAnsi="宋体" w:cs="宋体" w:eastAsia="宋体" w:hint="default"/>
                <w:sz w:val="18"/>
                <w:szCs w:val="18"/>
              </w:rPr>
              <w:t>影响金额</w:t>
            </w:r>
          </w:p>
        </w:tc>
      </w:tr>
      <w:tr>
        <w:trPr>
          <w:trHeight w:val="292" w:hRule="exact"/>
        </w:trPr>
        <w:tc>
          <w:tcPr>
            <w:tcW w:w="638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根据《企业会计准则第16号——政府补助》（2017），政府补助的会计处理方法</w:t>
            </w:r>
          </w:p>
        </w:tc>
        <w:tc>
          <w:tcPr>
            <w:tcW w:w="2126" w:type="dxa"/>
            <w:tcBorders>
              <w:top w:val="single" w:sz="6" w:space="0" w:color="000000"/>
              <w:left w:val="single" w:sz="6" w:space="0" w:color="000000"/>
              <w:bottom w:val="nil" w:sz="6" w:space="0" w:color="auto"/>
              <w:right w:val="single" w:sz="6" w:space="0" w:color="000000"/>
            </w:tcBorders>
          </w:tcPr>
          <w:p>
            <w:pPr/>
          </w:p>
        </w:tc>
        <w:tc>
          <w:tcPr>
            <w:tcW w:w="1559" w:type="dxa"/>
            <w:tcBorders>
              <w:top w:val="single" w:sz="6" w:space="0" w:color="000000"/>
              <w:left w:val="single" w:sz="6" w:space="0" w:color="000000"/>
              <w:bottom w:val="nil" w:sz="6" w:space="0" w:color="auto"/>
              <w:right w:val="single" w:sz="6" w:space="0" w:color="000000"/>
            </w:tcBorders>
          </w:tcPr>
          <w:p>
            <w:pPr/>
          </w:p>
        </w:tc>
      </w:tr>
      <w:tr>
        <w:trPr>
          <w:trHeight w:val="350" w:hRule="exact"/>
        </w:trPr>
        <w:tc>
          <w:tcPr>
            <w:tcW w:w="6380"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left="3" w:right="0"/>
              <w:jc w:val="left"/>
              <w:rPr>
                <w:rFonts w:ascii="宋体" w:hAnsi="宋体" w:cs="宋体" w:eastAsia="宋体" w:hint="default"/>
                <w:sz w:val="18"/>
                <w:szCs w:val="18"/>
              </w:rPr>
            </w:pPr>
            <w:r>
              <w:rPr>
                <w:rFonts w:ascii="宋体" w:hAnsi="宋体" w:cs="宋体" w:eastAsia="宋体" w:hint="default"/>
                <w:sz w:val="18"/>
                <w:szCs w:val="18"/>
              </w:rPr>
              <w:t>从总额法改为允许采用净额法，将与资产相关的政府补助相关递延收益的摊销方</w:t>
            </w:r>
          </w:p>
        </w:tc>
        <w:tc>
          <w:tcPr>
            <w:tcW w:w="2126" w:type="dxa"/>
            <w:tcBorders>
              <w:top w:val="nil" w:sz="6" w:space="0" w:color="auto"/>
              <w:left w:val="single" w:sz="6" w:space="0" w:color="000000"/>
              <w:bottom w:val="nil" w:sz="6" w:space="0" w:color="auto"/>
              <w:right w:val="single" w:sz="6" w:space="0" w:color="000000"/>
            </w:tcBorders>
          </w:tcPr>
          <w:p>
            <w:pPr>
              <w:pStyle w:val="TableParagraph"/>
              <w:spacing w:line="208" w:lineRule="exact"/>
              <w:ind w:left="2" w:right="0"/>
              <w:jc w:val="left"/>
              <w:rPr>
                <w:rFonts w:ascii="宋体" w:hAnsi="宋体" w:cs="宋体" w:eastAsia="宋体" w:hint="default"/>
                <w:sz w:val="18"/>
                <w:szCs w:val="18"/>
              </w:rPr>
            </w:pPr>
            <w:r>
              <w:rPr>
                <w:rFonts w:ascii="宋体" w:hAnsi="宋体" w:cs="宋体" w:eastAsia="宋体" w:hint="default"/>
                <w:sz w:val="18"/>
                <w:szCs w:val="18"/>
              </w:rPr>
              <w:t>1、 其他收益</w:t>
            </w:r>
          </w:p>
        </w:tc>
        <w:tc>
          <w:tcPr>
            <w:tcW w:w="1559"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596" w:right="0"/>
              <w:jc w:val="left"/>
              <w:rPr>
                <w:rFonts w:ascii="Times New Roman" w:hAnsi="Times New Roman" w:cs="Times New Roman" w:eastAsia="Times New Roman" w:hint="default"/>
                <w:sz w:val="18"/>
                <w:szCs w:val="18"/>
              </w:rPr>
            </w:pPr>
            <w:r>
              <w:rPr>
                <w:rFonts w:ascii="Times New Roman"/>
                <w:sz w:val="18"/>
              </w:rPr>
              <w:t>3,613,545.02</w:t>
            </w:r>
          </w:p>
        </w:tc>
      </w:tr>
      <w:tr>
        <w:trPr>
          <w:trHeight w:val="312" w:hRule="exact"/>
        </w:trPr>
        <w:tc>
          <w:tcPr>
            <w:tcW w:w="63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式从在相关资产使用寿命内平均分配改为按照合理、系统的方法分配，并修改了</w:t>
            </w:r>
          </w:p>
        </w:tc>
        <w:tc>
          <w:tcPr>
            <w:tcW w:w="2126" w:type="dxa"/>
            <w:tcBorders>
              <w:top w:val="nil" w:sz="6" w:space="0" w:color="auto"/>
              <w:left w:val="single" w:sz="6" w:space="0" w:color="000000"/>
              <w:bottom w:val="nil" w:sz="6" w:space="0" w:color="auto"/>
              <w:right w:val="single" w:sz="6" w:space="0" w:color="000000"/>
            </w:tcBorders>
          </w:tcPr>
          <w:p>
            <w:pPr/>
          </w:p>
        </w:tc>
        <w:tc>
          <w:tcPr>
            <w:tcW w:w="1559" w:type="dxa"/>
            <w:tcBorders>
              <w:top w:val="nil" w:sz="6" w:space="0" w:color="auto"/>
              <w:left w:val="single" w:sz="6" w:space="0" w:color="000000"/>
              <w:bottom w:val="nil" w:sz="6" w:space="0" w:color="auto"/>
              <w:right w:val="single" w:sz="6" w:space="0" w:color="000000"/>
            </w:tcBorders>
          </w:tcPr>
          <w:p>
            <w:pPr/>
          </w:p>
        </w:tc>
      </w:tr>
      <w:tr>
        <w:trPr>
          <w:trHeight w:val="176" w:hRule="exact"/>
        </w:trPr>
        <w:tc>
          <w:tcPr>
            <w:tcW w:w="6380" w:type="dxa"/>
            <w:vMerge w:val="restart"/>
            <w:tcBorders>
              <w:top w:val="nil" w:sz="6" w:space="0" w:color="auto"/>
              <w:left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政府补助的列报项目。2017年1月1日尚未摊销完毕的政府补助和2017年取得的政</w:t>
            </w:r>
          </w:p>
        </w:tc>
        <w:tc>
          <w:tcPr>
            <w:tcW w:w="2126" w:type="dxa"/>
            <w:tcBorders>
              <w:top w:val="nil" w:sz="6" w:space="0" w:color="auto"/>
              <w:left w:val="single" w:sz="6" w:space="0" w:color="000000"/>
              <w:bottom w:val="single" w:sz="6" w:space="0" w:color="000000"/>
              <w:right w:val="single" w:sz="6" w:space="0" w:color="000000"/>
            </w:tcBorders>
          </w:tcPr>
          <w:p>
            <w:pPr/>
          </w:p>
        </w:tc>
        <w:tc>
          <w:tcPr>
            <w:tcW w:w="1559" w:type="dxa"/>
            <w:tcBorders>
              <w:top w:val="nil" w:sz="6" w:space="0" w:color="auto"/>
              <w:left w:val="single" w:sz="6" w:space="0" w:color="000000"/>
              <w:bottom w:val="single" w:sz="6" w:space="0" w:color="000000"/>
              <w:right w:val="single" w:sz="6" w:space="0" w:color="000000"/>
            </w:tcBorders>
          </w:tcPr>
          <w:p>
            <w:pPr/>
          </w:p>
        </w:tc>
      </w:tr>
      <w:tr>
        <w:trPr>
          <w:trHeight w:val="136" w:hRule="exact"/>
        </w:trPr>
        <w:tc>
          <w:tcPr>
            <w:tcW w:w="6380" w:type="dxa"/>
            <w:vMerge/>
            <w:tcBorders>
              <w:left w:val="single" w:sz="6" w:space="0" w:color="000000"/>
              <w:bottom w:val="nil" w:sz="6" w:space="0" w:color="auto"/>
              <w:right w:val="single" w:sz="6" w:space="0" w:color="000000"/>
            </w:tcBorders>
          </w:tcPr>
          <w:p>
            <w:pPr/>
          </w:p>
        </w:tc>
        <w:tc>
          <w:tcPr>
            <w:tcW w:w="212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2、 营业外收入</w:t>
            </w:r>
          </w:p>
        </w:tc>
        <w:tc>
          <w:tcPr>
            <w:tcW w:w="155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536" w:right="0"/>
              <w:jc w:val="left"/>
              <w:rPr>
                <w:rFonts w:ascii="Times New Roman" w:hAnsi="Times New Roman" w:cs="Times New Roman" w:eastAsia="Times New Roman" w:hint="default"/>
                <w:sz w:val="18"/>
                <w:szCs w:val="18"/>
              </w:rPr>
            </w:pPr>
            <w:r>
              <w:rPr>
                <w:rFonts w:ascii="Times New Roman"/>
                <w:sz w:val="18"/>
              </w:rPr>
              <w:t>-3,613,545.02</w:t>
            </w:r>
          </w:p>
        </w:tc>
      </w:tr>
      <w:tr>
        <w:trPr>
          <w:trHeight w:val="312" w:hRule="exact"/>
        </w:trPr>
        <w:tc>
          <w:tcPr>
            <w:tcW w:w="63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府补助适用修订后的准则。</w:t>
            </w:r>
          </w:p>
        </w:tc>
        <w:tc>
          <w:tcPr>
            <w:tcW w:w="2126" w:type="dxa"/>
            <w:vMerge/>
            <w:tcBorders>
              <w:left w:val="single" w:sz="6" w:space="0" w:color="000000"/>
              <w:right w:val="single" w:sz="6" w:space="0" w:color="000000"/>
            </w:tcBorders>
          </w:tcPr>
          <w:p>
            <w:pPr/>
          </w:p>
        </w:tc>
        <w:tc>
          <w:tcPr>
            <w:tcW w:w="1559" w:type="dxa"/>
            <w:vMerge/>
            <w:tcBorders>
              <w:left w:val="single" w:sz="6" w:space="0" w:color="000000"/>
              <w:right w:val="single" w:sz="6" w:space="0" w:color="000000"/>
            </w:tcBorders>
          </w:tcPr>
          <w:p>
            <w:pPr/>
          </w:p>
        </w:tc>
      </w:tr>
      <w:tr>
        <w:trPr>
          <w:trHeight w:val="312" w:hRule="exact"/>
        </w:trPr>
        <w:tc>
          <w:tcPr>
            <w:tcW w:w="63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对新的披露要求不需提供比较信息，不对比较报表中其他收益的列报进行相应调</w:t>
            </w:r>
          </w:p>
        </w:tc>
        <w:tc>
          <w:tcPr>
            <w:tcW w:w="2126" w:type="dxa"/>
            <w:vMerge/>
            <w:tcBorders>
              <w:left w:val="single" w:sz="6" w:space="0" w:color="000000"/>
              <w:right w:val="single" w:sz="6" w:space="0" w:color="000000"/>
            </w:tcBorders>
          </w:tcPr>
          <w:p>
            <w:pPr/>
          </w:p>
        </w:tc>
        <w:tc>
          <w:tcPr>
            <w:tcW w:w="1559" w:type="dxa"/>
            <w:vMerge/>
            <w:tcBorders>
              <w:left w:val="single" w:sz="6" w:space="0" w:color="000000"/>
              <w:right w:val="single" w:sz="6" w:space="0" w:color="000000"/>
            </w:tcBorders>
          </w:tcPr>
          <w:p>
            <w:pPr/>
          </w:p>
        </w:tc>
      </w:tr>
      <w:tr>
        <w:trPr>
          <w:trHeight w:val="371" w:hRule="exact"/>
        </w:trPr>
        <w:tc>
          <w:tcPr>
            <w:tcW w:w="638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整。</w:t>
            </w:r>
          </w:p>
        </w:tc>
        <w:tc>
          <w:tcPr>
            <w:tcW w:w="2126" w:type="dxa"/>
            <w:vMerge/>
            <w:tcBorders>
              <w:left w:val="single" w:sz="6" w:space="0" w:color="000000"/>
              <w:bottom w:val="single" w:sz="6" w:space="0" w:color="000000"/>
              <w:right w:val="single" w:sz="6" w:space="0" w:color="000000"/>
            </w:tcBorders>
          </w:tcPr>
          <w:p>
            <w:pPr/>
          </w:p>
        </w:tc>
        <w:tc>
          <w:tcPr>
            <w:tcW w:w="1559" w:type="dxa"/>
            <w:vMerge/>
            <w:tcBorders>
              <w:left w:val="single" w:sz="6" w:space="0" w:color="000000"/>
              <w:bottom w:val="single" w:sz="6" w:space="0" w:color="000000"/>
              <w:right w:val="single" w:sz="6" w:space="0" w:color="000000"/>
            </w:tcBorders>
          </w:tcPr>
          <w:p>
            <w:pPr/>
          </w:p>
        </w:tc>
      </w:tr>
      <w:tr>
        <w:trPr>
          <w:trHeight w:val="382" w:hRule="exact"/>
        </w:trPr>
        <w:tc>
          <w:tcPr>
            <w:tcW w:w="638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根据《关于修订印发一般企业财务报表格式的通知》（财会[2017]30号），在利</w:t>
            </w:r>
          </w:p>
        </w:tc>
        <w:tc>
          <w:tcPr>
            <w:tcW w:w="21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1559" w:type="dxa"/>
            <w:vMerge w:val="restart"/>
            <w:tcBorders>
              <w:top w:val="single" w:sz="6" w:space="0" w:color="000000"/>
              <w:left w:val="single" w:sz="6" w:space="0" w:color="000000"/>
              <w:right w:val="single" w:sz="6" w:space="0" w:color="000000"/>
            </w:tcBorders>
          </w:tcPr>
          <w:p>
            <w:pPr/>
          </w:p>
        </w:tc>
      </w:tr>
      <w:tr>
        <w:trPr>
          <w:trHeight w:val="155" w:hRule="exact"/>
        </w:trPr>
        <w:tc>
          <w:tcPr>
            <w:tcW w:w="6380" w:type="dxa"/>
            <w:vMerge w:val="restart"/>
            <w:tcBorders>
              <w:top w:val="nil" w:sz="6" w:space="0" w:color="auto"/>
              <w:left w:val="single" w:sz="6" w:space="0" w:color="000000"/>
              <w:right w:val="single" w:sz="6" w:space="0" w:color="000000"/>
            </w:tcBorders>
          </w:tcPr>
          <w:p>
            <w:pPr>
              <w:pStyle w:val="TableParagraph"/>
              <w:spacing w:line="193" w:lineRule="exact"/>
              <w:ind w:left="3" w:right="0"/>
              <w:jc w:val="left"/>
              <w:rPr>
                <w:rFonts w:ascii="宋体" w:hAnsi="宋体" w:cs="宋体" w:eastAsia="宋体" w:hint="default"/>
                <w:sz w:val="18"/>
                <w:szCs w:val="18"/>
              </w:rPr>
            </w:pPr>
            <w:r>
              <w:rPr>
                <w:rFonts w:ascii="宋体" w:hAnsi="宋体" w:cs="宋体" w:eastAsia="宋体" w:hint="default"/>
                <w:sz w:val="18"/>
                <w:szCs w:val="18"/>
              </w:rPr>
              <w:t>润表中新增“资产处置收益”行项目，反映企业出售划分为持有待售的非流动资</w:t>
            </w:r>
          </w:p>
        </w:tc>
        <w:tc>
          <w:tcPr>
            <w:tcW w:w="2126" w:type="dxa"/>
            <w:tcBorders>
              <w:top w:val="nil" w:sz="6" w:space="0" w:color="auto"/>
              <w:left w:val="single" w:sz="6" w:space="0" w:color="000000"/>
              <w:bottom w:val="single" w:sz="6" w:space="0" w:color="000000"/>
              <w:right w:val="single" w:sz="6" w:space="0" w:color="000000"/>
            </w:tcBorders>
          </w:tcPr>
          <w:p>
            <w:pPr/>
          </w:p>
        </w:tc>
        <w:tc>
          <w:tcPr>
            <w:tcW w:w="1559" w:type="dxa"/>
            <w:vMerge/>
            <w:tcBorders>
              <w:left w:val="single" w:sz="6" w:space="0" w:color="000000"/>
              <w:bottom w:val="single" w:sz="6" w:space="0" w:color="000000"/>
              <w:right w:val="single" w:sz="6" w:space="0" w:color="000000"/>
            </w:tcBorders>
          </w:tcPr>
          <w:p>
            <w:pPr/>
          </w:p>
        </w:tc>
      </w:tr>
      <w:tr>
        <w:trPr>
          <w:trHeight w:val="103" w:hRule="exact"/>
        </w:trPr>
        <w:tc>
          <w:tcPr>
            <w:tcW w:w="6380" w:type="dxa"/>
            <w:vMerge/>
            <w:tcBorders>
              <w:left w:val="single" w:sz="6" w:space="0" w:color="000000"/>
              <w:bottom w:val="nil" w:sz="6" w:space="0" w:color="auto"/>
              <w:right w:val="single" w:sz="6" w:space="0" w:color="000000"/>
            </w:tcBorders>
          </w:tcPr>
          <w:p>
            <w:pPr/>
          </w:p>
        </w:tc>
        <w:tc>
          <w:tcPr>
            <w:tcW w:w="2126" w:type="dxa"/>
            <w:vMerge w:val="restart"/>
            <w:tcBorders>
              <w:top w:val="single" w:sz="6" w:space="0" w:color="000000"/>
              <w:left w:val="single" w:sz="6" w:space="0" w:color="000000"/>
              <w:right w:val="single" w:sz="6" w:space="0" w:color="000000"/>
            </w:tcBorders>
          </w:tcPr>
          <w:p>
            <w:pPr>
              <w:pStyle w:val="TableParagraph"/>
              <w:spacing w:line="240" w:lineRule="auto" w:before="135"/>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、资产处置收益</w:t>
            </w:r>
          </w:p>
        </w:tc>
        <w:tc>
          <w:tcPr>
            <w:tcW w:w="1559"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670" w:right="0"/>
              <w:jc w:val="left"/>
              <w:rPr>
                <w:rFonts w:ascii="Times New Roman" w:hAnsi="Times New Roman" w:cs="Times New Roman" w:eastAsia="Times New Roman" w:hint="default"/>
                <w:sz w:val="18"/>
                <w:szCs w:val="18"/>
              </w:rPr>
            </w:pPr>
            <w:r>
              <w:rPr>
                <w:rFonts w:ascii="Times New Roman"/>
                <w:sz w:val="18"/>
              </w:rPr>
              <w:t>-101,944.42</w:t>
            </w:r>
          </w:p>
        </w:tc>
      </w:tr>
      <w:tr>
        <w:trPr>
          <w:trHeight w:val="312" w:hRule="exact"/>
        </w:trPr>
        <w:tc>
          <w:tcPr>
            <w:tcW w:w="63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产（金融工具、长期股权投资和投资性房地产除外）或处置组时确认的处置利得</w:t>
            </w:r>
          </w:p>
        </w:tc>
        <w:tc>
          <w:tcPr>
            <w:tcW w:w="2126" w:type="dxa"/>
            <w:vMerge/>
            <w:tcBorders>
              <w:left w:val="single" w:sz="6" w:space="0" w:color="000000"/>
              <w:right w:val="single" w:sz="6" w:space="0" w:color="000000"/>
            </w:tcBorders>
          </w:tcPr>
          <w:p>
            <w:pPr/>
          </w:p>
        </w:tc>
        <w:tc>
          <w:tcPr>
            <w:tcW w:w="1559" w:type="dxa"/>
            <w:vMerge/>
            <w:tcBorders>
              <w:left w:val="single" w:sz="6" w:space="0" w:color="000000"/>
              <w:right w:val="single" w:sz="6" w:space="0" w:color="000000"/>
            </w:tcBorders>
          </w:tcPr>
          <w:p>
            <w:pPr/>
          </w:p>
        </w:tc>
      </w:tr>
      <w:tr>
        <w:trPr>
          <w:trHeight w:val="158" w:hRule="exact"/>
        </w:trPr>
        <w:tc>
          <w:tcPr>
            <w:tcW w:w="6380" w:type="dxa"/>
            <w:vMerge w:val="restart"/>
            <w:tcBorders>
              <w:top w:val="nil" w:sz="6" w:space="0" w:color="auto"/>
              <w:left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或损失，处置未划分为持有待售的固定资产、在建工程、生产性生物资产及无形</w:t>
            </w:r>
          </w:p>
        </w:tc>
        <w:tc>
          <w:tcPr>
            <w:tcW w:w="2126" w:type="dxa"/>
            <w:vMerge/>
            <w:tcBorders>
              <w:left w:val="single" w:sz="6" w:space="0" w:color="000000"/>
              <w:bottom w:val="single" w:sz="6" w:space="0" w:color="000000"/>
              <w:right w:val="single" w:sz="6" w:space="0" w:color="000000"/>
            </w:tcBorders>
          </w:tcPr>
          <w:p>
            <w:pPr/>
          </w:p>
        </w:tc>
        <w:tc>
          <w:tcPr>
            <w:tcW w:w="1559" w:type="dxa"/>
            <w:vMerge/>
            <w:tcBorders>
              <w:left w:val="single" w:sz="6" w:space="0" w:color="000000"/>
              <w:bottom w:val="single" w:sz="6" w:space="0" w:color="000000"/>
              <w:right w:val="single" w:sz="6" w:space="0" w:color="000000"/>
            </w:tcBorders>
          </w:tcPr>
          <w:p>
            <w:pPr/>
          </w:p>
        </w:tc>
      </w:tr>
      <w:tr>
        <w:trPr>
          <w:trHeight w:val="154" w:hRule="exact"/>
        </w:trPr>
        <w:tc>
          <w:tcPr>
            <w:tcW w:w="6380" w:type="dxa"/>
            <w:vMerge/>
            <w:tcBorders>
              <w:left w:val="single" w:sz="6" w:space="0" w:color="000000"/>
              <w:bottom w:val="nil" w:sz="6" w:space="0" w:color="auto"/>
              <w:right w:val="single" w:sz="6" w:space="0" w:color="000000"/>
            </w:tcBorders>
          </w:tcPr>
          <w:p>
            <w:pPr/>
          </w:p>
        </w:tc>
        <w:tc>
          <w:tcPr>
            <w:tcW w:w="2126" w:type="dxa"/>
            <w:vMerge w:val="restart"/>
            <w:tcBorders>
              <w:top w:val="single" w:sz="6" w:space="0" w:color="000000"/>
              <w:left w:val="single" w:sz="6" w:space="0" w:color="000000"/>
              <w:right w:val="single" w:sz="6" w:space="0" w:color="000000"/>
            </w:tcBorders>
          </w:tcPr>
          <w:p>
            <w:pPr>
              <w:pStyle w:val="TableParagraph"/>
              <w:spacing w:line="240" w:lineRule="auto" w:before="12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、营业外支出</w:t>
            </w:r>
          </w:p>
        </w:tc>
        <w:tc>
          <w:tcPr>
            <w:tcW w:w="1559"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70" w:right="0"/>
              <w:jc w:val="left"/>
              <w:rPr>
                <w:rFonts w:ascii="Times New Roman" w:hAnsi="Times New Roman" w:cs="Times New Roman" w:eastAsia="Times New Roman" w:hint="default"/>
                <w:sz w:val="18"/>
                <w:szCs w:val="18"/>
              </w:rPr>
            </w:pPr>
            <w:r>
              <w:rPr>
                <w:rFonts w:ascii="Times New Roman"/>
                <w:sz w:val="18"/>
              </w:rPr>
              <w:t>-101,944.42</w:t>
            </w:r>
          </w:p>
        </w:tc>
      </w:tr>
      <w:tr>
        <w:trPr>
          <w:trHeight w:val="312" w:hRule="exact"/>
        </w:trPr>
        <w:tc>
          <w:tcPr>
            <w:tcW w:w="63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资产而产生的处置利得或损失，以及债务重组中因处置非流动资产产生的利得或</w:t>
            </w:r>
          </w:p>
        </w:tc>
        <w:tc>
          <w:tcPr>
            <w:tcW w:w="2126" w:type="dxa"/>
            <w:vMerge/>
            <w:tcBorders>
              <w:left w:val="single" w:sz="6" w:space="0" w:color="000000"/>
              <w:right w:val="single" w:sz="6" w:space="0" w:color="000000"/>
            </w:tcBorders>
          </w:tcPr>
          <w:p>
            <w:pPr/>
          </w:p>
        </w:tc>
        <w:tc>
          <w:tcPr>
            <w:tcW w:w="1559" w:type="dxa"/>
            <w:vMerge/>
            <w:tcBorders>
              <w:left w:val="single" w:sz="6" w:space="0" w:color="000000"/>
              <w:right w:val="single" w:sz="6" w:space="0" w:color="000000"/>
            </w:tcBorders>
          </w:tcPr>
          <w:p>
            <w:pPr/>
          </w:p>
        </w:tc>
      </w:tr>
      <w:tr>
        <w:trPr>
          <w:trHeight w:val="94" w:hRule="exact"/>
        </w:trPr>
        <w:tc>
          <w:tcPr>
            <w:tcW w:w="6380" w:type="dxa"/>
            <w:vMerge w:val="restart"/>
            <w:tcBorders>
              <w:top w:val="nil" w:sz="6" w:space="0" w:color="auto"/>
              <w:left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损失和非货币性资产交换产生的利得或损失。</w:t>
            </w:r>
          </w:p>
        </w:tc>
        <w:tc>
          <w:tcPr>
            <w:tcW w:w="2126" w:type="dxa"/>
            <w:vMerge/>
            <w:tcBorders>
              <w:left w:val="single" w:sz="6" w:space="0" w:color="000000"/>
              <w:bottom w:val="single" w:sz="6" w:space="0" w:color="000000"/>
              <w:right w:val="single" w:sz="6" w:space="0" w:color="000000"/>
            </w:tcBorders>
          </w:tcPr>
          <w:p>
            <w:pPr/>
          </w:p>
        </w:tc>
        <w:tc>
          <w:tcPr>
            <w:tcW w:w="1559" w:type="dxa"/>
            <w:vMerge/>
            <w:tcBorders>
              <w:left w:val="single" w:sz="6" w:space="0" w:color="000000"/>
              <w:bottom w:val="single" w:sz="6" w:space="0" w:color="000000"/>
              <w:right w:val="single" w:sz="6" w:space="0" w:color="000000"/>
            </w:tcBorders>
          </w:tcPr>
          <w:p>
            <w:pPr/>
          </w:p>
        </w:tc>
      </w:tr>
      <w:tr>
        <w:trPr>
          <w:trHeight w:val="218" w:hRule="exact"/>
        </w:trPr>
        <w:tc>
          <w:tcPr>
            <w:tcW w:w="6380" w:type="dxa"/>
            <w:vMerge/>
            <w:tcBorders>
              <w:left w:val="single" w:sz="6" w:space="0" w:color="000000"/>
              <w:bottom w:val="nil" w:sz="6" w:space="0" w:color="auto"/>
              <w:right w:val="single" w:sz="6" w:space="0" w:color="000000"/>
            </w:tcBorders>
          </w:tcPr>
          <w:p>
            <w:pPr/>
          </w:p>
        </w:tc>
        <w:tc>
          <w:tcPr>
            <w:tcW w:w="2126" w:type="dxa"/>
            <w:vMerge w:val="restart"/>
            <w:tcBorders>
              <w:top w:val="single" w:sz="6" w:space="0" w:color="000000"/>
              <w:left w:val="single" w:sz="6" w:space="0" w:color="000000"/>
              <w:right w:val="single" w:sz="6" w:space="0" w:color="000000"/>
            </w:tcBorders>
          </w:tcPr>
          <w:p>
            <w:pPr>
              <w:pStyle w:val="TableParagraph"/>
              <w:spacing w:line="240" w:lineRule="auto" w:before="13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c>
          <w:tcPr>
            <w:tcW w:w="1559" w:type="dxa"/>
            <w:vMerge w:val="restart"/>
            <w:tcBorders>
              <w:top w:val="single" w:sz="6" w:space="0" w:color="000000"/>
              <w:left w:val="single" w:sz="6" w:space="0" w:color="000000"/>
              <w:right w:val="single" w:sz="6" w:space="0" w:color="000000"/>
            </w:tcBorders>
          </w:tcPr>
          <w:p>
            <w:pPr/>
          </w:p>
        </w:tc>
      </w:tr>
      <w:tr>
        <w:trPr>
          <w:trHeight w:val="358" w:hRule="exact"/>
        </w:trPr>
        <w:tc>
          <w:tcPr>
            <w:tcW w:w="63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相应的删除“营业外收入”和“营业外支出”项下的“其中：非流动资产处置利</w:t>
            </w:r>
          </w:p>
        </w:tc>
        <w:tc>
          <w:tcPr>
            <w:tcW w:w="2126" w:type="dxa"/>
            <w:vMerge/>
            <w:tcBorders>
              <w:left w:val="single" w:sz="6" w:space="0" w:color="000000"/>
              <w:bottom w:val="single" w:sz="6" w:space="0" w:color="000000"/>
              <w:right w:val="single" w:sz="6" w:space="0" w:color="000000"/>
            </w:tcBorders>
          </w:tcPr>
          <w:p>
            <w:pPr/>
          </w:p>
        </w:tc>
        <w:tc>
          <w:tcPr>
            <w:tcW w:w="1559" w:type="dxa"/>
            <w:vMerge/>
            <w:tcBorders>
              <w:left w:val="single" w:sz="6" w:space="0" w:color="000000"/>
              <w:bottom w:val="single" w:sz="6" w:space="0" w:color="000000"/>
              <w:right w:val="single" w:sz="6" w:space="0" w:color="000000"/>
            </w:tcBorders>
          </w:tcPr>
          <w:p>
            <w:pPr/>
          </w:p>
        </w:tc>
      </w:tr>
      <w:tr>
        <w:trPr>
          <w:trHeight w:val="266" w:hRule="exact"/>
        </w:trPr>
        <w:tc>
          <w:tcPr>
            <w:tcW w:w="6380" w:type="dxa"/>
            <w:tcBorders>
              <w:top w:val="nil" w:sz="6" w:space="0" w:color="auto"/>
              <w:left w:val="single" w:sz="6" w:space="0" w:color="000000"/>
              <w:bottom w:val="nil" w:sz="6" w:space="0" w:color="auto"/>
              <w:right w:val="single" w:sz="6" w:space="0" w:color="000000"/>
            </w:tcBorders>
          </w:tcPr>
          <w:p>
            <w:pPr>
              <w:pStyle w:val="TableParagraph"/>
              <w:spacing w:line="200" w:lineRule="exact"/>
              <w:ind w:left="3" w:right="0"/>
              <w:jc w:val="left"/>
              <w:rPr>
                <w:rFonts w:ascii="宋体" w:hAnsi="宋体" w:cs="宋体" w:eastAsia="宋体" w:hint="default"/>
                <w:sz w:val="18"/>
                <w:szCs w:val="18"/>
              </w:rPr>
            </w:pPr>
            <w:r>
              <w:rPr>
                <w:rFonts w:ascii="宋体" w:hAnsi="宋体" w:cs="宋体" w:eastAsia="宋体" w:hint="default"/>
                <w:sz w:val="18"/>
                <w:szCs w:val="18"/>
              </w:rPr>
              <w:t>得”和“其中：非流动资产处置损失”项目，修订后的营业外收支反映企业发生</w:t>
            </w:r>
          </w:p>
        </w:tc>
        <w:tc>
          <w:tcPr>
            <w:tcW w:w="2126"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 资产处置收益</w:t>
            </w:r>
          </w:p>
        </w:tc>
        <w:tc>
          <w:tcPr>
            <w:tcW w:w="1559"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670" w:right="0"/>
              <w:jc w:val="left"/>
              <w:rPr>
                <w:rFonts w:ascii="Times New Roman" w:hAnsi="Times New Roman" w:cs="Times New Roman" w:eastAsia="Times New Roman" w:hint="default"/>
                <w:sz w:val="18"/>
                <w:szCs w:val="18"/>
              </w:rPr>
            </w:pPr>
            <w:r>
              <w:rPr>
                <w:rFonts w:ascii="Times New Roman"/>
                <w:sz w:val="18"/>
              </w:rPr>
              <w:t>-127,534.48</w:t>
            </w:r>
          </w:p>
        </w:tc>
      </w:tr>
      <w:tr>
        <w:trPr>
          <w:trHeight w:val="312" w:hRule="exact"/>
        </w:trPr>
        <w:tc>
          <w:tcPr>
            <w:tcW w:w="63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的营业利润以外的收益，主要包括债务重组利得或损失、与企业日常活动无关的</w:t>
            </w:r>
          </w:p>
        </w:tc>
        <w:tc>
          <w:tcPr>
            <w:tcW w:w="2126" w:type="dxa"/>
            <w:vMerge/>
            <w:tcBorders>
              <w:left w:val="single" w:sz="6" w:space="0" w:color="000000"/>
              <w:right w:val="single" w:sz="6" w:space="0" w:color="000000"/>
            </w:tcBorders>
          </w:tcPr>
          <w:p>
            <w:pPr/>
          </w:p>
        </w:tc>
        <w:tc>
          <w:tcPr>
            <w:tcW w:w="1559" w:type="dxa"/>
            <w:vMerge/>
            <w:tcBorders>
              <w:left w:val="single" w:sz="6" w:space="0" w:color="000000"/>
              <w:right w:val="single" w:sz="6" w:space="0" w:color="000000"/>
            </w:tcBorders>
          </w:tcPr>
          <w:p>
            <w:pPr/>
          </w:p>
        </w:tc>
      </w:tr>
      <w:tr>
        <w:trPr>
          <w:trHeight w:val="133" w:hRule="exact"/>
        </w:trPr>
        <w:tc>
          <w:tcPr>
            <w:tcW w:w="6380" w:type="dxa"/>
            <w:vMerge w:val="restart"/>
            <w:tcBorders>
              <w:top w:val="nil" w:sz="6" w:space="0" w:color="auto"/>
              <w:left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政府补助、公益性捐赠支出、非常损失、盘盈利得或损失、捐赠利得、非流动资</w:t>
            </w:r>
          </w:p>
        </w:tc>
        <w:tc>
          <w:tcPr>
            <w:tcW w:w="2126" w:type="dxa"/>
            <w:vMerge/>
            <w:tcBorders>
              <w:left w:val="single" w:sz="6" w:space="0" w:color="000000"/>
              <w:bottom w:val="single" w:sz="6" w:space="0" w:color="000000"/>
              <w:right w:val="single" w:sz="6" w:space="0" w:color="000000"/>
            </w:tcBorders>
          </w:tcPr>
          <w:p>
            <w:pPr/>
          </w:p>
        </w:tc>
        <w:tc>
          <w:tcPr>
            <w:tcW w:w="1559" w:type="dxa"/>
            <w:vMerge/>
            <w:tcBorders>
              <w:left w:val="single" w:sz="6" w:space="0" w:color="000000"/>
              <w:bottom w:val="single" w:sz="6" w:space="0" w:color="000000"/>
              <w:right w:val="single" w:sz="6" w:space="0" w:color="000000"/>
            </w:tcBorders>
          </w:tcPr>
          <w:p>
            <w:pPr/>
          </w:p>
        </w:tc>
      </w:tr>
      <w:tr>
        <w:trPr>
          <w:trHeight w:val="179" w:hRule="exact"/>
        </w:trPr>
        <w:tc>
          <w:tcPr>
            <w:tcW w:w="6380" w:type="dxa"/>
            <w:vMerge/>
            <w:tcBorders>
              <w:left w:val="single" w:sz="6" w:space="0" w:color="000000"/>
              <w:bottom w:val="nil" w:sz="6" w:space="0" w:color="auto"/>
              <w:right w:val="single" w:sz="6" w:space="0" w:color="000000"/>
            </w:tcBorders>
          </w:tcPr>
          <w:p>
            <w:pPr/>
          </w:p>
        </w:tc>
        <w:tc>
          <w:tcPr>
            <w:tcW w:w="2126"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 营业外支出</w:t>
            </w:r>
          </w:p>
        </w:tc>
        <w:tc>
          <w:tcPr>
            <w:tcW w:w="1559"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670" w:right="0"/>
              <w:jc w:val="left"/>
              <w:rPr>
                <w:rFonts w:ascii="Times New Roman" w:hAnsi="Times New Roman" w:cs="Times New Roman" w:eastAsia="Times New Roman" w:hint="default"/>
                <w:sz w:val="18"/>
                <w:szCs w:val="18"/>
              </w:rPr>
            </w:pPr>
            <w:r>
              <w:rPr>
                <w:rFonts w:ascii="Times New Roman"/>
                <w:sz w:val="18"/>
              </w:rPr>
              <w:t>-127,534.48</w:t>
            </w:r>
          </w:p>
        </w:tc>
      </w:tr>
      <w:tr>
        <w:trPr>
          <w:trHeight w:val="312" w:hRule="exact"/>
        </w:trPr>
        <w:tc>
          <w:tcPr>
            <w:tcW w:w="638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产毁损报废损失等。</w:t>
            </w:r>
          </w:p>
        </w:tc>
        <w:tc>
          <w:tcPr>
            <w:tcW w:w="2126" w:type="dxa"/>
            <w:vMerge/>
            <w:tcBorders>
              <w:left w:val="single" w:sz="6" w:space="0" w:color="000000"/>
              <w:right w:val="single" w:sz="6" w:space="0" w:color="000000"/>
            </w:tcBorders>
          </w:tcPr>
          <w:p>
            <w:pPr/>
          </w:p>
        </w:tc>
        <w:tc>
          <w:tcPr>
            <w:tcW w:w="1559" w:type="dxa"/>
            <w:vMerge/>
            <w:tcBorders>
              <w:left w:val="single" w:sz="6" w:space="0" w:color="000000"/>
              <w:right w:val="single" w:sz="6" w:space="0" w:color="000000"/>
            </w:tcBorders>
          </w:tcPr>
          <w:p>
            <w:pPr/>
          </w:p>
        </w:tc>
      </w:tr>
      <w:tr>
        <w:trPr>
          <w:trHeight w:val="330" w:hRule="exact"/>
        </w:trPr>
        <w:tc>
          <w:tcPr>
            <w:tcW w:w="638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对比较报表的列报进行了相应调整。</w:t>
            </w:r>
          </w:p>
        </w:tc>
        <w:tc>
          <w:tcPr>
            <w:tcW w:w="2126" w:type="dxa"/>
            <w:vMerge/>
            <w:tcBorders>
              <w:left w:val="single" w:sz="6" w:space="0" w:color="000000"/>
              <w:bottom w:val="single" w:sz="6" w:space="0" w:color="000000"/>
              <w:right w:val="single" w:sz="6" w:space="0" w:color="000000"/>
            </w:tcBorders>
          </w:tcPr>
          <w:p>
            <w:pPr/>
          </w:p>
        </w:tc>
        <w:tc>
          <w:tcPr>
            <w:tcW w:w="1559" w:type="dxa"/>
            <w:vMerge/>
            <w:tcBorders>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740" w:right="860"/>
        </w:sectPr>
      </w:pPr>
    </w:p>
    <w:p>
      <w:pPr>
        <w:spacing w:line="240" w:lineRule="auto" w:before="9"/>
        <w:rPr>
          <w:rFonts w:ascii="宋体" w:hAnsi="宋体" w:cs="宋体" w:eastAsia="宋体" w:hint="default"/>
          <w:sz w:val="19"/>
          <w:szCs w:val="19"/>
        </w:rPr>
      </w:pPr>
    </w:p>
    <w:p>
      <w:pPr>
        <w:pStyle w:val="Heading2"/>
        <w:spacing w:line="240" w:lineRule="auto" w:before="26"/>
        <w:ind w:right="1258"/>
        <w:jc w:val="left"/>
        <w:rPr>
          <w:b w:val="0"/>
          <w:bCs w:val="0"/>
        </w:rPr>
      </w:pP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56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right="1258"/>
        <w:jc w:val="left"/>
        <w:rPr>
          <w:b w:val="0"/>
          <w:bCs w:val="0"/>
        </w:rPr>
      </w:pP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258"/>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月，本公司投资设立福建容大物联网科技有限公司，持股比例为</w:t>
      </w:r>
      <w:r>
        <w:rPr>
          <w:spacing w:val="-46"/>
        </w:rPr>
        <w:t> </w:t>
      </w:r>
      <w:r>
        <w:rPr>
          <w:rFonts w:ascii="Times New Roman" w:hAnsi="Times New Roman" w:cs="Times New Roman" w:eastAsia="Times New Roman" w:hint="default"/>
        </w:rPr>
        <w:t>51.00%</w:t>
      </w:r>
      <w:r>
        <w:rPr/>
        <w:t>。</w:t>
      </w:r>
    </w:p>
    <w:p>
      <w:pPr>
        <w:spacing w:line="240" w:lineRule="auto" w:before="12"/>
        <w:rPr>
          <w:rFonts w:ascii="宋体" w:hAnsi="宋体" w:cs="宋体" w:eastAsia="宋体" w:hint="default"/>
          <w:sz w:val="23"/>
          <w:szCs w:val="23"/>
        </w:rPr>
      </w:pPr>
    </w:p>
    <w:p>
      <w:pPr>
        <w:pStyle w:val="Heading2"/>
        <w:spacing w:line="240" w:lineRule="auto"/>
        <w:ind w:right="1258"/>
        <w:jc w:val="left"/>
        <w:rPr>
          <w:b w:val="0"/>
          <w:bCs w:val="0"/>
        </w:rPr>
      </w:pPr>
      <w:r>
        <w:rPr/>
        <w:t>九、聘任、解聘会计师事务所情况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58"/>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63"/>
        <w:gridCol w:w="4805"/>
      </w:tblGrid>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8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39"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8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84.8</w:t>
            </w: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8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8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39" w:right="0"/>
              <w:jc w:val="left"/>
              <w:rPr>
                <w:rFonts w:ascii="宋体" w:hAnsi="宋体" w:cs="宋体" w:eastAsia="宋体" w:hint="default"/>
                <w:sz w:val="18"/>
                <w:szCs w:val="18"/>
              </w:rPr>
            </w:pPr>
            <w:r>
              <w:rPr>
                <w:rFonts w:ascii="宋体" w:hAnsi="宋体" w:cs="宋体" w:eastAsia="宋体" w:hint="default"/>
                <w:sz w:val="18"/>
                <w:szCs w:val="18"/>
              </w:rPr>
              <w:t>林庆瑜、杨莹</w:t>
            </w:r>
          </w:p>
        </w:tc>
      </w:tr>
      <w:tr>
        <w:trPr>
          <w:trHeight w:val="403" w:hRule="exact"/>
        </w:trPr>
        <w:tc>
          <w:tcPr>
            <w:tcW w:w="4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8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bl>
    <w:p>
      <w:pPr>
        <w:pStyle w:val="BodyText"/>
        <w:spacing w:line="240" w:lineRule="auto" w:before="51"/>
        <w:ind w:right="1258"/>
        <w:jc w:val="left"/>
      </w:pPr>
      <w:r>
        <w:rPr/>
        <w:t>当期是否改聘会计师事务所</w:t>
      </w:r>
    </w:p>
    <w:p>
      <w:pPr>
        <w:pStyle w:val="BodyText"/>
        <w:spacing w:line="340" w:lineRule="auto" w:before="116"/>
        <w:ind w:right="527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258"/>
        <w:jc w:val="left"/>
        <w:rPr>
          <w:b w:val="0"/>
          <w:bCs w:val="0"/>
        </w:rPr>
      </w:pP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258"/>
        <w:jc w:val="left"/>
        <w:rPr>
          <w:b w:val="0"/>
          <w:bCs w:val="0"/>
        </w:rPr>
      </w:pP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1258"/>
        <w:jc w:val="left"/>
        <w:rPr>
          <w:b w:val="0"/>
          <w:bCs w:val="0"/>
        </w:rPr>
      </w:pPr>
      <w:r>
        <w:rPr/>
        <w:t>十二、重大诉讼、仲裁事项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7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right="1258"/>
        <w:jc w:val="left"/>
        <w:rPr>
          <w:b w:val="0"/>
          <w:bCs w:val="0"/>
        </w:rPr>
      </w:pP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8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after="0" w:line="338" w:lineRule="auto"/>
        <w:jc w:val="left"/>
        <w:sectPr>
          <w:pgSz w:w="11910" w:h="16840"/>
          <w:pgMar w:header="877" w:footer="982" w:top="1100" w:bottom="1180" w:left="980" w:right="980"/>
        </w:sectPr>
      </w:pPr>
    </w:p>
    <w:p>
      <w:pPr>
        <w:spacing w:line="240" w:lineRule="auto" w:before="8"/>
        <w:rPr>
          <w:rFonts w:ascii="宋体" w:hAnsi="宋体" w:cs="宋体" w:eastAsia="宋体" w:hint="default"/>
          <w:sz w:val="19"/>
          <w:szCs w:val="19"/>
        </w:rPr>
      </w:pPr>
    </w:p>
    <w:p>
      <w:pPr>
        <w:pStyle w:val="Heading2"/>
        <w:spacing w:line="240" w:lineRule="auto" w:before="26"/>
        <w:ind w:right="320"/>
        <w:jc w:val="left"/>
        <w:rPr>
          <w:b w:val="0"/>
          <w:bCs w:val="0"/>
        </w:rPr>
      </w:pP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3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320"/>
        <w:jc w:val="left"/>
        <w:rPr>
          <w:b w:val="0"/>
          <w:bCs w:val="0"/>
        </w:rPr>
      </w:pP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left="514" w:right="32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报告期内，公司共启动并完成了榕基软件三期员工持股计划的购买，截至本报告披露日，三期员工持股计划已全部完成</w:t>
      </w:r>
    </w:p>
    <w:p>
      <w:pPr>
        <w:pStyle w:val="BodyText"/>
        <w:spacing w:line="222" w:lineRule="exact"/>
        <w:ind w:right="320"/>
        <w:jc w:val="left"/>
      </w:pPr>
      <w:r>
        <w:rPr/>
        <w:t>购买，具体情况如下：</w:t>
      </w:r>
    </w:p>
    <w:p>
      <w:pPr>
        <w:pStyle w:val="BodyText"/>
        <w:spacing w:line="240" w:lineRule="auto" w:before="137"/>
        <w:ind w:left="514" w:right="320"/>
        <w:jc w:val="left"/>
        <w:rPr>
          <w:rFonts w:ascii="Times New Roman" w:hAnsi="Times New Roman" w:cs="Times New Roman" w:eastAsia="Times New Roman" w:hint="default"/>
        </w:rPr>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w:t>
      </w:r>
      <w:r>
        <w:rPr/>
        <w:t>华融榕基软件员工持股</w:t>
      </w:r>
      <w:r>
        <w:rPr>
          <w:rFonts w:ascii="Times New Roman" w:hAnsi="Times New Roman" w:cs="Times New Roman" w:eastAsia="Times New Roman" w:hint="default"/>
        </w:rPr>
        <w:t>1</w:t>
      </w:r>
      <w:r>
        <w:rPr/>
        <w:t>号定向资产管理计划</w:t>
      </w:r>
      <w:r>
        <w:rPr>
          <w:rFonts w:ascii="Times New Roman" w:hAnsi="Times New Roman" w:cs="Times New Roman" w:eastAsia="Times New Roman" w:hint="default"/>
        </w:rPr>
        <w:t>”</w:t>
      </w:r>
      <w:r>
        <w:rPr/>
        <w:t>通过二级市场购入的方式累计购买公司股票</w:t>
      </w:r>
      <w:r>
        <w:rPr>
          <w:rFonts w:ascii="Times New Roman" w:hAnsi="Times New Roman" w:cs="Times New Roman" w:eastAsia="Times New Roman" w:hint="default"/>
        </w:rPr>
        <w:t>1,867,900</w:t>
      </w:r>
    </w:p>
    <w:p>
      <w:pPr>
        <w:pStyle w:val="BodyText"/>
        <w:spacing w:line="240" w:lineRule="auto" w:before="63"/>
        <w:ind w:right="320"/>
        <w:jc w:val="left"/>
      </w:pPr>
      <w:r>
        <w:rPr/>
        <w:t>股，占公司总股本约为</w:t>
      </w:r>
      <w:r>
        <w:rPr>
          <w:rFonts w:ascii="Times New Roman" w:hAnsi="Times New Roman" w:cs="Times New Roman" w:eastAsia="Times New Roman" w:hint="default"/>
        </w:rPr>
        <w:t>0.30%</w:t>
      </w:r>
      <w:r>
        <w:rPr/>
        <w:t>，成交金额为</w:t>
      </w:r>
      <w:r>
        <w:rPr>
          <w:rFonts w:ascii="Times New Roman" w:hAnsi="Times New Roman" w:cs="Times New Roman" w:eastAsia="Times New Roman" w:hint="default"/>
        </w:rPr>
        <w:t>19,584,134.59</w:t>
      </w:r>
      <w:r>
        <w:rPr/>
        <w:t>元，成交均价约为人民币</w:t>
      </w:r>
      <w:r>
        <w:rPr>
          <w:rFonts w:ascii="Times New Roman" w:hAnsi="Times New Roman" w:cs="Times New Roman" w:eastAsia="Times New Roman" w:hint="default"/>
        </w:rPr>
        <w:t>10.4846</w:t>
      </w:r>
      <w:r>
        <w:rPr/>
        <w:t>元</w:t>
      </w:r>
      <w:r>
        <w:rPr>
          <w:rFonts w:ascii="Times New Roman" w:hAnsi="Times New Roman" w:cs="Times New Roman" w:eastAsia="Times New Roman" w:hint="default"/>
        </w:rPr>
        <w:t>/</w:t>
      </w:r>
      <w:r>
        <w:rPr/>
        <w:t>股。</w:t>
      </w:r>
    </w:p>
    <w:p>
      <w:pPr>
        <w:pStyle w:val="BodyText"/>
        <w:spacing w:line="300" w:lineRule="auto" w:before="125"/>
        <w:ind w:right="320"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日，华融榕基软件员工持股</w:t>
      </w:r>
      <w:r>
        <w:rPr>
          <w:rFonts w:ascii="Times New Roman" w:hAnsi="Times New Roman" w:cs="Times New Roman" w:eastAsia="Times New Roman" w:hint="default"/>
        </w:rPr>
        <w:t>2</w:t>
      </w:r>
      <w:r>
        <w:rPr/>
        <w:t>号定向资产管理计划（第二期）已通过二级市场购入的方式累计购买公司股 票</w:t>
      </w:r>
      <w:r>
        <w:rPr>
          <w:rFonts w:ascii="Times New Roman" w:hAnsi="Times New Roman" w:cs="Times New Roman" w:eastAsia="Times New Roman" w:hint="default"/>
        </w:rPr>
        <w:t>2,629,101</w:t>
      </w:r>
      <w:r>
        <w:rPr/>
        <w:t>股，占公司总股本约为</w:t>
      </w:r>
      <w:r>
        <w:rPr>
          <w:rFonts w:ascii="Times New Roman" w:hAnsi="Times New Roman" w:cs="Times New Roman" w:eastAsia="Times New Roman" w:hint="default"/>
        </w:rPr>
        <w:t>0.42%</w:t>
      </w:r>
      <w:r>
        <w:rPr/>
        <w:t>，成交金额为</w:t>
      </w:r>
      <w:r>
        <w:rPr>
          <w:rFonts w:ascii="Times New Roman" w:hAnsi="Times New Roman" w:cs="Times New Roman" w:eastAsia="Times New Roman" w:hint="default"/>
        </w:rPr>
        <w:t>24,419,002.20</w:t>
      </w:r>
      <w:r>
        <w:rPr/>
        <w:t>元，成交均价约为人民币</w:t>
      </w:r>
      <w:r>
        <w:rPr>
          <w:rFonts w:ascii="Times New Roman" w:hAnsi="Times New Roman" w:cs="Times New Roman" w:eastAsia="Times New Roman" w:hint="default"/>
        </w:rPr>
        <w:t>9.29</w:t>
      </w:r>
      <w:r>
        <w:rPr/>
        <w:t>元</w:t>
      </w:r>
      <w:r>
        <w:rPr>
          <w:rFonts w:ascii="Times New Roman" w:hAnsi="Times New Roman" w:cs="Times New Roman" w:eastAsia="Times New Roman" w:hint="default"/>
        </w:rPr>
        <w:t>/</w:t>
      </w:r>
      <w:r>
        <w:rPr/>
        <w:t>股。</w:t>
      </w:r>
    </w:p>
    <w:p>
      <w:pPr>
        <w:pStyle w:val="BodyText"/>
        <w:spacing w:line="240" w:lineRule="auto" w:before="75"/>
        <w:ind w:left="514"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日，华融榕基软件员工持股</w:t>
      </w:r>
      <w:r>
        <w:rPr>
          <w:rFonts w:ascii="Times New Roman" w:hAnsi="Times New Roman" w:cs="Times New Roman" w:eastAsia="Times New Roman" w:hint="default"/>
        </w:rPr>
        <w:t>3</w:t>
      </w:r>
      <w:r>
        <w:rPr/>
        <w:t>号定向资产管理计划（第三期）已通过二级市场购入的方式累计购买公司股票</w:t>
      </w:r>
    </w:p>
    <w:p>
      <w:pPr>
        <w:pStyle w:val="BodyText"/>
        <w:spacing w:line="360" w:lineRule="auto" w:before="63"/>
        <w:ind w:left="514" w:right="320" w:hanging="360"/>
        <w:jc w:val="left"/>
      </w:pPr>
      <w:r>
        <w:rPr>
          <w:rFonts w:ascii="Times New Roman" w:hAnsi="Times New Roman" w:cs="Times New Roman" w:eastAsia="Times New Roman" w:hint="default"/>
        </w:rPr>
        <w:t>7,856,200</w:t>
      </w:r>
      <w:r>
        <w:rPr/>
        <w:t>股，占公司总股本约为</w:t>
      </w:r>
      <w:r>
        <w:rPr>
          <w:rFonts w:ascii="Times New Roman" w:hAnsi="Times New Roman" w:cs="Times New Roman" w:eastAsia="Times New Roman" w:hint="default"/>
        </w:rPr>
        <w:t>1.26%</w:t>
      </w:r>
      <w:r>
        <w:rPr/>
        <w:t>，成交金额为</w:t>
      </w:r>
      <w:r>
        <w:rPr>
          <w:rFonts w:ascii="Times New Roman" w:hAnsi="Times New Roman" w:cs="Times New Roman" w:eastAsia="Times New Roman" w:hint="default"/>
        </w:rPr>
        <w:t>58,225,118.51</w:t>
      </w:r>
      <w:r>
        <w:rPr/>
        <w:t>元，成交均价约为人民币</w:t>
      </w:r>
      <w:r>
        <w:rPr>
          <w:rFonts w:ascii="Times New Roman" w:hAnsi="Times New Roman" w:cs="Times New Roman" w:eastAsia="Times New Roman" w:hint="default"/>
        </w:rPr>
        <w:t>7.41</w:t>
      </w:r>
      <w:r>
        <w:rPr/>
        <w:t>元</w:t>
      </w:r>
      <w:r>
        <w:rPr>
          <w:rFonts w:ascii="Times New Roman" w:hAnsi="Times New Roman" w:cs="Times New Roman" w:eastAsia="Times New Roman" w:hint="default"/>
        </w:rPr>
        <w:t>/</w:t>
      </w:r>
      <w:r>
        <w:rPr/>
        <w:t>股。</w:t>
      </w:r>
      <w:r>
        <w:rPr>
          <w:spacing w:val="-2"/>
        </w:rPr>
        <w:t> </w:t>
      </w:r>
      <w:r>
        <w:rPr/>
        <w:t>榕基软件员工持股</w:t>
      </w:r>
      <w:r>
        <w:rPr>
          <w:rFonts w:ascii="Times New Roman" w:hAnsi="Times New Roman" w:cs="Times New Roman" w:eastAsia="Times New Roman" w:hint="default"/>
        </w:rPr>
        <w:t>3</w:t>
      </w:r>
      <w:r>
        <w:rPr/>
        <w:t>期共计购买</w:t>
      </w:r>
      <w:r>
        <w:rPr>
          <w:rFonts w:ascii="Times New Roman" w:hAnsi="Times New Roman" w:cs="Times New Roman" w:eastAsia="Times New Roman" w:hint="default"/>
        </w:rPr>
        <w:t>12,353,201</w:t>
      </w:r>
      <w:r>
        <w:rPr/>
        <w:t>股，占公司总股本约为</w:t>
      </w:r>
      <w:r>
        <w:rPr>
          <w:rFonts w:ascii="Times New Roman" w:hAnsi="Times New Roman" w:cs="Times New Roman" w:eastAsia="Times New Roman" w:hint="default"/>
        </w:rPr>
        <w:t>1.99%</w:t>
      </w:r>
      <w:r>
        <w:rPr/>
        <w:t>。</w:t>
      </w:r>
      <w:hyperlink r:id="rId16">
        <w:r>
          <w:rPr/>
          <w:t> </w:t>
        </w:r>
        <w:r>
          <w:rPr>
            <w:spacing w:val="-2"/>
          </w:rPr>
          <w:t>具体的审批程序及其相关实施情况已刊登在中国证监会指定信息披露媒体巨潮资讯网http://www.cninfo.com.cn</w:t>
        </w:r>
      </w:hyperlink>
      <w:r>
        <w:rPr>
          <w:spacing w:val="-2"/>
        </w:rPr>
        <w:t>，公告</w:t>
      </w:r>
    </w:p>
    <w:p>
      <w:pPr>
        <w:pStyle w:val="BodyText"/>
        <w:spacing w:line="222" w:lineRule="exact"/>
        <w:ind w:right="320"/>
        <w:jc w:val="left"/>
      </w:pPr>
      <w:r>
        <w:rPr/>
        <w:t>情况如下：</w:t>
      </w:r>
    </w:p>
    <w:p>
      <w:pPr>
        <w:spacing w:line="240" w:lineRule="auto" w:before="11"/>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2660"/>
        <w:gridCol w:w="1700"/>
        <w:gridCol w:w="5494"/>
      </w:tblGrid>
      <w:tr>
        <w:trPr>
          <w:trHeight w:val="347" w:hRule="exact"/>
        </w:trPr>
        <w:tc>
          <w:tcPr>
            <w:tcW w:w="266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公告名称</w:t>
            </w:r>
          </w:p>
        </w:tc>
        <w:tc>
          <w:tcPr>
            <w:tcW w:w="170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left="482" w:right="0"/>
              <w:jc w:val="left"/>
              <w:rPr>
                <w:rFonts w:ascii="宋体" w:hAnsi="宋体" w:cs="宋体" w:eastAsia="宋体" w:hint="default"/>
                <w:sz w:val="18"/>
                <w:szCs w:val="18"/>
              </w:rPr>
            </w:pPr>
            <w:r>
              <w:rPr>
                <w:rFonts w:ascii="宋体" w:hAnsi="宋体" w:cs="宋体" w:eastAsia="宋体" w:hint="default"/>
                <w:sz w:val="18"/>
                <w:szCs w:val="18"/>
              </w:rPr>
              <w:t>公告日期</w:t>
            </w:r>
          </w:p>
        </w:tc>
        <w:tc>
          <w:tcPr>
            <w:tcW w:w="5494"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公告索引</w:t>
            </w:r>
          </w:p>
        </w:tc>
      </w:tr>
      <w:tr>
        <w:trPr>
          <w:trHeight w:val="659"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4"/>
                <w:sz w:val="18"/>
                <w:szCs w:val="18"/>
              </w:rPr>
              <w:t>榕基软件：关于公司第一期员工持</w:t>
            </w:r>
            <w:r>
              <w:rPr>
                <w:rFonts w:ascii="宋体" w:hAnsi="宋体" w:cs="宋体" w:eastAsia="宋体" w:hint="default"/>
                <w:sz w:val="18"/>
                <w:szCs w:val="18"/>
              </w:rPr>
              <w:t> 股计划的进展公告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2017-05-13</w:t>
            </w:r>
          </w:p>
        </w:tc>
        <w:tc>
          <w:tcPr>
            <w:tcW w:w="5494"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1"/>
              <w:ind w:left="3" w:right="8"/>
              <w:jc w:val="left"/>
              <w:rPr>
                <w:rFonts w:ascii="Times New Roman" w:hAnsi="Times New Roman" w:cs="Times New Roman" w:eastAsia="Times New Roman" w:hint="default"/>
                <w:sz w:val="18"/>
                <w:szCs w:val="18"/>
              </w:rPr>
            </w:pPr>
            <w:hyperlink r:id="rId24">
              <w:r>
                <w:rPr>
                  <w:rFonts w:ascii="Times New Roman"/>
                  <w:sz w:val="18"/>
                </w:rPr>
                <w:t>http://www.cninfo.com.cn/cninfo-new/disclosure/szse_sme/bulletin_detail/t</w:t>
              </w:r>
            </w:hyperlink>
            <w:r>
              <w:rPr>
                <w:rFonts w:ascii="Times New Roman"/>
                <w:sz w:val="18"/>
              </w:rPr>
              <w:t> rue/1203514217?announceTime=2017-05-13</w:t>
            </w:r>
          </w:p>
        </w:tc>
      </w:tr>
      <w:tr>
        <w:trPr>
          <w:trHeight w:val="659"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4"/>
                <w:sz w:val="18"/>
                <w:szCs w:val="18"/>
              </w:rPr>
              <w:t>榕基软件：关于公司第二期员工持</w:t>
            </w:r>
            <w:r>
              <w:rPr>
                <w:rFonts w:ascii="宋体" w:hAnsi="宋体" w:cs="宋体" w:eastAsia="宋体" w:hint="default"/>
                <w:sz w:val="18"/>
                <w:szCs w:val="18"/>
              </w:rPr>
              <w:t> 股计划完成股票购买的公告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2017-11-22</w:t>
            </w:r>
          </w:p>
        </w:tc>
        <w:tc>
          <w:tcPr>
            <w:tcW w:w="5494"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1"/>
              <w:ind w:left="3" w:right="8"/>
              <w:jc w:val="left"/>
              <w:rPr>
                <w:rFonts w:ascii="Times New Roman" w:hAnsi="Times New Roman" w:cs="Times New Roman" w:eastAsia="Times New Roman" w:hint="default"/>
                <w:sz w:val="18"/>
                <w:szCs w:val="18"/>
              </w:rPr>
            </w:pPr>
            <w:hyperlink r:id="rId24">
              <w:r>
                <w:rPr>
                  <w:rFonts w:ascii="Times New Roman"/>
                  <w:sz w:val="18"/>
                </w:rPr>
                <w:t>http://www.cninfo.com.cn/cninfo-new/disclosure/szse_sme/bulletin_detail/t</w:t>
              </w:r>
            </w:hyperlink>
            <w:r>
              <w:rPr>
                <w:rFonts w:ascii="Times New Roman"/>
                <w:sz w:val="18"/>
              </w:rPr>
              <w:t> rue/1204155139?announceTime=2017-11-22</w:t>
            </w:r>
          </w:p>
        </w:tc>
      </w:tr>
      <w:tr>
        <w:trPr>
          <w:trHeight w:val="660"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4"/>
                <w:sz w:val="18"/>
                <w:szCs w:val="18"/>
              </w:rPr>
              <w:t>榕基软件：关于公司第三期员工持</w:t>
            </w:r>
            <w:r>
              <w:rPr>
                <w:rFonts w:ascii="宋体" w:hAnsi="宋体" w:cs="宋体" w:eastAsia="宋体" w:hint="default"/>
                <w:sz w:val="18"/>
                <w:szCs w:val="18"/>
              </w:rPr>
              <w:t> 股计划完成股票购买的公告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2018-02-13</w:t>
            </w:r>
          </w:p>
        </w:tc>
        <w:tc>
          <w:tcPr>
            <w:tcW w:w="5494"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1"/>
              <w:ind w:left="3" w:right="8"/>
              <w:jc w:val="left"/>
              <w:rPr>
                <w:rFonts w:ascii="Times New Roman" w:hAnsi="Times New Roman" w:cs="Times New Roman" w:eastAsia="Times New Roman" w:hint="default"/>
                <w:sz w:val="18"/>
                <w:szCs w:val="18"/>
              </w:rPr>
            </w:pPr>
            <w:hyperlink r:id="rId24">
              <w:r>
                <w:rPr>
                  <w:rFonts w:ascii="Times New Roman"/>
                  <w:sz w:val="18"/>
                </w:rPr>
                <w:t>http://www.cninfo.com.cn/cninfo-new/disclosure/szse_sme/bulletin_detail/t</w:t>
              </w:r>
            </w:hyperlink>
            <w:r>
              <w:rPr>
                <w:rFonts w:ascii="Times New Roman"/>
                <w:sz w:val="18"/>
              </w:rPr>
              <w:t> rue/1204417137?announceTime=2018-02-13</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right="320"/>
        <w:jc w:val="left"/>
        <w:rPr>
          <w:b w:val="0"/>
          <w:bCs w:val="0"/>
        </w:rPr>
      </w:pP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32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56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2"/>
        <w:rPr>
          <w:rFonts w:ascii="宋体" w:hAnsi="宋体" w:cs="宋体" w:eastAsia="宋体" w:hint="default"/>
          <w:sz w:val="21"/>
          <w:szCs w:val="21"/>
        </w:rPr>
      </w:pPr>
    </w:p>
    <w:p>
      <w:pPr>
        <w:pStyle w:val="Heading3"/>
        <w:spacing w:line="240" w:lineRule="auto"/>
        <w:ind w:right="32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6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3"/>
        <w:spacing w:line="240" w:lineRule="auto"/>
        <w:ind w:right="32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3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82" w:top="1100" w:bottom="1180" w:left="980" w:right="800"/>
        </w:sectPr>
      </w:pPr>
    </w:p>
    <w:p>
      <w:pPr>
        <w:spacing w:line="240" w:lineRule="auto" w:before="13"/>
        <w:rPr>
          <w:rFonts w:ascii="宋体" w:hAnsi="宋体" w:cs="宋体" w:eastAsia="宋体" w:hint="default"/>
          <w:sz w:val="21"/>
          <w:szCs w:val="21"/>
        </w:rPr>
      </w:pPr>
    </w:p>
    <w:p>
      <w:pPr>
        <w:pStyle w:val="BodyText"/>
        <w:spacing w:line="240" w:lineRule="auto" w:before="44"/>
        <w:ind w:left="153" w:right="1258"/>
        <w:jc w:val="left"/>
      </w:pPr>
      <w:r>
        <w:rPr/>
        <w:t>公司报告期未发生共同对外投资的关联交易。</w:t>
      </w:r>
    </w:p>
    <w:p>
      <w:pPr>
        <w:spacing w:line="240" w:lineRule="auto" w:before="10"/>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8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338" w:lineRule="auto" w:before="43"/>
        <w:ind w:right="59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公司报告期不存在非经营性关联债权债务往来。</w:t>
      </w:r>
    </w:p>
    <w:p>
      <w:pPr>
        <w:spacing w:line="240" w:lineRule="auto" w:before="1"/>
        <w:rPr>
          <w:rFonts w:ascii="宋体" w:hAnsi="宋体" w:cs="宋体" w:eastAsia="宋体" w:hint="default"/>
          <w:sz w:val="21"/>
          <w:szCs w:val="21"/>
        </w:rPr>
      </w:pPr>
    </w:p>
    <w:p>
      <w:pPr>
        <w:pStyle w:val="Heading3"/>
        <w:spacing w:line="240" w:lineRule="auto"/>
        <w:ind w:right="1258"/>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6"/>
        <w:rPr>
          <w:rFonts w:ascii="宋体" w:hAnsi="宋体" w:cs="宋体" w:eastAsia="宋体" w:hint="default"/>
          <w:sz w:val="19"/>
          <w:szCs w:val="19"/>
        </w:rPr>
      </w:pPr>
    </w:p>
    <w:p>
      <w:pPr>
        <w:pStyle w:val="Heading2"/>
        <w:spacing w:line="240" w:lineRule="auto"/>
        <w:ind w:right="1258"/>
        <w:jc w:val="left"/>
        <w:rPr>
          <w:b w:val="0"/>
          <w:bCs w:val="0"/>
        </w:rPr>
      </w:pP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258"/>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8"/>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
        <w:rPr>
          <w:rFonts w:ascii="宋体" w:hAnsi="宋体" w:cs="宋体" w:eastAsia="宋体" w:hint="default"/>
          <w:sz w:val="21"/>
          <w:szCs w:val="21"/>
        </w:rPr>
      </w:pPr>
    </w:p>
    <w:p>
      <w:pPr>
        <w:pStyle w:val="Heading3"/>
        <w:spacing w:line="240" w:lineRule="auto"/>
        <w:ind w:right="1258"/>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3"/>
        <w:spacing w:line="240" w:lineRule="auto"/>
        <w:ind w:right="1258"/>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
        <w:rPr>
          <w:rFonts w:ascii="宋体" w:hAnsi="宋体" w:cs="宋体" w:eastAsia="宋体" w:hint="default"/>
          <w:sz w:val="21"/>
          <w:szCs w:val="21"/>
        </w:rPr>
      </w:pPr>
    </w:p>
    <w:p>
      <w:pPr>
        <w:pStyle w:val="Heading3"/>
        <w:spacing w:line="240" w:lineRule="auto"/>
        <w:ind w:right="1258"/>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2"/>
        <w:rPr>
          <w:rFonts w:ascii="宋体" w:hAnsi="宋体" w:cs="宋体" w:eastAsia="宋体" w:hint="default"/>
          <w:sz w:val="21"/>
          <w:szCs w:val="21"/>
        </w:rPr>
      </w:pPr>
    </w:p>
    <w:p>
      <w:pPr>
        <w:pStyle w:val="Heading3"/>
        <w:spacing w:line="240" w:lineRule="auto"/>
        <w:ind w:right="1258"/>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8"/>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9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after="0" w:line="340" w:lineRule="auto"/>
        <w:jc w:val="left"/>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pStyle w:val="BodyText"/>
        <w:spacing w:line="240" w:lineRule="auto" w:before="44"/>
        <w:ind w:left="0" w:right="15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8"/>
        <w:gridCol w:w="1962"/>
        <w:gridCol w:w="1981"/>
        <w:gridCol w:w="1908"/>
        <w:gridCol w:w="1848"/>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8"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82,250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26,950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84,850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51,550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167,100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78,500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1258"/>
        <w:jc w:val="left"/>
      </w:pPr>
      <w:r>
        <w:rPr/>
        <w:t>单项金额重大或安全性较低、流动性较差、不保本的高风险委托理财具体情况</w:t>
      </w:r>
    </w:p>
    <w:p>
      <w:pPr>
        <w:pStyle w:val="BodyText"/>
        <w:spacing w:line="240" w:lineRule="auto" w:before="116"/>
        <w:ind w:left="0" w:right="151"/>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71"/>
        <w:gridCol w:w="590"/>
        <w:gridCol w:w="606"/>
        <w:gridCol w:w="575"/>
        <w:gridCol w:w="560"/>
        <w:gridCol w:w="562"/>
        <w:gridCol w:w="560"/>
        <w:gridCol w:w="562"/>
        <w:gridCol w:w="560"/>
        <w:gridCol w:w="562"/>
        <w:gridCol w:w="560"/>
        <w:gridCol w:w="562"/>
        <w:gridCol w:w="560"/>
        <w:gridCol w:w="550"/>
        <w:gridCol w:w="547"/>
        <w:gridCol w:w="546"/>
        <w:gridCol w:w="539"/>
      </w:tblGrid>
      <w:tr>
        <w:trPr>
          <w:trHeight w:val="2274" w:hRule="exact"/>
        </w:trPr>
        <w:tc>
          <w:tcPr>
            <w:tcW w:w="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9" w:right="101"/>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9" w:lineRule="auto" w:before="19"/>
              <w:ind w:left="99" w:right="101"/>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9" w:right="109"/>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9" w:lineRule="auto" w:before="19"/>
              <w:ind w:left="22" w:right="23" w:hanging="2"/>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2"/>
                <w:sz w:val="18"/>
                <w:szCs w:val="18"/>
              </w:rPr>
              <w:t>人）类</w:t>
            </w:r>
            <w:r>
              <w:rPr>
                <w:rFonts w:ascii="宋体" w:hAnsi="宋体" w:cs="宋体" w:eastAsia="宋体" w:hint="default"/>
                <w:sz w:val="18"/>
                <w:szCs w:val="18"/>
              </w:rPr>
              <w:t> 型</w:t>
            </w:r>
          </w:p>
        </w:tc>
        <w:tc>
          <w:tcPr>
            <w:tcW w:w="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07"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4" w:right="9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4" w:right="95"/>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4" w:right="95"/>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4"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4"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9" w:lineRule="auto" w:before="19"/>
              <w:ind w:left="184" w:right="95" w:hanging="90"/>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4"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8" w:right="89"/>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9" w:lineRule="auto" w:before="19"/>
              <w:ind w:left="88" w:right="89"/>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87" w:right="89"/>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7"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20"/>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133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民生 银行 福州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31"/>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4.48%</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384.43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vMerge w:val="restart"/>
            <w:tcBorders>
              <w:top w:val="single" w:sz="4" w:space="0" w:color="000000"/>
              <w:left w:val="single" w:sz="4" w:space="0" w:color="000000"/>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vMerge w:val="restart"/>
            <w:tcBorders>
              <w:top w:val="single" w:sz="4" w:space="0" w:color="000000"/>
              <w:left w:val="single" w:sz="4" w:space="0" w:color="000000"/>
              <w:right w:val="single" w:sz="4" w:space="0" w:color="000000"/>
            </w:tcBorders>
          </w:tcPr>
          <w:p>
            <w:pPr/>
          </w:p>
        </w:tc>
      </w:tr>
      <w:tr>
        <w:trPr>
          <w:trHeight w:val="311"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539" w:type="dxa"/>
            <w:vMerge/>
            <w:tcBorders>
              <w:left w:val="single" w:sz="4" w:space="0" w:color="000000"/>
              <w:right w:val="single" w:sz="4" w:space="0" w:color="000000"/>
            </w:tcBorders>
          </w:tcPr>
          <w:p>
            <w:pPr/>
          </w:p>
        </w:tc>
      </w:tr>
      <w:tr>
        <w:trPr>
          <w:trHeight w:val="1249"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76"/>
              <w:jc w:val="both"/>
              <w:rPr>
                <w:rFonts w:ascii="宋体" w:hAnsi="宋体" w:cs="宋体" w:eastAsia="宋体" w:hint="default"/>
                <w:sz w:val="18"/>
                <w:szCs w:val="18"/>
              </w:rPr>
            </w:pPr>
            <w:r>
              <w:rPr>
                <w:rFonts w:ascii="宋体" w:hAnsi="宋体" w:cs="宋体" w:eastAsia="宋体" w:hint="default"/>
                <w:sz w:val="18"/>
                <w:szCs w:val="18"/>
              </w:rPr>
              <w:t>银行 股份 有限 公司</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10,700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4.30%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36.85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36.86</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36.86</w:t>
            </w:r>
          </w:p>
        </w:tc>
        <w:tc>
          <w:tcPr>
            <w:tcW w:w="550"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590" w:type="dxa"/>
            <w:tcBorders>
              <w:top w:val="nil" w:sz="6" w:space="0" w:color="auto"/>
              <w:left w:val="single" w:sz="4" w:space="0" w:color="000000"/>
              <w:bottom w:val="nil" w:sz="6" w:space="0" w:color="auto"/>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539" w:type="dxa"/>
            <w:vMerge/>
            <w:tcBorders>
              <w:left w:val="single" w:sz="4" w:space="0" w:color="000000"/>
              <w:right w:val="single" w:sz="4" w:space="0" w:color="000000"/>
            </w:tcBorders>
          </w:tcPr>
          <w:p>
            <w:pPr/>
          </w:p>
        </w:tc>
      </w:tr>
      <w:tr>
        <w:trPr>
          <w:trHeight w:val="357" w:hRule="exact"/>
        </w:trPr>
        <w:tc>
          <w:tcPr>
            <w:tcW w:w="5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分行</w:t>
            </w: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vMerge/>
            <w:tcBorders>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vMerge/>
            <w:tcBorders>
              <w:left w:val="single" w:sz="4" w:space="0" w:color="000000"/>
              <w:bottom w:val="single" w:sz="4" w:space="0" w:color="000000"/>
              <w:right w:val="single" w:sz="4" w:space="0" w:color="000000"/>
            </w:tcBorders>
          </w:tcPr>
          <w:p>
            <w:pPr/>
          </w:p>
        </w:tc>
      </w:tr>
      <w:tr>
        <w:trPr>
          <w:trHeight w:val="133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民生 银行 福州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31"/>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4.43%</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261.8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261.8</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261.8</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民生 银行 福州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31"/>
              <w:jc w:val="left"/>
              <w:rPr>
                <w:rFonts w:ascii="宋体" w:hAnsi="宋体" w:cs="宋体" w:eastAsia="宋体" w:hint="default"/>
                <w:sz w:val="18"/>
                <w:szCs w:val="18"/>
              </w:rPr>
            </w:pPr>
            <w:r>
              <w:rPr>
                <w:rFonts w:ascii="宋体" w:hAnsi="宋体" w:cs="宋体" w:eastAsia="宋体" w:hint="default"/>
                <w:sz w:val="18"/>
                <w:szCs w:val="18"/>
              </w:rPr>
              <w:t>银行理 财产品</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4.73%</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48,700</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15"/>
              <w:jc w:val="right"/>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683.08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298.66</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258"/>
        <w:jc w:val="left"/>
      </w:pPr>
      <w:r>
        <w:rPr/>
        <w:t>委托理财出现预期无法收回本金或存在其他可能导致减值的情形</w:t>
      </w:r>
    </w:p>
    <w:p>
      <w:pPr>
        <w:pStyle w:val="BodyText"/>
        <w:spacing w:line="240" w:lineRule="auto" w:before="117"/>
        <w:ind w:left="153"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258"/>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footerReference w:type="default" r:id="rId25"/>
          <w:pgSz w:w="11910" w:h="16840"/>
          <w:pgMar w:footer="982" w:header="877" w:top="1100" w:bottom="1180" w:left="980" w:right="980"/>
          <w:pgNumType w:start="41"/>
        </w:sectPr>
      </w:pPr>
    </w:p>
    <w:p>
      <w:pPr>
        <w:spacing w:line="240" w:lineRule="auto" w:before="13"/>
        <w:rPr>
          <w:rFonts w:ascii="宋体" w:hAnsi="宋体" w:cs="宋体" w:eastAsia="宋体" w:hint="default"/>
          <w:sz w:val="21"/>
          <w:szCs w:val="21"/>
        </w:rPr>
      </w:pPr>
    </w:p>
    <w:p>
      <w:pPr>
        <w:pStyle w:val="BodyText"/>
        <w:spacing w:line="240" w:lineRule="auto" w:before="44"/>
        <w:ind w:left="153" w:right="1258"/>
        <w:jc w:val="left"/>
      </w:pPr>
      <w:r>
        <w:rPr/>
        <w:t>公司报告期不存在委托贷款。</w:t>
      </w:r>
    </w:p>
    <w:p>
      <w:pPr>
        <w:spacing w:line="240" w:lineRule="auto" w:before="10"/>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636"/>
        <w:gridCol w:w="640"/>
        <w:gridCol w:w="638"/>
        <w:gridCol w:w="640"/>
        <w:gridCol w:w="640"/>
        <w:gridCol w:w="638"/>
        <w:gridCol w:w="640"/>
        <w:gridCol w:w="638"/>
        <w:gridCol w:w="637"/>
        <w:gridCol w:w="638"/>
        <w:gridCol w:w="638"/>
        <w:gridCol w:w="637"/>
        <w:gridCol w:w="638"/>
        <w:gridCol w:w="638"/>
        <w:gridCol w:w="636"/>
      </w:tblGrid>
      <w:tr>
        <w:trPr>
          <w:trHeight w:val="358" w:hRule="exact"/>
        </w:trPr>
        <w:tc>
          <w:tcPr>
            <w:tcW w:w="636" w:type="dxa"/>
            <w:tcBorders>
              <w:top w:val="single" w:sz="4" w:space="0" w:color="000000"/>
              <w:left w:val="single" w:sz="4" w:space="0" w:color="000000"/>
              <w:bottom w:val="nil" w:sz="6" w:space="0" w:color="auto"/>
              <w:right w:val="single" w:sz="4" w:space="0" w:color="000000"/>
            </w:tcBorders>
            <w:shd w:val="clear" w:color="auto" w:fill="D3D3D3"/>
          </w:tcPr>
          <w:p>
            <w:pPr/>
          </w:p>
        </w:tc>
        <w:tc>
          <w:tcPr>
            <w:tcW w:w="640"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40" w:type="dxa"/>
            <w:tcBorders>
              <w:top w:val="single" w:sz="4" w:space="0" w:color="000000"/>
              <w:left w:val="single" w:sz="4" w:space="0" w:color="000000"/>
              <w:bottom w:val="nil" w:sz="6" w:space="0" w:color="auto"/>
              <w:right w:val="single" w:sz="4" w:space="0" w:color="000000"/>
            </w:tcBorders>
            <w:shd w:val="clear" w:color="auto" w:fill="D3D3D3"/>
          </w:tcPr>
          <w:p>
            <w:pPr/>
          </w:p>
        </w:tc>
        <w:tc>
          <w:tcPr>
            <w:tcW w:w="64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合同涉</w:t>
            </w: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合同涉</w:t>
            </w:r>
          </w:p>
        </w:tc>
        <w:tc>
          <w:tcPr>
            <w:tcW w:w="640"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7"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7"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60" w:hRule="exact"/>
        </w:trPr>
        <w:tc>
          <w:tcPr>
            <w:tcW w:w="6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41" w:right="42"/>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44" w:right="43"/>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224" w:right="42"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44" w:right="43"/>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45" w:right="42"/>
              <w:jc w:val="both"/>
              <w:rPr>
                <w:rFonts w:ascii="宋体" w:hAnsi="宋体" w:cs="宋体" w:eastAsia="宋体" w:hint="default"/>
                <w:sz w:val="18"/>
                <w:szCs w:val="18"/>
              </w:rPr>
            </w:pPr>
            <w:r>
              <w:rPr>
                <w:rFonts w:ascii="宋体" w:hAnsi="宋体" w:cs="宋体" w:eastAsia="宋体" w:hint="default"/>
                <w:sz w:val="18"/>
                <w:szCs w:val="18"/>
              </w:rPr>
              <w:t>及资产 的账面 价值</w:t>
            </w:r>
          </w:p>
          <w:p>
            <w:pPr>
              <w:pStyle w:val="TableParagraph"/>
              <w:spacing w:line="316" w:lineRule="auto" w:before="19"/>
              <w:ind w:left="23" w:right="20" w:firstLine="111"/>
              <w:jc w:val="both"/>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44" w:right="42"/>
              <w:jc w:val="both"/>
              <w:rPr>
                <w:rFonts w:ascii="宋体" w:hAnsi="宋体" w:cs="宋体" w:eastAsia="宋体" w:hint="default"/>
                <w:sz w:val="18"/>
                <w:szCs w:val="18"/>
              </w:rPr>
            </w:pPr>
            <w:r>
              <w:rPr>
                <w:rFonts w:ascii="宋体" w:hAnsi="宋体" w:cs="宋体" w:eastAsia="宋体" w:hint="default"/>
                <w:sz w:val="18"/>
                <w:szCs w:val="18"/>
              </w:rPr>
              <w:t>及资产 的评估 价值</w:t>
            </w:r>
          </w:p>
          <w:p>
            <w:pPr>
              <w:pStyle w:val="TableParagraph"/>
              <w:spacing w:line="316" w:lineRule="auto" w:before="19"/>
              <w:ind w:left="22" w:right="20" w:firstLine="111"/>
              <w:jc w:val="both"/>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p>
        </w:tc>
        <w:tc>
          <w:tcPr>
            <w:tcW w:w="6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45" w:right="42"/>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9" w:lineRule="auto" w:before="19"/>
              <w:ind w:left="135"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33" w:right="43" w:hanging="90"/>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9" w:lineRule="auto" w:before="19"/>
              <w:ind w:left="133" w:right="133"/>
              <w:jc w:val="left"/>
              <w:rPr>
                <w:rFonts w:ascii="宋体" w:hAnsi="宋体" w:cs="宋体" w:eastAsia="宋体" w:hint="default"/>
                <w:sz w:val="18"/>
                <w:szCs w:val="18"/>
              </w:rPr>
            </w:pPr>
            <w:r>
              <w:rPr>
                <w:rFonts w:ascii="宋体" w:hAnsi="宋体" w:cs="宋体" w:eastAsia="宋体" w:hint="default"/>
                <w:sz w:val="18"/>
                <w:szCs w:val="18"/>
              </w:rPr>
              <w:t>（如 有）</w:t>
            </w:r>
          </w:p>
        </w:tc>
        <w:tc>
          <w:tcPr>
            <w:tcW w:w="6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43" w:right="43"/>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223" w:right="43"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221" w:right="42"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56" w:hRule="exact"/>
        </w:trPr>
        <w:tc>
          <w:tcPr>
            <w:tcW w:w="636" w:type="dxa"/>
            <w:tcBorders>
              <w:top w:val="nil" w:sz="6" w:space="0" w:color="auto"/>
              <w:left w:val="single" w:sz="4" w:space="0" w:color="000000"/>
              <w:bottom w:val="single" w:sz="4" w:space="0" w:color="000000"/>
              <w:right w:val="single" w:sz="4" w:space="0" w:color="000000"/>
            </w:tcBorders>
            <w:shd w:val="clear" w:color="auto" w:fill="D3D3D3"/>
          </w:tcPr>
          <w:p>
            <w:pPr/>
          </w:p>
        </w:tc>
        <w:tc>
          <w:tcPr>
            <w:tcW w:w="640"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40" w:type="dxa"/>
            <w:tcBorders>
              <w:top w:val="nil" w:sz="6" w:space="0" w:color="auto"/>
              <w:left w:val="single" w:sz="4" w:space="0" w:color="000000"/>
              <w:bottom w:val="single" w:sz="4" w:space="0" w:color="000000"/>
              <w:right w:val="single" w:sz="4" w:space="0" w:color="000000"/>
            </w:tcBorders>
            <w:shd w:val="clear" w:color="auto" w:fill="D3D3D3"/>
          </w:tcPr>
          <w:p>
            <w:pPr/>
          </w:p>
        </w:tc>
        <w:tc>
          <w:tcPr>
            <w:tcW w:w="64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有）</w:t>
            </w: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有）</w:t>
            </w:r>
          </w:p>
        </w:tc>
        <w:tc>
          <w:tcPr>
            <w:tcW w:w="640"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7"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7"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66" w:hRule="exact"/>
        </w:trPr>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26">
              <w:r>
                <w:rPr>
                  <w:rFonts w:ascii="Times New Roman"/>
                  <w:sz w:val="18"/>
                </w:rPr>
                <w:t>http://w</w:t>
              </w:r>
            </w:hyperlink>
          </w:p>
        </w:tc>
      </w:tr>
      <w:tr>
        <w:trPr>
          <w:trHeight w:val="311"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pacing w:val="-3"/>
                <w:sz w:val="18"/>
              </w:rPr>
              <w:t>ww.cni</w:t>
            </w:r>
            <w:r>
              <w:rPr>
                <w:rFonts w:ascii="Times New Roman"/>
                <w:sz w:val="18"/>
              </w:rPr>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nfo.co</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m.cn/cn</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info-ne</w:t>
            </w:r>
          </w:p>
        </w:tc>
      </w:tr>
      <w:tr>
        <w:trPr>
          <w:trHeight w:val="309"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w/discl</w:t>
            </w:r>
          </w:p>
        </w:tc>
      </w:tr>
      <w:tr>
        <w:trPr>
          <w:trHeight w:val="1875" w:hRule="exact"/>
        </w:trPr>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22" w:right="61"/>
              <w:jc w:val="both"/>
              <w:rPr>
                <w:rFonts w:ascii="宋体" w:hAnsi="宋体" w:cs="宋体" w:eastAsia="宋体" w:hint="default"/>
                <w:sz w:val="18"/>
                <w:szCs w:val="18"/>
              </w:rPr>
            </w:pPr>
            <w:r>
              <w:rPr>
                <w:rFonts w:ascii="宋体" w:hAnsi="宋体" w:cs="宋体" w:eastAsia="宋体" w:hint="default"/>
                <w:sz w:val="18"/>
                <w:szCs w:val="18"/>
              </w:rPr>
              <w:t>福建榕 基软件 股份有 限公司</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国家质 量监督 检验检 疫总局 通关司</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316" w:lineRule="auto" w:before="7"/>
              <w:ind w:left="22" w:right="65"/>
              <w:jc w:val="both"/>
              <w:rPr>
                <w:rFonts w:ascii="宋体" w:hAnsi="宋体" w:cs="宋体" w:eastAsia="宋体" w:hint="default"/>
                <w:sz w:val="18"/>
                <w:szCs w:val="18"/>
              </w:rPr>
            </w:pPr>
            <w:r>
              <w:rPr>
                <w:rFonts w:ascii="宋体" w:hAnsi="宋体" w:cs="宋体" w:eastAsia="宋体" w:hint="default"/>
                <w:sz w:val="18"/>
                <w:szCs w:val="18"/>
              </w:rPr>
              <w:t>中国电 子检验 检疫主 干系统 开发项 目</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0"/>
              <w:ind w:left="22" w:right="62"/>
              <w:jc w:val="left"/>
              <w:rPr>
                <w:rFonts w:ascii="宋体" w:hAnsi="宋体" w:cs="宋体" w:eastAsia="宋体" w:hint="default"/>
                <w:sz w:val="18"/>
                <w:szCs w:val="18"/>
              </w:rPr>
            </w:pPr>
            <w:r>
              <w:rPr>
                <w:rFonts w:ascii="宋体" w:hAnsi="宋体" w:cs="宋体" w:eastAsia="宋体" w:hint="default"/>
                <w:sz w:val="18"/>
                <w:szCs w:val="18"/>
              </w:rPr>
              <w:t>公开市 场招标</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1,669.8</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0"/>
              <w:ind w:left="22" w:right="65"/>
              <w:jc w:val="left"/>
              <w:rPr>
                <w:rFonts w:ascii="宋体" w:hAnsi="宋体" w:cs="宋体" w:eastAsia="宋体" w:hint="default"/>
                <w:sz w:val="18"/>
                <w:szCs w:val="18"/>
              </w:rPr>
            </w:pPr>
            <w:r>
              <w:rPr>
                <w:rFonts w:ascii="宋体" w:hAnsi="宋体" w:cs="宋体" w:eastAsia="宋体" w:hint="default"/>
                <w:sz w:val="18"/>
                <w:szCs w:val="18"/>
              </w:rPr>
              <w:t>完成初 验。</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362" w:lineRule="auto" w:before="46"/>
              <w:ind w:left="22" w:right="20"/>
              <w:jc w:val="left"/>
              <w:rPr>
                <w:rFonts w:ascii="Times New Roman" w:hAnsi="Times New Roman" w:cs="Times New Roman" w:eastAsia="Times New Roman" w:hint="default"/>
                <w:sz w:val="18"/>
                <w:szCs w:val="18"/>
              </w:rPr>
            </w:pPr>
            <w:r>
              <w:rPr>
                <w:rFonts w:ascii="Times New Roman"/>
                <w:sz w:val="18"/>
              </w:rPr>
              <w:t>osure/s zse_sm e/bullet in_detai l/true/6 131716</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2?anno</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unceTi</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me=20</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12-07-2</w:t>
            </w:r>
          </w:p>
        </w:tc>
      </w:tr>
      <w:tr>
        <w:trPr>
          <w:trHeight w:val="313"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5%200</w:t>
            </w:r>
          </w:p>
        </w:tc>
      </w:tr>
      <w:tr>
        <w:trPr>
          <w:trHeight w:val="348" w:hRule="exact"/>
        </w:trPr>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left="22" w:right="0"/>
              <w:jc w:val="left"/>
              <w:rPr>
                <w:rFonts w:ascii="Times New Roman" w:hAnsi="Times New Roman" w:cs="Times New Roman" w:eastAsia="Times New Roman" w:hint="default"/>
                <w:sz w:val="18"/>
                <w:szCs w:val="18"/>
              </w:rPr>
            </w:pPr>
            <w:r>
              <w:rPr>
                <w:rFonts w:ascii="Times New Roman"/>
                <w:sz w:val="18"/>
              </w:rPr>
              <w:t>6:30</w:t>
            </w:r>
          </w:p>
        </w:tc>
      </w:tr>
      <w:tr>
        <w:trPr>
          <w:trHeight w:val="366" w:hRule="exact"/>
        </w:trPr>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26">
              <w:r>
                <w:rPr>
                  <w:rFonts w:ascii="Times New Roman"/>
                  <w:sz w:val="18"/>
                </w:rPr>
                <w:t>http://w</w:t>
              </w:r>
            </w:hyperlink>
          </w:p>
        </w:tc>
      </w:tr>
      <w:tr>
        <w:trPr>
          <w:trHeight w:val="298"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pacing w:val="-3"/>
                <w:sz w:val="18"/>
              </w:rPr>
              <w:t>ww.cni</w:t>
            </w:r>
            <w:r>
              <w:rPr>
                <w:rFonts w:ascii="Times New Roman"/>
                <w:sz w:val="18"/>
              </w:rPr>
            </w:r>
          </w:p>
        </w:tc>
      </w:tr>
      <w:tr>
        <w:trPr>
          <w:trHeight w:val="311"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中国电</w:t>
            </w: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22" w:right="0"/>
              <w:jc w:val="left"/>
              <w:rPr>
                <w:rFonts w:ascii="Times New Roman" w:hAnsi="Times New Roman" w:cs="Times New Roman" w:eastAsia="Times New Roman" w:hint="default"/>
                <w:sz w:val="18"/>
                <w:szCs w:val="18"/>
              </w:rPr>
            </w:pPr>
            <w:r>
              <w:rPr>
                <w:rFonts w:ascii="Times New Roman"/>
                <w:sz w:val="18"/>
              </w:rPr>
              <w:t>nfo.co</w:t>
            </w:r>
          </w:p>
        </w:tc>
      </w:tr>
      <w:tr>
        <w:trPr>
          <w:trHeight w:val="2185" w:hRule="exact"/>
        </w:trPr>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316" w:lineRule="auto"/>
              <w:ind w:left="22" w:right="61"/>
              <w:jc w:val="both"/>
              <w:rPr>
                <w:rFonts w:ascii="宋体" w:hAnsi="宋体" w:cs="宋体" w:eastAsia="宋体" w:hint="default"/>
                <w:sz w:val="18"/>
                <w:szCs w:val="18"/>
              </w:rPr>
            </w:pPr>
            <w:r>
              <w:rPr>
                <w:rFonts w:ascii="宋体" w:hAnsi="宋体" w:cs="宋体" w:eastAsia="宋体" w:hint="default"/>
                <w:sz w:val="18"/>
                <w:szCs w:val="18"/>
              </w:rPr>
              <w:t>福建榕 基软件 股份有 限公司</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316" w:lineRule="auto" w:before="153"/>
              <w:ind w:left="22" w:right="65"/>
              <w:jc w:val="both"/>
              <w:rPr>
                <w:rFonts w:ascii="宋体" w:hAnsi="宋体" w:cs="宋体" w:eastAsia="宋体" w:hint="default"/>
                <w:sz w:val="18"/>
                <w:szCs w:val="18"/>
              </w:rPr>
            </w:pPr>
            <w:r>
              <w:rPr>
                <w:rFonts w:ascii="宋体" w:hAnsi="宋体" w:cs="宋体" w:eastAsia="宋体" w:hint="default"/>
                <w:sz w:val="18"/>
                <w:szCs w:val="18"/>
              </w:rPr>
              <w:t>国家质 量监督 检验检 疫总局 通关业 务司</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子检验 检疫主 干系统 服务总 线开发 集成技 术开发</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公开市 场招标</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198</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完成初 验。</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362" w:lineRule="auto" w:before="56"/>
              <w:ind w:left="22" w:right="20"/>
              <w:jc w:val="left"/>
              <w:rPr>
                <w:rFonts w:ascii="Times New Roman" w:hAnsi="Times New Roman" w:cs="Times New Roman" w:eastAsia="Times New Roman" w:hint="default"/>
                <w:sz w:val="18"/>
                <w:szCs w:val="18"/>
              </w:rPr>
            </w:pPr>
            <w:r>
              <w:rPr>
                <w:rFonts w:ascii="Times New Roman"/>
                <w:sz w:val="18"/>
              </w:rPr>
              <w:t>m.cn/cn info-ne w/discl osure/s zse_sm e/bullet in_detai</w:t>
            </w:r>
          </w:p>
        </w:tc>
      </w:tr>
      <w:tr>
        <w:trPr>
          <w:trHeight w:val="325"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22" w:right="0"/>
              <w:jc w:val="left"/>
              <w:rPr>
                <w:rFonts w:ascii="Times New Roman" w:hAnsi="Times New Roman" w:cs="Times New Roman" w:eastAsia="Times New Roman" w:hint="default"/>
                <w:sz w:val="18"/>
                <w:szCs w:val="18"/>
              </w:rPr>
            </w:pPr>
            <w:r>
              <w:rPr>
                <w:rFonts w:ascii="Times New Roman"/>
                <w:sz w:val="18"/>
              </w:rPr>
              <w:t>l/true/6</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399706</w:t>
            </w:r>
          </w:p>
        </w:tc>
      </w:tr>
      <w:tr>
        <w:trPr>
          <w:trHeight w:val="309" w:hRule="exact"/>
        </w:trPr>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1?anno</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636"/>
        <w:gridCol w:w="640"/>
        <w:gridCol w:w="638"/>
        <w:gridCol w:w="640"/>
        <w:gridCol w:w="640"/>
        <w:gridCol w:w="638"/>
        <w:gridCol w:w="640"/>
        <w:gridCol w:w="638"/>
        <w:gridCol w:w="637"/>
        <w:gridCol w:w="638"/>
        <w:gridCol w:w="638"/>
        <w:gridCol w:w="637"/>
        <w:gridCol w:w="638"/>
        <w:gridCol w:w="638"/>
        <w:gridCol w:w="636"/>
      </w:tblGrid>
      <w:tr>
        <w:trPr>
          <w:trHeight w:val="1298" w:hRule="exact"/>
        </w:trPr>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2" w:right="31"/>
              <w:jc w:val="both"/>
              <w:rPr>
                <w:rFonts w:ascii="Times New Roman" w:hAnsi="Times New Roman" w:cs="Times New Roman" w:eastAsia="Times New Roman" w:hint="default"/>
                <w:sz w:val="18"/>
                <w:szCs w:val="18"/>
              </w:rPr>
            </w:pPr>
            <w:r>
              <w:rPr>
                <w:rFonts w:ascii="Times New Roman"/>
                <w:sz w:val="18"/>
              </w:rPr>
              <w:t>unceTi me=20 14-05-0</w:t>
            </w:r>
          </w:p>
          <w:p>
            <w:pPr>
              <w:pStyle w:val="TableParagraph"/>
              <w:spacing w:line="240" w:lineRule="auto" w:before="4"/>
              <w:ind w:left="22" w:right="0"/>
              <w:jc w:val="both"/>
              <w:rPr>
                <w:rFonts w:ascii="Times New Roman" w:hAnsi="Times New Roman" w:cs="Times New Roman" w:eastAsia="Times New Roman" w:hint="default"/>
                <w:sz w:val="18"/>
                <w:szCs w:val="18"/>
              </w:rPr>
            </w:pPr>
            <w:r>
              <w:rPr>
                <w:rFonts w:ascii="Times New Roman"/>
                <w:sz w:val="18"/>
              </w:rPr>
              <w:t>8</w:t>
            </w:r>
          </w:p>
        </w:tc>
      </w:tr>
      <w:tr>
        <w:trPr>
          <w:trHeight w:val="365" w:hRule="exact"/>
        </w:trPr>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26">
              <w:r>
                <w:rPr>
                  <w:rFonts w:ascii="Times New Roman"/>
                  <w:sz w:val="18"/>
                </w:rPr>
                <w:t>http://w</w:t>
              </w:r>
            </w:hyperlink>
          </w:p>
        </w:tc>
      </w:tr>
      <w:tr>
        <w:trPr>
          <w:trHeight w:val="311"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pacing w:val="-3"/>
                <w:sz w:val="18"/>
              </w:rPr>
              <w:t>ww.cni</w:t>
            </w:r>
            <w:r>
              <w:rPr>
                <w:rFonts w:ascii="Times New Roman"/>
                <w:sz w:val="18"/>
              </w:rPr>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nfo.co</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m.cn/cn</w:t>
            </w:r>
          </w:p>
        </w:tc>
      </w:tr>
      <w:tr>
        <w:trPr>
          <w:trHeight w:val="309"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info-ne</w:t>
            </w:r>
          </w:p>
        </w:tc>
      </w:tr>
      <w:tr>
        <w:trPr>
          <w:trHeight w:val="311"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河南省</w:t>
            </w: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w/discl</w:t>
            </w:r>
          </w:p>
        </w:tc>
      </w:tr>
      <w:tr>
        <w:trPr>
          <w:trHeight w:val="1561" w:hRule="exact"/>
        </w:trPr>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2" w:right="61"/>
              <w:jc w:val="both"/>
              <w:rPr>
                <w:rFonts w:ascii="宋体" w:hAnsi="宋体" w:cs="宋体" w:eastAsia="宋体" w:hint="default"/>
                <w:sz w:val="18"/>
                <w:szCs w:val="18"/>
              </w:rPr>
            </w:pPr>
            <w:r>
              <w:rPr>
                <w:rFonts w:ascii="宋体" w:hAnsi="宋体" w:cs="宋体" w:eastAsia="宋体" w:hint="default"/>
                <w:sz w:val="18"/>
                <w:szCs w:val="18"/>
              </w:rPr>
              <w:t>福建榕 基软件 股份有 限公司</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316" w:lineRule="auto" w:before="8"/>
              <w:ind w:left="22" w:right="65"/>
              <w:jc w:val="both"/>
              <w:rPr>
                <w:rFonts w:ascii="宋体" w:hAnsi="宋体" w:cs="宋体" w:eastAsia="宋体" w:hint="default"/>
                <w:sz w:val="18"/>
                <w:szCs w:val="18"/>
              </w:rPr>
            </w:pPr>
            <w:r>
              <w:rPr>
                <w:rFonts w:ascii="宋体" w:hAnsi="宋体" w:cs="宋体" w:eastAsia="宋体" w:hint="default"/>
                <w:sz w:val="18"/>
                <w:szCs w:val="18"/>
              </w:rPr>
              <w:t>河南省 中小企 业发展 服务中 心</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65"/>
              <w:jc w:val="both"/>
              <w:rPr>
                <w:rFonts w:ascii="宋体" w:hAnsi="宋体" w:cs="宋体" w:eastAsia="宋体" w:hint="default"/>
                <w:sz w:val="18"/>
                <w:szCs w:val="18"/>
              </w:rPr>
            </w:pPr>
            <w:r>
              <w:rPr>
                <w:rFonts w:ascii="宋体" w:hAnsi="宋体" w:cs="宋体" w:eastAsia="宋体" w:hint="default"/>
                <w:sz w:val="18"/>
                <w:szCs w:val="18"/>
              </w:rPr>
              <w:t>中小企 业公共 服务平 台网络 软件开</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公开市 场招标</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630</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合同履 行中。</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362" w:lineRule="auto" w:before="46"/>
              <w:ind w:left="22" w:right="20"/>
              <w:jc w:val="both"/>
              <w:rPr>
                <w:rFonts w:ascii="Times New Roman" w:hAnsi="Times New Roman" w:cs="Times New Roman" w:eastAsia="Times New Roman" w:hint="default"/>
                <w:sz w:val="18"/>
                <w:szCs w:val="18"/>
              </w:rPr>
            </w:pPr>
            <w:r>
              <w:rPr>
                <w:rFonts w:ascii="Times New Roman"/>
                <w:sz w:val="18"/>
              </w:rPr>
              <w:t>osure/s zse_sm e/bullet in_detai l/true/1</w:t>
            </w:r>
          </w:p>
        </w:tc>
      </w:tr>
      <w:tr>
        <w:trPr>
          <w:trHeight w:val="315"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发项目</w:t>
            </w: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200331</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564?an</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nounce</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Time=2</w:t>
            </w:r>
          </w:p>
        </w:tc>
      </w:tr>
      <w:tr>
        <w:trPr>
          <w:trHeight w:val="313"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014-10-</w:t>
            </w:r>
          </w:p>
        </w:tc>
      </w:tr>
      <w:tr>
        <w:trPr>
          <w:trHeight w:val="349" w:hRule="exact"/>
        </w:trPr>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365" w:hRule="exact"/>
        </w:trPr>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26">
              <w:r>
                <w:rPr>
                  <w:rFonts w:ascii="Times New Roman"/>
                  <w:sz w:val="18"/>
                </w:rPr>
                <w:t>http://w</w:t>
              </w:r>
            </w:hyperlink>
          </w:p>
        </w:tc>
      </w:tr>
      <w:tr>
        <w:trPr>
          <w:trHeight w:val="311"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pacing w:val="-3"/>
                <w:sz w:val="18"/>
              </w:rPr>
              <w:t>ww.cni</w:t>
            </w:r>
            <w:r>
              <w:rPr>
                <w:rFonts w:ascii="Times New Roman"/>
                <w:sz w:val="18"/>
              </w:rPr>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nfo.co</w:t>
            </w:r>
          </w:p>
        </w:tc>
      </w:tr>
      <w:tr>
        <w:trPr>
          <w:trHeight w:val="309"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m.cn/cn</w:t>
            </w:r>
          </w:p>
        </w:tc>
      </w:tr>
      <w:tr>
        <w:trPr>
          <w:trHeight w:val="311"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国家质</w:t>
            </w: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info-ne</w:t>
            </w:r>
          </w:p>
        </w:tc>
      </w:tr>
      <w:tr>
        <w:trPr>
          <w:trHeight w:val="2185" w:hRule="exact"/>
        </w:trPr>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2" w:right="61"/>
              <w:jc w:val="both"/>
              <w:rPr>
                <w:rFonts w:ascii="宋体" w:hAnsi="宋体" w:cs="宋体" w:eastAsia="宋体" w:hint="default"/>
                <w:sz w:val="18"/>
                <w:szCs w:val="18"/>
              </w:rPr>
            </w:pPr>
            <w:r>
              <w:rPr>
                <w:rFonts w:ascii="宋体" w:hAnsi="宋体" w:cs="宋体" w:eastAsia="宋体" w:hint="default"/>
                <w:sz w:val="18"/>
                <w:szCs w:val="18"/>
              </w:rPr>
              <w:t>福建榕 基软件 股份有 限公司</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国家质 量监督 检验检 疫总局 通关业 务司</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65"/>
              <w:jc w:val="both"/>
              <w:rPr>
                <w:rFonts w:ascii="宋体" w:hAnsi="宋体" w:cs="宋体" w:eastAsia="宋体" w:hint="default"/>
                <w:sz w:val="18"/>
                <w:szCs w:val="18"/>
              </w:rPr>
            </w:pPr>
            <w:r>
              <w:rPr>
                <w:rFonts w:ascii="宋体" w:hAnsi="宋体" w:cs="宋体" w:eastAsia="宋体" w:hint="default"/>
                <w:sz w:val="18"/>
                <w:szCs w:val="18"/>
              </w:rPr>
              <w:t>检总局 电子检 验检疫 主干系 统信息 交换平 台开发</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62"/>
              <w:jc w:val="left"/>
              <w:rPr>
                <w:rFonts w:ascii="宋体" w:hAnsi="宋体" w:cs="宋体" w:eastAsia="宋体" w:hint="default"/>
                <w:sz w:val="18"/>
                <w:szCs w:val="18"/>
              </w:rPr>
            </w:pPr>
            <w:r>
              <w:rPr>
                <w:rFonts w:ascii="宋体" w:hAnsi="宋体" w:cs="宋体" w:eastAsia="宋体" w:hint="default"/>
                <w:sz w:val="18"/>
                <w:szCs w:val="18"/>
              </w:rPr>
              <w:t>公开市 场招标</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z w:val="18"/>
              </w:rPr>
              <w:t>1,083.2</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合同履 行中。</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362" w:lineRule="auto" w:before="46"/>
              <w:ind w:left="22" w:right="20"/>
              <w:jc w:val="left"/>
              <w:rPr>
                <w:rFonts w:ascii="Times New Roman" w:hAnsi="Times New Roman" w:cs="Times New Roman" w:eastAsia="Times New Roman" w:hint="default"/>
                <w:sz w:val="18"/>
                <w:szCs w:val="18"/>
              </w:rPr>
            </w:pPr>
            <w:r>
              <w:rPr>
                <w:rFonts w:ascii="Times New Roman"/>
                <w:sz w:val="18"/>
              </w:rPr>
              <w:t>w/discl osure/s zse_sm e/bullet in_detai l/true/1 201009</w:t>
            </w:r>
          </w:p>
        </w:tc>
      </w:tr>
      <w:tr>
        <w:trPr>
          <w:trHeight w:val="315"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866?an</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nounce</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Time=2</w:t>
            </w:r>
          </w:p>
        </w:tc>
      </w:tr>
      <w:tr>
        <w:trPr>
          <w:trHeight w:val="313"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015-05-</w:t>
            </w:r>
          </w:p>
        </w:tc>
      </w:tr>
      <w:tr>
        <w:trPr>
          <w:trHeight w:val="349" w:hRule="exact"/>
        </w:trPr>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left="22" w:right="0"/>
              <w:jc w:val="left"/>
              <w:rPr>
                <w:rFonts w:ascii="Times New Roman" w:hAnsi="Times New Roman" w:cs="Times New Roman" w:eastAsia="Times New Roman" w:hint="default"/>
                <w:sz w:val="18"/>
                <w:szCs w:val="18"/>
              </w:rPr>
            </w:pPr>
            <w:r>
              <w:rPr>
                <w:rFonts w:ascii="Times New Roman"/>
                <w:sz w:val="18"/>
              </w:rPr>
              <w:t>14</w:t>
            </w:r>
          </w:p>
        </w:tc>
      </w:tr>
      <w:tr>
        <w:trPr>
          <w:trHeight w:val="1610"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61"/>
              <w:jc w:val="both"/>
              <w:rPr>
                <w:rFonts w:ascii="宋体" w:hAnsi="宋体" w:cs="宋体" w:eastAsia="宋体" w:hint="default"/>
                <w:sz w:val="18"/>
                <w:szCs w:val="18"/>
              </w:rPr>
            </w:pPr>
            <w:r>
              <w:rPr>
                <w:rFonts w:ascii="宋体" w:hAnsi="宋体" w:cs="宋体" w:eastAsia="宋体" w:hint="default"/>
                <w:sz w:val="18"/>
                <w:szCs w:val="18"/>
              </w:rPr>
              <w:t>福建榕 基软件 股份有 限公司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国家质 量监督 检验检 疫总局 通关业</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国家质 检总局 电子检 验检疫 大通关</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62"/>
              <w:jc w:val="left"/>
              <w:rPr>
                <w:rFonts w:ascii="宋体" w:hAnsi="宋体" w:cs="宋体" w:eastAsia="宋体" w:hint="default"/>
                <w:sz w:val="18"/>
                <w:szCs w:val="18"/>
              </w:rPr>
            </w:pPr>
            <w:r>
              <w:rPr>
                <w:rFonts w:ascii="宋体" w:hAnsi="宋体" w:cs="宋体" w:eastAsia="宋体" w:hint="default"/>
                <w:sz w:val="18"/>
                <w:szCs w:val="18"/>
              </w:rPr>
              <w:t>公开市 场招标</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1,485.3</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65"/>
              <w:jc w:val="left"/>
              <w:rPr>
                <w:rFonts w:ascii="宋体" w:hAnsi="宋体" w:cs="宋体" w:eastAsia="宋体" w:hint="default"/>
                <w:sz w:val="18"/>
                <w:szCs w:val="18"/>
              </w:rPr>
            </w:pPr>
            <w:r>
              <w:rPr>
                <w:rFonts w:ascii="宋体" w:hAnsi="宋体" w:cs="宋体" w:eastAsia="宋体" w:hint="default"/>
                <w:sz w:val="18"/>
                <w:szCs w:val="18"/>
              </w:rPr>
              <w:t>合同履 行中。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5"/>
              <w:jc w:val="left"/>
              <w:rPr>
                <w:rFonts w:ascii="Times New Roman" w:hAnsi="Times New Roman" w:cs="Times New Roman" w:eastAsia="Times New Roman" w:hint="default"/>
                <w:sz w:val="18"/>
                <w:szCs w:val="18"/>
              </w:rPr>
            </w:pPr>
            <w:hyperlink r:id="rId26">
              <w:r>
                <w:rPr>
                  <w:rFonts w:ascii="Times New Roman"/>
                  <w:sz w:val="18"/>
                </w:rPr>
                <w:t>http://w</w:t>
              </w:r>
            </w:hyperlink>
            <w:r>
              <w:rPr>
                <w:rFonts w:ascii="Times New Roman"/>
                <w:sz w:val="18"/>
              </w:rPr>
              <w:t> </w:t>
            </w:r>
            <w:r>
              <w:rPr>
                <w:rFonts w:ascii="Times New Roman"/>
                <w:spacing w:val="-3"/>
                <w:sz w:val="18"/>
              </w:rPr>
              <w:t>ww.cni</w:t>
            </w:r>
            <w:r>
              <w:rPr>
                <w:rFonts w:ascii="Times New Roman"/>
                <w:spacing w:val="-43"/>
                <w:sz w:val="18"/>
              </w:rPr>
              <w:t> </w:t>
            </w:r>
            <w:r>
              <w:rPr>
                <w:rFonts w:ascii="Times New Roman"/>
                <w:spacing w:val="-43"/>
                <w:sz w:val="18"/>
              </w:rPr>
            </w:r>
            <w:r>
              <w:rPr>
                <w:rFonts w:ascii="Times New Roman"/>
                <w:sz w:val="18"/>
              </w:rPr>
              <w:t>nfo.co</w:t>
            </w:r>
            <w:r>
              <w:rPr>
                <w:rFonts w:ascii="Times New Roman"/>
                <w:sz w:val="18"/>
              </w:rPr>
              <w:t> m.cn/cn info-ne</w:t>
            </w:r>
          </w:p>
        </w:tc>
      </w:tr>
    </w:tbl>
    <w:p>
      <w:pPr>
        <w:spacing w:after="0" w:line="362"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636"/>
        <w:gridCol w:w="640"/>
        <w:gridCol w:w="638"/>
        <w:gridCol w:w="640"/>
        <w:gridCol w:w="640"/>
        <w:gridCol w:w="638"/>
        <w:gridCol w:w="640"/>
        <w:gridCol w:w="638"/>
        <w:gridCol w:w="637"/>
        <w:gridCol w:w="638"/>
        <w:gridCol w:w="638"/>
        <w:gridCol w:w="637"/>
        <w:gridCol w:w="638"/>
        <w:gridCol w:w="638"/>
        <w:gridCol w:w="636"/>
      </w:tblGrid>
      <w:tr>
        <w:trPr>
          <w:trHeight w:val="321" w:hRule="exact"/>
        </w:trPr>
        <w:tc>
          <w:tcPr>
            <w:tcW w:w="636" w:type="dxa"/>
            <w:vMerge w:val="restart"/>
            <w:tcBorders>
              <w:top w:val="single" w:sz="4" w:space="0" w:color="000000"/>
              <w:left w:val="single" w:sz="4" w:space="0" w:color="000000"/>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务司</w:t>
            </w: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系统应</w:t>
            </w:r>
          </w:p>
        </w:tc>
        <w:tc>
          <w:tcPr>
            <w:tcW w:w="640" w:type="dxa"/>
            <w:vMerge w:val="restart"/>
            <w:tcBorders>
              <w:top w:val="single" w:sz="4" w:space="0" w:color="000000"/>
              <w:left w:val="single" w:sz="4" w:space="0" w:color="000000"/>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7"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7"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w/discl</w:t>
            </w:r>
          </w:p>
        </w:tc>
      </w:tr>
      <w:tr>
        <w:trPr>
          <w:trHeight w:val="313" w:hRule="exact"/>
        </w:trPr>
        <w:tc>
          <w:tcPr>
            <w:tcW w:w="636"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用运维</w:t>
            </w:r>
          </w:p>
        </w:tc>
        <w:tc>
          <w:tcPr>
            <w:tcW w:w="640"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osure/s</w:t>
            </w:r>
          </w:p>
        </w:tc>
      </w:tr>
      <w:tr>
        <w:trPr>
          <w:trHeight w:val="315" w:hRule="exact"/>
        </w:trPr>
        <w:tc>
          <w:tcPr>
            <w:tcW w:w="636"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640"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zse_sm</w:t>
            </w:r>
          </w:p>
        </w:tc>
      </w:tr>
      <w:tr>
        <w:trPr>
          <w:trHeight w:val="312" w:hRule="exact"/>
        </w:trPr>
        <w:tc>
          <w:tcPr>
            <w:tcW w:w="636"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e/bullet</w:t>
            </w:r>
          </w:p>
        </w:tc>
      </w:tr>
      <w:tr>
        <w:trPr>
          <w:trHeight w:val="312" w:hRule="exact"/>
        </w:trPr>
        <w:tc>
          <w:tcPr>
            <w:tcW w:w="636"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in_detai</w:t>
            </w:r>
          </w:p>
        </w:tc>
      </w:tr>
      <w:tr>
        <w:trPr>
          <w:trHeight w:val="312" w:hRule="exact"/>
        </w:trPr>
        <w:tc>
          <w:tcPr>
            <w:tcW w:w="636"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l/true/1</w:t>
            </w:r>
          </w:p>
        </w:tc>
      </w:tr>
      <w:tr>
        <w:trPr>
          <w:trHeight w:val="312" w:hRule="exact"/>
        </w:trPr>
        <w:tc>
          <w:tcPr>
            <w:tcW w:w="636"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201009</w:t>
            </w:r>
          </w:p>
        </w:tc>
      </w:tr>
      <w:tr>
        <w:trPr>
          <w:trHeight w:val="312" w:hRule="exact"/>
        </w:trPr>
        <w:tc>
          <w:tcPr>
            <w:tcW w:w="636"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866?an</w:t>
            </w:r>
          </w:p>
        </w:tc>
      </w:tr>
      <w:tr>
        <w:trPr>
          <w:trHeight w:val="312" w:hRule="exact"/>
        </w:trPr>
        <w:tc>
          <w:tcPr>
            <w:tcW w:w="636"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nounce</w:t>
            </w:r>
          </w:p>
        </w:tc>
      </w:tr>
      <w:tr>
        <w:trPr>
          <w:trHeight w:val="312" w:hRule="exact"/>
        </w:trPr>
        <w:tc>
          <w:tcPr>
            <w:tcW w:w="636"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Time=2</w:t>
            </w:r>
          </w:p>
        </w:tc>
      </w:tr>
      <w:tr>
        <w:trPr>
          <w:trHeight w:val="313" w:hRule="exact"/>
        </w:trPr>
        <w:tc>
          <w:tcPr>
            <w:tcW w:w="636"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015-05-</w:t>
            </w:r>
          </w:p>
        </w:tc>
      </w:tr>
      <w:tr>
        <w:trPr>
          <w:trHeight w:val="349" w:hRule="exact"/>
        </w:trPr>
        <w:tc>
          <w:tcPr>
            <w:tcW w:w="636" w:type="dxa"/>
            <w:vMerge/>
            <w:tcBorders>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7"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7"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left="22" w:right="0"/>
              <w:jc w:val="left"/>
              <w:rPr>
                <w:rFonts w:ascii="Times New Roman" w:hAnsi="Times New Roman" w:cs="Times New Roman" w:eastAsia="Times New Roman" w:hint="default"/>
                <w:sz w:val="18"/>
                <w:szCs w:val="18"/>
              </w:rPr>
            </w:pPr>
            <w:r>
              <w:rPr>
                <w:rFonts w:ascii="Times New Roman"/>
                <w:sz w:val="18"/>
              </w:rPr>
              <w:t>14</w:t>
            </w:r>
          </w:p>
        </w:tc>
      </w:tr>
      <w:tr>
        <w:trPr>
          <w:trHeight w:val="365" w:hRule="exact"/>
        </w:trPr>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26">
              <w:r>
                <w:rPr>
                  <w:rFonts w:ascii="Times New Roman"/>
                  <w:sz w:val="18"/>
                </w:rPr>
                <w:t>http://w</w:t>
              </w:r>
            </w:hyperlink>
          </w:p>
        </w:tc>
      </w:tr>
      <w:tr>
        <w:trPr>
          <w:trHeight w:val="311"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pacing w:val="-3"/>
                <w:sz w:val="18"/>
              </w:rPr>
              <w:t>ww.cni</w:t>
            </w:r>
            <w:r>
              <w:rPr>
                <w:rFonts w:ascii="Times New Roman"/>
                <w:sz w:val="18"/>
              </w:rPr>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nfo.co</w:t>
            </w:r>
          </w:p>
        </w:tc>
      </w:tr>
      <w:tr>
        <w:trPr>
          <w:trHeight w:val="3432" w:hRule="exact"/>
        </w:trPr>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2" w:right="61"/>
              <w:jc w:val="both"/>
              <w:rPr>
                <w:rFonts w:ascii="宋体" w:hAnsi="宋体" w:cs="宋体" w:eastAsia="宋体" w:hint="default"/>
                <w:sz w:val="18"/>
                <w:szCs w:val="18"/>
              </w:rPr>
            </w:pPr>
            <w:r>
              <w:rPr>
                <w:rFonts w:ascii="宋体" w:hAnsi="宋体" w:cs="宋体" w:eastAsia="宋体" w:hint="default"/>
                <w:sz w:val="18"/>
                <w:szCs w:val="18"/>
              </w:rPr>
              <w:t>上海榕 基软件 开发有 限公司</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上海金 洹工程 建设有 限公司</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316" w:lineRule="auto" w:before="160"/>
              <w:ind w:left="22" w:right="65"/>
              <w:jc w:val="both"/>
              <w:rPr>
                <w:rFonts w:ascii="宋体" w:hAnsi="宋体" w:cs="宋体" w:eastAsia="宋体" w:hint="default"/>
                <w:sz w:val="18"/>
                <w:szCs w:val="18"/>
              </w:rPr>
            </w:pPr>
            <w:r>
              <w:rPr>
                <w:rFonts w:ascii="宋体" w:hAnsi="宋体" w:cs="宋体" w:eastAsia="宋体" w:hint="default"/>
                <w:sz w:val="18"/>
                <w:szCs w:val="18"/>
              </w:rPr>
              <w:t>新建松 江区工 业区</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V-48</w:t>
            </w:r>
          </w:p>
          <w:p>
            <w:pPr>
              <w:pStyle w:val="TableParagraph"/>
              <w:spacing w:line="314" w:lineRule="auto" w:before="63"/>
              <w:ind w:left="22" w:right="4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号地 块）生 产及辅 助用房 项目一 期工程</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招标</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20,155.</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合同履 行中。</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362" w:lineRule="auto" w:before="42"/>
              <w:ind w:left="22" w:right="20"/>
              <w:jc w:val="left"/>
              <w:rPr>
                <w:rFonts w:ascii="Times New Roman" w:hAnsi="Times New Roman" w:cs="Times New Roman" w:eastAsia="Times New Roman" w:hint="default"/>
                <w:sz w:val="18"/>
                <w:szCs w:val="18"/>
              </w:rPr>
            </w:pPr>
            <w:r>
              <w:rPr>
                <w:rFonts w:ascii="Times New Roman"/>
                <w:sz w:val="18"/>
              </w:rPr>
              <w:t>m.cn/cn info-ne w/discl osure/s zse_sm e/bullet in_detai l/true/1 203854</w:t>
            </w:r>
          </w:p>
          <w:p>
            <w:pPr>
              <w:pStyle w:val="TableParagraph"/>
              <w:spacing w:line="362" w:lineRule="auto" w:before="3"/>
              <w:ind w:left="22" w:right="80"/>
              <w:jc w:val="left"/>
              <w:rPr>
                <w:rFonts w:ascii="Times New Roman" w:hAnsi="Times New Roman" w:cs="Times New Roman" w:eastAsia="Times New Roman" w:hint="default"/>
                <w:sz w:val="18"/>
                <w:szCs w:val="18"/>
              </w:rPr>
            </w:pPr>
            <w:r>
              <w:rPr>
                <w:rFonts w:ascii="Times New Roman"/>
                <w:sz w:val="18"/>
              </w:rPr>
              <w:t>496?an nounce</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Time=2</w:t>
            </w:r>
          </w:p>
        </w:tc>
      </w:tr>
      <w:tr>
        <w:trPr>
          <w:trHeight w:val="313"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017-08-</w:t>
            </w:r>
          </w:p>
        </w:tc>
      </w:tr>
      <w:tr>
        <w:trPr>
          <w:trHeight w:val="349" w:hRule="exact"/>
        </w:trPr>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left="22" w:right="0"/>
              <w:jc w:val="left"/>
              <w:rPr>
                <w:rFonts w:ascii="Times New Roman" w:hAnsi="Times New Roman" w:cs="Times New Roman" w:eastAsia="Times New Roman" w:hint="default"/>
                <w:sz w:val="18"/>
                <w:szCs w:val="18"/>
              </w:rPr>
            </w:pPr>
            <w:r>
              <w:rPr>
                <w:rFonts w:ascii="Times New Roman"/>
                <w:sz w:val="18"/>
              </w:rPr>
              <w:t>24</w:t>
            </w:r>
          </w:p>
        </w:tc>
      </w:tr>
      <w:tr>
        <w:trPr>
          <w:trHeight w:val="365" w:hRule="exact"/>
        </w:trPr>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26">
              <w:r>
                <w:rPr>
                  <w:rFonts w:ascii="Times New Roman"/>
                  <w:sz w:val="18"/>
                </w:rPr>
                <w:t>http://w</w:t>
              </w:r>
            </w:hyperlink>
          </w:p>
        </w:tc>
      </w:tr>
      <w:tr>
        <w:trPr>
          <w:trHeight w:val="311"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pacing w:val="-3"/>
                <w:sz w:val="18"/>
              </w:rPr>
              <w:t>ww.cni</w:t>
            </w:r>
            <w:r>
              <w:rPr>
                <w:rFonts w:ascii="Times New Roman"/>
                <w:sz w:val="18"/>
              </w:rPr>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nfo.co</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m.cn/cn</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info-ne</w:t>
            </w:r>
          </w:p>
        </w:tc>
      </w:tr>
      <w:tr>
        <w:trPr>
          <w:trHeight w:val="1313" w:hRule="exact"/>
        </w:trPr>
        <w:tc>
          <w:tcPr>
            <w:tcW w:w="636" w:type="dxa"/>
            <w:tcBorders>
              <w:top w:val="nil" w:sz="6" w:space="0" w:color="auto"/>
              <w:left w:val="single" w:sz="4" w:space="0" w:color="000000"/>
              <w:bottom w:val="nil" w:sz="6" w:space="0" w:color="auto"/>
              <w:right w:val="single" w:sz="4" w:space="0" w:color="000000"/>
            </w:tcBorders>
          </w:tcPr>
          <w:p>
            <w:pPr>
              <w:pStyle w:val="TableParagraph"/>
              <w:spacing w:line="316" w:lineRule="auto" w:before="140"/>
              <w:ind w:left="22" w:right="61"/>
              <w:jc w:val="both"/>
              <w:rPr>
                <w:rFonts w:ascii="宋体" w:hAnsi="宋体" w:cs="宋体" w:eastAsia="宋体" w:hint="default"/>
                <w:sz w:val="18"/>
                <w:szCs w:val="18"/>
              </w:rPr>
            </w:pPr>
            <w:r>
              <w:rPr>
                <w:rFonts w:ascii="宋体" w:hAnsi="宋体" w:cs="宋体" w:eastAsia="宋体" w:hint="default"/>
                <w:sz w:val="18"/>
                <w:szCs w:val="18"/>
              </w:rPr>
              <w:t>信阳榕 基信息 技术有</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限公司</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316" w:lineRule="auto" w:before="140"/>
              <w:ind w:left="22" w:right="65"/>
              <w:jc w:val="both"/>
              <w:rPr>
                <w:rFonts w:ascii="宋体" w:hAnsi="宋体" w:cs="宋体" w:eastAsia="宋体" w:hint="default"/>
                <w:sz w:val="18"/>
                <w:szCs w:val="18"/>
              </w:rPr>
            </w:pPr>
            <w:r>
              <w:rPr>
                <w:rFonts w:ascii="宋体" w:hAnsi="宋体" w:cs="宋体" w:eastAsia="宋体" w:hint="default"/>
                <w:sz w:val="18"/>
                <w:szCs w:val="18"/>
              </w:rPr>
              <w:t>中铁建 设集团 有限公</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司</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316" w:lineRule="auto" w:before="140"/>
              <w:ind w:left="22" w:right="65"/>
              <w:jc w:val="both"/>
              <w:rPr>
                <w:rFonts w:ascii="宋体" w:hAnsi="宋体" w:cs="宋体" w:eastAsia="宋体" w:hint="default"/>
                <w:sz w:val="18"/>
                <w:szCs w:val="18"/>
              </w:rPr>
            </w:pPr>
            <w:r>
              <w:rPr>
                <w:rFonts w:ascii="宋体" w:hAnsi="宋体" w:cs="宋体" w:eastAsia="宋体" w:hint="default"/>
                <w:sz w:val="18"/>
                <w:szCs w:val="18"/>
              </w:rPr>
              <w:t>信阳榕 基软件 园建设</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工程</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招标</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28,311.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46</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65"/>
              <w:jc w:val="left"/>
              <w:rPr>
                <w:rFonts w:ascii="宋体" w:hAnsi="宋体" w:cs="宋体" w:eastAsia="宋体" w:hint="default"/>
                <w:sz w:val="18"/>
                <w:szCs w:val="18"/>
              </w:rPr>
            </w:pPr>
            <w:r>
              <w:rPr>
                <w:rFonts w:ascii="宋体" w:hAnsi="宋体" w:cs="宋体" w:eastAsia="宋体" w:hint="default"/>
                <w:sz w:val="18"/>
                <w:szCs w:val="18"/>
              </w:rPr>
              <w:t>合同履 行中。</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362" w:lineRule="auto" w:before="42"/>
              <w:ind w:left="22" w:right="60"/>
              <w:jc w:val="both"/>
              <w:rPr>
                <w:rFonts w:ascii="Times New Roman" w:hAnsi="Times New Roman" w:cs="Times New Roman" w:eastAsia="Times New Roman" w:hint="default"/>
                <w:sz w:val="18"/>
                <w:szCs w:val="18"/>
              </w:rPr>
            </w:pPr>
            <w:r>
              <w:rPr>
                <w:rFonts w:ascii="Times New Roman"/>
                <w:sz w:val="18"/>
              </w:rPr>
              <w:t>w/discl osure/s zse_sm e/bullet</w:t>
            </w:r>
          </w:p>
        </w:tc>
      </w:tr>
      <w:tr>
        <w:trPr>
          <w:trHeight w:val="247"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184" w:lineRule="exact"/>
              <w:ind w:left="22" w:right="0"/>
              <w:jc w:val="left"/>
              <w:rPr>
                <w:rFonts w:ascii="Times New Roman" w:hAnsi="Times New Roman" w:cs="Times New Roman" w:eastAsia="Times New Roman" w:hint="default"/>
                <w:sz w:val="18"/>
                <w:szCs w:val="18"/>
              </w:rPr>
            </w:pPr>
            <w:r>
              <w:rPr>
                <w:rFonts w:ascii="Times New Roman"/>
                <w:sz w:val="18"/>
              </w:rPr>
              <w:t>in_detai</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l/true/1</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202707</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659?an</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nounce</w:t>
            </w:r>
          </w:p>
        </w:tc>
      </w:tr>
      <w:tr>
        <w:trPr>
          <w:trHeight w:val="310" w:hRule="exact"/>
        </w:trPr>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Time=2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636"/>
        <w:gridCol w:w="640"/>
        <w:gridCol w:w="638"/>
        <w:gridCol w:w="640"/>
        <w:gridCol w:w="640"/>
        <w:gridCol w:w="638"/>
        <w:gridCol w:w="640"/>
        <w:gridCol w:w="638"/>
        <w:gridCol w:w="637"/>
        <w:gridCol w:w="638"/>
        <w:gridCol w:w="638"/>
        <w:gridCol w:w="637"/>
        <w:gridCol w:w="638"/>
        <w:gridCol w:w="638"/>
        <w:gridCol w:w="636"/>
      </w:tblGrid>
      <w:tr>
        <w:trPr>
          <w:trHeight w:val="674" w:hRule="exact"/>
        </w:trPr>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016-09-</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20</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184"/>
        <w:jc w:val="left"/>
        <w:rPr>
          <w:b w:val="0"/>
          <w:bCs w:val="0"/>
        </w:rPr>
      </w:pPr>
      <w:r>
        <w:rPr/>
        <w:t>十八、社会责任情况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84"/>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81" w:lineRule="auto"/>
        <w:ind w:left="514" w:right="184"/>
        <w:jc w:val="left"/>
      </w:pPr>
      <w:r>
        <w:rPr/>
        <w:t>（一）股东和债权人权益保护方面 </w:t>
      </w:r>
      <w:r>
        <w:rPr>
          <w:spacing w:val="-2"/>
        </w:rPr>
        <w:t>投资者是公司最重要的利益相关方之一，为公司提供重要资源，也激励公司优化管理流程、提高运营效率。公司通过充</w:t>
      </w:r>
    </w:p>
    <w:p>
      <w:pPr>
        <w:pStyle w:val="BodyText"/>
        <w:spacing w:line="206" w:lineRule="exact"/>
        <w:ind w:right="0"/>
        <w:jc w:val="left"/>
      </w:pPr>
      <w:r>
        <w:rPr/>
        <w:t>分的信息披露与交流，加强与股东、债权人及潜在投资者之间的沟通，促进投资者对公司的了解和认同，不断提升公司治理</w:t>
      </w:r>
    </w:p>
    <w:p>
      <w:pPr>
        <w:pStyle w:val="BodyText"/>
        <w:spacing w:line="379" w:lineRule="auto" w:before="76"/>
        <w:ind w:left="514" w:right="184" w:hanging="360"/>
        <w:jc w:val="left"/>
      </w:pPr>
      <w:r>
        <w:rPr/>
        <w:t>水平，全力保障包括中小股民在内的所有投资人的合法权益。 </w:t>
      </w:r>
      <w:r>
        <w:rPr>
          <w:spacing w:val="-2"/>
        </w:rPr>
        <w:t>报告期内，公司进一步完善治理结构，公平对待所有股东和债权人，确保股东能够充分享有并行使法律、法规、规章所</w:t>
      </w:r>
    </w:p>
    <w:p>
      <w:pPr>
        <w:pStyle w:val="BodyText"/>
        <w:spacing w:line="208" w:lineRule="exact"/>
        <w:ind w:right="184"/>
        <w:jc w:val="left"/>
      </w:pPr>
      <w:r>
        <w:rPr/>
        <w:t>规定的各项合法权益。</w:t>
      </w:r>
    </w:p>
    <w:p>
      <w:pPr>
        <w:pStyle w:val="BodyText"/>
        <w:spacing w:line="240" w:lineRule="auto" w:before="139"/>
        <w:ind w:left="514" w:right="184"/>
        <w:jc w:val="left"/>
      </w:pPr>
      <w:r>
        <w:rPr/>
        <w:t>（1）公司相关制度日益完善，法人治理水平不断提高；</w:t>
      </w:r>
    </w:p>
    <w:p>
      <w:pPr>
        <w:pStyle w:val="BodyText"/>
        <w:spacing w:line="240" w:lineRule="auto" w:before="139"/>
        <w:ind w:left="514" w:right="184"/>
        <w:jc w:val="left"/>
      </w:pPr>
      <w:r>
        <w:rPr/>
        <w:t>（2）公司运作合法合规，维护股东利益；</w:t>
      </w:r>
    </w:p>
    <w:p>
      <w:pPr>
        <w:pStyle w:val="BodyText"/>
        <w:spacing w:line="240" w:lineRule="auto" w:before="137"/>
        <w:ind w:left="514" w:right="184"/>
        <w:jc w:val="left"/>
      </w:pPr>
      <w:r>
        <w:rPr/>
        <w:t>（3）公司严格按照相关法律法规的规定履行信息披露义务、公平尽责的接待所有投资者；</w:t>
      </w:r>
    </w:p>
    <w:p>
      <w:pPr>
        <w:pStyle w:val="BodyText"/>
        <w:spacing w:line="240" w:lineRule="auto" w:before="139"/>
        <w:ind w:left="514" w:right="184"/>
        <w:jc w:val="left"/>
      </w:pPr>
      <w:r>
        <w:rPr/>
        <w:t>（4）建立内幕交易防控机制；</w:t>
      </w:r>
    </w:p>
    <w:p>
      <w:pPr>
        <w:pStyle w:val="BodyText"/>
        <w:spacing w:line="240" w:lineRule="auto" w:before="139"/>
        <w:ind w:left="514" w:right="184"/>
        <w:jc w:val="left"/>
      </w:pPr>
      <w:r>
        <w:rPr/>
        <w:t>（5）积极回报股东；</w:t>
      </w:r>
    </w:p>
    <w:p>
      <w:pPr>
        <w:pStyle w:val="BodyText"/>
        <w:spacing w:line="316" w:lineRule="auto" w:before="137"/>
        <w:ind w:right="180" w:firstLine="360"/>
        <w:jc w:val="left"/>
      </w:pPr>
      <w:r>
        <w:rPr/>
        <w:t>（6）公司一贯奉行稳健诚信的经营策略，控制自身的经营风险，确保公司财务稳健，保障公司资产、资金安全，在追 求股东利益最大化的同时兼顾债权人的利益。</w:t>
      </w:r>
    </w:p>
    <w:p>
      <w:pPr>
        <w:pStyle w:val="BodyText"/>
        <w:spacing w:line="381" w:lineRule="auto" w:before="81"/>
        <w:ind w:left="514" w:right="90"/>
        <w:jc w:val="left"/>
      </w:pPr>
      <w:r>
        <w:rPr/>
        <w:t>（二）职工权益保护 公司多年来始终执行“以人为本”的人才战略，维护和保障员工的利益。为此，公司建立了规范的人力资源管理体系，</w:t>
      </w:r>
    </w:p>
    <w:p>
      <w:pPr>
        <w:pStyle w:val="BodyText"/>
        <w:spacing w:line="206" w:lineRule="exact"/>
        <w:ind w:right="184"/>
        <w:jc w:val="left"/>
      </w:pPr>
      <w:r>
        <w:rPr/>
        <w:t>并不断完善薪酬及激励机制，实现公司与员工的共同发展。</w:t>
      </w:r>
    </w:p>
    <w:p>
      <w:pPr>
        <w:pStyle w:val="BodyText"/>
        <w:spacing w:line="240" w:lineRule="auto" w:before="137"/>
        <w:ind w:left="514" w:right="184"/>
        <w:jc w:val="left"/>
      </w:pPr>
      <w:r>
        <w:rPr/>
        <w:t>（1）实施员工持股计划</w:t>
      </w:r>
    </w:p>
    <w:p>
      <w:pPr>
        <w:pStyle w:val="BodyText"/>
        <w:spacing w:line="240" w:lineRule="auto" w:before="139"/>
        <w:ind w:left="514" w:right="184"/>
        <w:jc w:val="left"/>
      </w:pPr>
      <w:r>
        <w:rPr/>
        <w:t>（2）健全劳动制度和薪酬考核体系</w:t>
      </w:r>
    </w:p>
    <w:p>
      <w:pPr>
        <w:pStyle w:val="BodyText"/>
        <w:spacing w:line="240" w:lineRule="auto" w:before="139"/>
        <w:ind w:left="514" w:right="184"/>
        <w:jc w:val="left"/>
      </w:pPr>
      <w:r>
        <w:rPr/>
        <w:t>（3）注重职工的生产安全和劳动保护</w:t>
      </w:r>
    </w:p>
    <w:p>
      <w:pPr>
        <w:pStyle w:val="BodyText"/>
        <w:spacing w:line="240" w:lineRule="auto" w:before="137"/>
        <w:ind w:left="514" w:right="184"/>
        <w:jc w:val="left"/>
      </w:pPr>
      <w:r>
        <w:rPr/>
        <w:t>（4）重视职工培训</w:t>
      </w:r>
    </w:p>
    <w:p>
      <w:pPr>
        <w:pStyle w:val="BodyText"/>
        <w:spacing w:line="240" w:lineRule="auto" w:before="139"/>
        <w:ind w:left="514" w:right="184"/>
        <w:jc w:val="left"/>
      </w:pPr>
      <w:r>
        <w:rPr/>
        <w:t>（5）关心职工的生活与健康</w:t>
      </w:r>
    </w:p>
    <w:p>
      <w:pPr>
        <w:pStyle w:val="BodyText"/>
        <w:spacing w:line="240" w:lineRule="auto" w:before="139"/>
        <w:ind w:left="514" w:right="184"/>
        <w:jc w:val="left"/>
      </w:pPr>
      <w:r>
        <w:rPr/>
        <w:t>（6）丰富职工业余文化生活</w:t>
      </w:r>
    </w:p>
    <w:p>
      <w:pPr>
        <w:pStyle w:val="BodyText"/>
        <w:spacing w:line="240" w:lineRule="auto" w:before="76"/>
        <w:ind w:left="514" w:right="184"/>
        <w:jc w:val="left"/>
      </w:pPr>
      <w:r>
        <w:rPr/>
        <w:t>（7）鼓励员工创意和发明创造</w:t>
      </w:r>
    </w:p>
    <w:p>
      <w:pPr>
        <w:pStyle w:val="BodyText"/>
        <w:spacing w:line="240" w:lineRule="auto" w:before="137"/>
        <w:ind w:left="514" w:right="184"/>
        <w:jc w:val="left"/>
      </w:pPr>
      <w:r>
        <w:rPr/>
        <w:t>（三）供应商、客户和消费者权益保护</w:t>
      </w:r>
    </w:p>
    <w:p>
      <w:pPr>
        <w:pStyle w:val="BodyText"/>
        <w:spacing w:line="240" w:lineRule="auto" w:before="139"/>
        <w:ind w:left="514" w:right="184"/>
        <w:jc w:val="left"/>
      </w:pPr>
      <w:r>
        <w:rPr/>
        <w:t>（1）保证产品质量，与供应商、客户和消费者互利共赢</w:t>
      </w:r>
    </w:p>
    <w:p>
      <w:pPr>
        <w:pStyle w:val="BodyText"/>
        <w:spacing w:line="240" w:lineRule="auto" w:before="139"/>
        <w:ind w:left="514" w:right="184"/>
        <w:jc w:val="left"/>
      </w:pPr>
      <w:r>
        <w:rPr/>
        <w:t>（2）反对各类商业贿赂活动</w:t>
      </w:r>
    </w:p>
    <w:p>
      <w:pPr>
        <w:pStyle w:val="BodyText"/>
        <w:spacing w:line="381" w:lineRule="auto" w:before="137"/>
        <w:ind w:left="514" w:right="184"/>
        <w:jc w:val="left"/>
      </w:pPr>
      <w:r>
        <w:rPr/>
        <w:t>（四）环境保护与可持续发展 </w:t>
      </w:r>
      <w:r>
        <w:rPr>
          <w:spacing w:val="-2"/>
        </w:rPr>
        <w:t>公司深知保护环境对于创建可持续发展社会的重要意义。根据国家环境保护法规和政策的相关规定，坚持技术革新，节</w:t>
      </w:r>
    </w:p>
    <w:p>
      <w:pPr>
        <w:pStyle w:val="BodyText"/>
        <w:spacing w:line="206" w:lineRule="exact"/>
        <w:ind w:left="153" w:right="91"/>
        <w:jc w:val="left"/>
      </w:pPr>
      <w:r>
        <w:rPr/>
        <w:t>能减排，从源头降低资源能源的消耗，减少三废的产生，同时公司通过了GB/T</w:t>
      </w:r>
      <w:r>
        <w:rPr>
          <w:spacing w:val="-21"/>
        </w:rPr>
        <w:t> </w:t>
      </w:r>
      <w:r>
        <w:rPr/>
        <w:t>24001-2004</w:t>
      </w:r>
      <w:r>
        <w:rPr>
          <w:spacing w:val="-21"/>
        </w:rPr>
        <w:t> </w:t>
      </w:r>
      <w:r>
        <w:rPr/>
        <w:t>idt</w:t>
      </w:r>
      <w:r>
        <w:rPr>
          <w:spacing w:val="-21"/>
        </w:rPr>
        <w:t> </w:t>
      </w:r>
      <w:r>
        <w:rPr/>
        <w:t>ISO</w:t>
      </w:r>
      <w:r>
        <w:rPr>
          <w:spacing w:val="-21"/>
        </w:rPr>
        <w:t> </w:t>
      </w:r>
      <w:r>
        <w:rPr/>
        <w:t>14001:2004环境管理体</w:t>
      </w:r>
    </w:p>
    <w:p>
      <w:pPr>
        <w:pStyle w:val="BodyText"/>
        <w:spacing w:line="316" w:lineRule="auto" w:before="76"/>
        <w:ind w:left="153" w:right="175"/>
        <w:jc w:val="left"/>
      </w:pPr>
      <w:r>
        <w:rPr/>
        <w:t>系认证，力争把公司发展对环境的影响降到最小程度。公司属于 IT</w:t>
      </w:r>
      <w:r>
        <w:rPr>
          <w:spacing w:val="-12"/>
        </w:rPr>
        <w:t> </w:t>
      </w:r>
      <w:r>
        <w:rPr>
          <w:spacing w:val="-3"/>
        </w:rPr>
        <w:t>系统集成、软件开发类高新技术企业，在实际研发、生</w:t>
      </w:r>
      <w:r>
        <w:rPr/>
        <w:t> 产、销售、服务过程中不产生污染物，实现了零污染、零排放。</w:t>
      </w:r>
    </w:p>
    <w:p>
      <w:pPr>
        <w:pStyle w:val="BodyText"/>
        <w:spacing w:line="379" w:lineRule="auto" w:before="81"/>
        <w:ind w:left="513" w:right="184"/>
        <w:jc w:val="left"/>
      </w:pPr>
      <w:r>
        <w:rPr/>
        <w:t>（五）公共关系和社会公益事业 </w:t>
      </w:r>
      <w:r>
        <w:rPr>
          <w:spacing w:val="-2"/>
        </w:rPr>
        <w:t>公司的稳定发展离不开社会的支持，公司长期以来注重企业社会价值的体现，把为社会创造繁荣作为企业所应承担的社</w:t>
      </w:r>
    </w:p>
    <w:p>
      <w:pPr>
        <w:spacing w:after="0" w:line="379"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16" w:lineRule="auto" w:before="44"/>
        <w:ind w:left="153" w:right="191"/>
        <w:jc w:val="both"/>
      </w:pPr>
      <w:r>
        <w:rPr>
          <w:spacing w:val="-2"/>
        </w:rPr>
        <w:t>会责任。公司把依法纳税作为履行社会责任、回馈社会的最基本要求，长期以来如实申报税额，及时缴纳税款。公司注重视</w:t>
      </w:r>
      <w:r>
        <w:rPr>
          <w:spacing w:val="-66"/>
        </w:rPr>
        <w:t> </w:t>
      </w:r>
      <w:r>
        <w:rPr>
          <w:spacing w:val="-66"/>
        </w:rPr>
      </w:r>
      <w:r>
        <w:rPr>
          <w:spacing w:val="-2"/>
        </w:rPr>
        <w:t>与社会各方建立良好的公共关系，并以高度社会责任感回报社会、服务社会，积极参与社会公益事业，为推进和谐社会建设</w:t>
      </w:r>
      <w:r>
        <w:rPr>
          <w:spacing w:val="-66"/>
        </w:rPr>
        <w:t> </w:t>
      </w:r>
      <w:r>
        <w:rPr>
          <w:spacing w:val="-66"/>
        </w:rPr>
      </w:r>
      <w:r>
        <w:rPr/>
        <w:t>贡献自己的力量。</w:t>
      </w:r>
    </w:p>
    <w:p>
      <w:pPr>
        <w:pStyle w:val="BodyText"/>
        <w:spacing w:line="240" w:lineRule="auto" w:before="81"/>
        <w:ind w:left="513" w:right="184"/>
        <w:jc w:val="left"/>
      </w:pPr>
      <w:hyperlink r:id="rId16">
        <w:r>
          <w:rPr/>
          <w:t>《2017年年度社会责任报告》已经披露于2018年4月4日巨潮资讯网（www.cninfo.com.cn）。</w:t>
        </w:r>
      </w:hyperlink>
    </w:p>
    <w:p>
      <w:pPr>
        <w:spacing w:line="240" w:lineRule="auto" w:before="11"/>
        <w:rPr>
          <w:rFonts w:ascii="宋体" w:hAnsi="宋体" w:cs="宋体" w:eastAsia="宋体" w:hint="default"/>
          <w:sz w:val="26"/>
          <w:szCs w:val="26"/>
        </w:rPr>
      </w:pPr>
    </w:p>
    <w:p>
      <w:pPr>
        <w:pStyle w:val="Heading3"/>
        <w:spacing w:line="240" w:lineRule="auto"/>
        <w:ind w:right="184"/>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84"/>
        <w:jc w:val="left"/>
      </w:pPr>
      <w:r>
        <w:rPr/>
        <w:t>公司报告年度暂未开展精准扶贫工作，也暂无后续精准扶贫计划。</w:t>
      </w:r>
    </w:p>
    <w:p>
      <w:pPr>
        <w:spacing w:line="240" w:lineRule="auto" w:before="12"/>
        <w:rPr>
          <w:rFonts w:ascii="宋体" w:hAnsi="宋体" w:cs="宋体" w:eastAsia="宋体" w:hint="default"/>
          <w:sz w:val="26"/>
          <w:szCs w:val="26"/>
        </w:rPr>
      </w:pPr>
    </w:p>
    <w:p>
      <w:pPr>
        <w:pStyle w:val="Heading3"/>
        <w:spacing w:line="240" w:lineRule="auto"/>
        <w:ind w:right="184"/>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84"/>
        <w:jc w:val="left"/>
      </w:pPr>
      <w:r>
        <w:rPr/>
        <w:t>上市公司及其子公司不属于环境保护部门公布的重点排污单位。</w:t>
      </w:r>
    </w:p>
    <w:p>
      <w:pPr>
        <w:spacing w:line="240" w:lineRule="auto" w:before="2"/>
        <w:rPr>
          <w:rFonts w:ascii="宋体" w:hAnsi="宋体" w:cs="宋体" w:eastAsia="宋体" w:hint="default"/>
          <w:sz w:val="25"/>
          <w:szCs w:val="25"/>
        </w:rPr>
      </w:pPr>
    </w:p>
    <w:p>
      <w:pPr>
        <w:pStyle w:val="Heading2"/>
        <w:spacing w:line="240" w:lineRule="auto"/>
        <w:ind w:right="184"/>
        <w:jc w:val="left"/>
        <w:rPr>
          <w:b w:val="0"/>
          <w:bCs w:val="0"/>
        </w:rPr>
      </w:pPr>
      <w:r>
        <w:rPr/>
        <w:t>十九、其他重大事项的说明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4" w:right="180" w:hanging="36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根据公司</w:t>
      </w:r>
      <w:r>
        <w:rPr>
          <w:rFonts w:ascii="Times New Roman" w:hAnsi="Times New Roman" w:cs="Times New Roman" w:eastAsia="Times New Roman" w:hint="default"/>
        </w:rPr>
        <w:t>5</w:t>
      </w:r>
      <w:r>
        <w:rPr/>
        <w:t>个募投项目计划，募集资金中软硬件投入</w:t>
      </w:r>
      <w:r>
        <w:rPr>
          <w:rFonts w:ascii="Times New Roman" w:hAnsi="Times New Roman" w:cs="Times New Roman" w:eastAsia="Times New Roman" w:hint="default"/>
        </w:rPr>
        <w:t>11,596.59</w:t>
      </w:r>
      <w:r>
        <w:rPr/>
        <w:t>万元，实施费用投入</w:t>
      </w:r>
      <w:r>
        <w:rPr>
          <w:rFonts w:ascii="Times New Roman" w:hAnsi="Times New Roman" w:cs="Times New Roman" w:eastAsia="Times New Roman" w:hint="default"/>
        </w:rPr>
        <w:t>10,471.49</w:t>
      </w:r>
      <w:r>
        <w:rPr/>
        <w:t>万元，两项合计共</w:t>
      </w:r>
      <w:r>
        <w:rPr>
          <w:rFonts w:ascii="Times New Roman" w:hAnsi="Times New Roman" w:cs="Times New Roman" w:eastAsia="Times New Roman" w:hint="default"/>
        </w:rPr>
        <w:t>22,068.08</w:t>
      </w:r>
    </w:p>
    <w:p>
      <w:pPr>
        <w:pStyle w:val="BodyText"/>
        <w:spacing w:line="230" w:lineRule="exact"/>
        <w:ind w:right="91"/>
        <w:jc w:val="left"/>
      </w:pPr>
      <w:r>
        <w:rPr/>
        <w:t>万元。场地投入</w:t>
      </w:r>
      <w:r>
        <w:rPr>
          <w:rFonts w:ascii="Times New Roman" w:hAnsi="Times New Roman" w:cs="Times New Roman" w:eastAsia="Times New Roman" w:hint="default"/>
        </w:rPr>
        <w:t>5,828.75</w:t>
      </w:r>
      <w:r>
        <w:rPr/>
        <w:t>万元，计划需要购置</w:t>
      </w:r>
      <w:r>
        <w:rPr>
          <w:rFonts w:ascii="Times New Roman" w:hAnsi="Times New Roman" w:cs="Times New Roman" w:eastAsia="Times New Roman" w:hint="default"/>
        </w:rPr>
        <w:t>7,600</w:t>
      </w:r>
      <w:r>
        <w:rPr/>
        <w:t>平方米用房，用于项目研发、测试、运营、办公和机房环境建设。</w:t>
      </w:r>
      <w:r>
        <w:rPr>
          <w:rFonts w:ascii="Times New Roman" w:hAnsi="Times New Roman" w:cs="Times New Roman" w:eastAsia="Times New Roman" w:hint="default"/>
        </w:rPr>
        <w:t>2014</w:t>
      </w:r>
      <w:r>
        <w:rPr/>
        <w:t>年</w:t>
      </w:r>
    </w:p>
    <w:p>
      <w:pPr>
        <w:pStyle w:val="BodyText"/>
        <w:spacing w:line="307" w:lineRule="auto" w:before="63"/>
        <w:ind w:left="153" w:right="91"/>
        <w:jc w:val="left"/>
      </w:pPr>
      <w:r>
        <w:rPr>
          <w:rFonts w:ascii="Times New Roman" w:hAnsi="Times New Roman" w:cs="Times New Roman" w:eastAsia="Times New Roman" w:hint="default"/>
        </w:rPr>
        <w:t>9</w:t>
      </w:r>
      <w:r>
        <w:rPr/>
        <w:t>月，榕基工程和福州高新技术产业开发区管理委员会就榕基工程在福州高新技术产业开发区海西高新技术产业园内投资建 设软件及服务外包产业基地项目事宜进行协商，签署了《福州高新技术产业开发区海西高新技术产业园投资建设协议书》，</w:t>
      </w:r>
      <w:r>
        <w:rPr>
          <w:spacing w:val="-84"/>
        </w:rPr>
        <w:t> </w:t>
      </w:r>
      <w:r>
        <w:rPr>
          <w:spacing w:val="-84"/>
        </w:rPr>
      </w:r>
      <w:r>
        <w:rPr>
          <w:spacing w:val="-2"/>
        </w:rPr>
        <w:t>并竞得闽侯县国土资源局宗地编号为宗地</w:t>
      </w:r>
      <w:r>
        <w:rPr>
          <w:rFonts w:ascii="Times New Roman" w:hAnsi="Times New Roman" w:cs="Times New Roman" w:eastAsia="Times New Roman" w:hint="default"/>
          <w:spacing w:val="-2"/>
        </w:rPr>
        <w:t>2014</w:t>
      </w:r>
      <w:r>
        <w:rPr>
          <w:spacing w:val="-2"/>
        </w:rPr>
        <w:t>挂（工业）</w:t>
      </w:r>
      <w:r>
        <w:rPr>
          <w:rFonts w:ascii="Times New Roman" w:hAnsi="Times New Roman" w:cs="Times New Roman" w:eastAsia="Times New Roman" w:hint="default"/>
          <w:spacing w:val="-2"/>
        </w:rPr>
        <w:t>16</w:t>
      </w:r>
      <w:r>
        <w:rPr>
          <w:spacing w:val="-2"/>
        </w:rPr>
        <w:t>号国有建设用地使用权，待交付土地之后公司将尽快开展办公场</w:t>
      </w:r>
      <w:r>
        <w:rPr>
          <w:spacing w:val="-60"/>
        </w:rPr>
        <w:t> </w:t>
      </w:r>
      <w:r>
        <w:rPr>
          <w:spacing w:val="-60"/>
        </w:rPr>
      </w:r>
      <w:r>
        <w:rPr>
          <w:spacing w:val="-2"/>
        </w:rPr>
        <w:t>所建设。截至目前，福州高新技术产业开发区管理委员会正在交付土地给公司。根据公司的发展规划，为了更好地利用全资</w:t>
      </w:r>
      <w:r>
        <w:rPr>
          <w:spacing w:val="-66"/>
        </w:rPr>
        <w:t> </w:t>
      </w:r>
      <w:r>
        <w:rPr>
          <w:spacing w:val="-66"/>
        </w:rPr>
      </w:r>
      <w:r>
        <w:rPr>
          <w:spacing w:val="-2"/>
        </w:rPr>
        <w:t>子公司自有土地，实现资源的有效整合，公司于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12</w:t>
      </w:r>
      <w:r>
        <w:rPr>
          <w:spacing w:val="-2"/>
        </w:rPr>
        <w:t>日召开第三届董事会第十三次会议，审议通过将变更募投项目</w:t>
      </w:r>
      <w:r>
        <w:rPr>
          <w:spacing w:val="-58"/>
        </w:rPr>
        <w:t> </w:t>
      </w:r>
      <w:r>
        <w:rPr>
          <w:spacing w:val="-58"/>
        </w:rPr>
      </w:r>
      <w:r>
        <w:rPr/>
        <w:t>实施地点至上述地块，变更募投项目实施方式，并追加投资，拟使用募集资金不超过</w:t>
      </w:r>
      <w:r>
        <w:rPr>
          <w:rFonts w:ascii="Times New Roman" w:hAnsi="Times New Roman" w:cs="Times New Roman" w:eastAsia="Times New Roman" w:hint="default"/>
        </w:rPr>
        <w:t>13,300</w:t>
      </w:r>
      <w:r>
        <w:rPr/>
        <w:t>万元与榕基工程合作在该地块上 建设公司研发大楼，项目建设期</w:t>
      </w:r>
      <w:r>
        <w:rPr>
          <w:rFonts w:ascii="Times New Roman" w:hAnsi="Times New Roman" w:cs="Times New Roman" w:eastAsia="Times New Roman" w:hint="default"/>
        </w:rPr>
        <w:t>2</w:t>
      </w:r>
      <w:r>
        <w:rPr/>
        <w:t>年分批投入，并根据公司募集资金的投入总额取得相应投入比例的研发大楼产权使用权， </w:t>
      </w:r>
      <w:r>
        <w:rPr>
          <w:spacing w:val="-2"/>
        </w:rPr>
        <w:t>用于募投项目目前实际所需研发用房。公司将严格按照募集资金管理和使用的监管要求，使得募集资金规划中的场地投入费</w:t>
      </w:r>
      <w:r>
        <w:rPr>
          <w:spacing w:val="-64"/>
        </w:rPr>
        <w:t> </w:t>
      </w:r>
      <w:r>
        <w:rPr>
          <w:spacing w:val="-64"/>
        </w:rPr>
      </w:r>
      <w:r>
        <w:rPr/>
        <w:t>用发挥效益。截至报告期末，本公司募集资金累计直接投入募投项目</w:t>
      </w:r>
      <w:r>
        <w:rPr>
          <w:rFonts w:ascii="Times New Roman" w:hAnsi="Times New Roman" w:cs="Times New Roman" w:eastAsia="Times New Roman" w:hint="default"/>
        </w:rPr>
        <w:t>30,054.64</w:t>
      </w:r>
      <w:r>
        <w:rPr/>
        <w:t>万元，募投项目建设基本完成。</w:t>
      </w:r>
    </w:p>
    <w:p>
      <w:pPr>
        <w:spacing w:line="240" w:lineRule="auto" w:before="10"/>
        <w:rPr>
          <w:rFonts w:ascii="宋体" w:hAnsi="宋体" w:cs="宋体" w:eastAsia="宋体" w:hint="default"/>
          <w:sz w:val="19"/>
          <w:szCs w:val="19"/>
        </w:rPr>
      </w:pPr>
    </w:p>
    <w:p>
      <w:pPr>
        <w:pStyle w:val="Heading2"/>
        <w:spacing w:line="240" w:lineRule="auto"/>
        <w:ind w:right="184"/>
        <w:jc w:val="left"/>
        <w:rPr>
          <w:b w:val="0"/>
          <w:bCs w:val="0"/>
        </w:rPr>
      </w:pP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82" w:top="110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125" w:right="590"/>
        <w:jc w:val="left"/>
        <w:rPr>
          <w:b w:val="0"/>
          <w:bCs w:val="0"/>
        </w:rPr>
      </w:pPr>
      <w:bookmarkStart w:name="_TOC_250006"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314" w:right="590"/>
        <w:jc w:val="left"/>
        <w:rPr>
          <w:b w:val="0"/>
          <w:bCs w:val="0"/>
        </w:rPr>
      </w:pP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314" w:right="59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330"/>
        <w:jc w:val="right"/>
      </w:pPr>
      <w:r>
        <w:rPr/>
        <w:t>单位：股</w:t>
      </w:r>
    </w:p>
    <w:p>
      <w:pPr>
        <w:spacing w:line="240" w:lineRule="auto" w:before="1"/>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961"/>
        <w:gridCol w:w="1076"/>
        <w:gridCol w:w="779"/>
        <w:gridCol w:w="868"/>
        <w:gridCol w:w="550"/>
        <w:gridCol w:w="991"/>
        <w:gridCol w:w="925"/>
        <w:gridCol w:w="990"/>
        <w:gridCol w:w="1134"/>
        <w:gridCol w:w="780"/>
      </w:tblGrid>
      <w:tr>
        <w:trPr>
          <w:trHeight w:val="205" w:hRule="exact"/>
        </w:trPr>
        <w:tc>
          <w:tcPr>
            <w:tcW w:w="1961" w:type="dxa"/>
            <w:tcBorders>
              <w:top w:val="single" w:sz="4" w:space="0" w:color="000000"/>
              <w:left w:val="single" w:sz="4" w:space="0" w:color="000000"/>
              <w:bottom w:val="nil" w:sz="6" w:space="0" w:color="auto"/>
              <w:right w:val="single" w:sz="4" w:space="0" w:color="000000"/>
            </w:tcBorders>
            <w:shd w:val="clear" w:color="auto" w:fill="D3D3D3"/>
          </w:tcPr>
          <w:p>
            <w:pPr/>
          </w:p>
        </w:tc>
        <w:tc>
          <w:tcPr>
            <w:tcW w:w="185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7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24"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6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1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1961" w:type="dxa"/>
            <w:vMerge w:val="restart"/>
            <w:tcBorders>
              <w:top w:val="nil" w:sz="6" w:space="0" w:color="auto"/>
              <w:left w:val="single" w:sz="4" w:space="0" w:color="000000"/>
              <w:right w:val="single" w:sz="4" w:space="0" w:color="000000"/>
            </w:tcBorders>
            <w:shd w:val="clear" w:color="auto" w:fill="D3D3D3"/>
          </w:tcPr>
          <w:p>
            <w:pPr/>
          </w:p>
        </w:tc>
        <w:tc>
          <w:tcPr>
            <w:tcW w:w="1855" w:type="dxa"/>
            <w:gridSpan w:val="2"/>
            <w:vMerge/>
            <w:tcBorders>
              <w:left w:val="single" w:sz="4" w:space="0" w:color="000000"/>
              <w:bottom w:val="single" w:sz="4" w:space="0" w:color="000000"/>
              <w:right w:val="single" w:sz="4" w:space="0" w:color="000000"/>
            </w:tcBorders>
            <w:shd w:val="clear" w:color="auto" w:fill="D3D3D3"/>
          </w:tcPr>
          <w:p>
            <w:pPr/>
          </w:p>
        </w:tc>
        <w:tc>
          <w:tcPr>
            <w:tcW w:w="4324" w:type="dxa"/>
            <w:gridSpan w:val="5"/>
            <w:vMerge/>
            <w:tcBorders>
              <w:left w:val="single" w:sz="4" w:space="0" w:color="000000"/>
              <w:bottom w:val="single" w:sz="4" w:space="0" w:color="000000"/>
              <w:right w:val="single" w:sz="4" w:space="0" w:color="000000"/>
            </w:tcBorders>
            <w:shd w:val="clear" w:color="auto" w:fill="D3D3D3"/>
          </w:tcPr>
          <w:p>
            <w:pPr/>
          </w:p>
        </w:tc>
        <w:tc>
          <w:tcPr>
            <w:tcW w:w="1914" w:type="dxa"/>
            <w:gridSpan w:val="2"/>
            <w:vMerge/>
            <w:tcBorders>
              <w:left w:val="single" w:sz="4" w:space="0" w:color="000000"/>
              <w:bottom w:val="single" w:sz="4" w:space="0" w:color="000000"/>
              <w:right w:val="single" w:sz="4" w:space="0" w:color="000000"/>
            </w:tcBorders>
            <w:shd w:val="clear" w:color="auto" w:fill="D3D3D3"/>
          </w:tcPr>
          <w:p>
            <w:pPr/>
          </w:p>
        </w:tc>
      </w:tr>
      <w:tr>
        <w:trPr>
          <w:trHeight w:val="195" w:hRule="exact"/>
        </w:trPr>
        <w:tc>
          <w:tcPr>
            <w:tcW w:w="1961" w:type="dxa"/>
            <w:vMerge/>
            <w:tcBorders>
              <w:left w:val="single" w:sz="4" w:space="0" w:color="000000"/>
              <w:bottom w:val="nil" w:sz="6" w:space="0" w:color="auto"/>
              <w:right w:val="single" w:sz="4" w:space="0" w:color="000000"/>
            </w:tcBorders>
            <w:shd w:val="clear" w:color="auto" w:fill="D3D3D3"/>
          </w:tcPr>
          <w:p>
            <w:pPr/>
          </w:p>
        </w:tc>
        <w:tc>
          <w:tcPr>
            <w:tcW w:w="10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5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7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0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2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7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0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7" w:hRule="exact"/>
        </w:trPr>
        <w:tc>
          <w:tcPr>
            <w:tcW w:w="1961" w:type="dxa"/>
            <w:tcBorders>
              <w:top w:val="nil" w:sz="6" w:space="0" w:color="auto"/>
              <w:left w:val="single" w:sz="4" w:space="0" w:color="000000"/>
              <w:bottom w:val="single" w:sz="4" w:space="0" w:color="000000"/>
              <w:right w:val="single" w:sz="4" w:space="0" w:color="000000"/>
            </w:tcBorders>
            <w:shd w:val="clear" w:color="auto" w:fill="D3D3D3"/>
          </w:tcPr>
          <w:p>
            <w:pPr/>
          </w:p>
        </w:tc>
        <w:tc>
          <w:tcPr>
            <w:tcW w:w="1076" w:type="dxa"/>
            <w:vMerge/>
            <w:tcBorders>
              <w:left w:val="single" w:sz="4" w:space="0" w:color="000000"/>
              <w:bottom w:val="single" w:sz="4" w:space="0" w:color="000000"/>
              <w:right w:val="single" w:sz="4" w:space="0" w:color="000000"/>
            </w:tcBorders>
            <w:shd w:val="clear" w:color="auto" w:fill="D3D3D3"/>
          </w:tcPr>
          <w:p>
            <w:pPr/>
          </w:p>
        </w:tc>
        <w:tc>
          <w:tcPr>
            <w:tcW w:w="779" w:type="dxa"/>
            <w:vMerge/>
            <w:tcBorders>
              <w:left w:val="single" w:sz="4" w:space="0" w:color="000000"/>
              <w:bottom w:val="single" w:sz="4" w:space="0" w:color="000000"/>
              <w:right w:val="single" w:sz="4" w:space="0" w:color="000000"/>
            </w:tcBorders>
            <w:shd w:val="clear" w:color="auto" w:fill="D3D3D3"/>
          </w:tcPr>
          <w:p>
            <w:pPr/>
          </w:p>
        </w:tc>
        <w:tc>
          <w:tcPr>
            <w:tcW w:w="868" w:type="dxa"/>
            <w:vMerge/>
            <w:tcBorders>
              <w:left w:val="single" w:sz="4" w:space="0" w:color="000000"/>
              <w:bottom w:val="single" w:sz="4" w:space="0" w:color="000000"/>
              <w:right w:val="single" w:sz="4" w:space="0" w:color="000000"/>
            </w:tcBorders>
            <w:shd w:val="clear" w:color="auto" w:fill="D3D3D3"/>
          </w:tcPr>
          <w:p>
            <w:pPr/>
          </w:p>
        </w:tc>
        <w:tc>
          <w:tcPr>
            <w:tcW w:w="550" w:type="dxa"/>
            <w:vMerge/>
            <w:tcBorders>
              <w:left w:val="single" w:sz="4" w:space="0" w:color="000000"/>
              <w:bottom w:val="single" w:sz="4" w:space="0" w:color="000000"/>
              <w:right w:val="single" w:sz="4" w:space="0" w:color="000000"/>
            </w:tcBorders>
            <w:shd w:val="clear" w:color="auto" w:fill="D3D3D3"/>
          </w:tcPr>
          <w:p>
            <w:pPr/>
          </w:p>
        </w:tc>
        <w:tc>
          <w:tcPr>
            <w:tcW w:w="991" w:type="dxa"/>
            <w:vMerge/>
            <w:tcBorders>
              <w:left w:val="single" w:sz="4" w:space="0" w:color="000000"/>
              <w:bottom w:val="single" w:sz="4" w:space="0" w:color="000000"/>
              <w:right w:val="single" w:sz="4" w:space="0" w:color="000000"/>
            </w:tcBorders>
            <w:shd w:val="clear" w:color="auto" w:fill="D3D3D3"/>
          </w:tcPr>
          <w:p>
            <w:pPr/>
          </w:p>
        </w:tc>
        <w:tc>
          <w:tcPr>
            <w:tcW w:w="925" w:type="dxa"/>
            <w:vMerge/>
            <w:tcBorders>
              <w:left w:val="single" w:sz="4" w:space="0" w:color="000000"/>
              <w:bottom w:val="single" w:sz="4" w:space="0" w:color="000000"/>
              <w:right w:val="single" w:sz="4" w:space="0" w:color="000000"/>
            </w:tcBorders>
            <w:shd w:val="clear" w:color="auto" w:fill="D3D3D3"/>
          </w:tcPr>
          <w:p>
            <w:pPr/>
          </w:p>
        </w:tc>
        <w:tc>
          <w:tcPr>
            <w:tcW w:w="990" w:type="dxa"/>
            <w:vMerge/>
            <w:tcBorders>
              <w:left w:val="single" w:sz="4" w:space="0" w:color="000000"/>
              <w:bottom w:val="single" w:sz="4" w:space="0" w:color="000000"/>
              <w:right w:val="single" w:sz="4" w:space="0" w:color="000000"/>
            </w:tcBorders>
            <w:shd w:val="clear" w:color="auto" w:fill="D3D3D3"/>
          </w:tcPr>
          <w:p>
            <w:pPr/>
          </w:p>
        </w:tc>
        <w:tc>
          <w:tcPr>
            <w:tcW w:w="1134" w:type="dxa"/>
            <w:vMerge/>
            <w:tcBorders>
              <w:left w:val="single" w:sz="4" w:space="0" w:color="000000"/>
              <w:bottom w:val="single" w:sz="4" w:space="0" w:color="000000"/>
              <w:right w:val="single" w:sz="4" w:space="0" w:color="000000"/>
            </w:tcBorders>
            <w:shd w:val="clear" w:color="auto" w:fill="D3D3D3"/>
          </w:tcPr>
          <w:p>
            <w:pPr/>
          </w:p>
        </w:tc>
        <w:tc>
          <w:tcPr>
            <w:tcW w:w="78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7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175,473,844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28.20%</w:t>
            </w:r>
          </w:p>
        </w:tc>
        <w:tc>
          <w:tcPr>
            <w:tcW w:w="86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-22,417,114</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-22,417,114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153,056,730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24.60%</w:t>
            </w:r>
          </w:p>
        </w:tc>
      </w:tr>
      <w:tr>
        <w:trPr>
          <w:trHeight w:val="402" w:hRule="exact"/>
        </w:trPr>
        <w:tc>
          <w:tcPr>
            <w:tcW w:w="1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7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175,473,844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28.20%</w:t>
            </w:r>
          </w:p>
        </w:tc>
        <w:tc>
          <w:tcPr>
            <w:tcW w:w="86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-22,417,114</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-22,417,114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153,056,730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24.60%</w:t>
            </w:r>
          </w:p>
        </w:tc>
      </w:tr>
      <w:tr>
        <w:trPr>
          <w:trHeight w:val="402" w:hRule="exact"/>
        </w:trPr>
        <w:tc>
          <w:tcPr>
            <w:tcW w:w="1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7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175,473,844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28.20%</w:t>
            </w:r>
          </w:p>
        </w:tc>
        <w:tc>
          <w:tcPr>
            <w:tcW w:w="86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-22,417,114</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-22,417,114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153,056,730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24.60%</w:t>
            </w:r>
          </w:p>
        </w:tc>
      </w:tr>
      <w:tr>
        <w:trPr>
          <w:trHeight w:val="402" w:hRule="exact"/>
        </w:trPr>
        <w:tc>
          <w:tcPr>
            <w:tcW w:w="1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7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446,726,156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71.79%</w:t>
            </w:r>
          </w:p>
        </w:tc>
        <w:tc>
          <w:tcPr>
            <w:tcW w:w="86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22,417,114</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22,417,114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469,143,270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75.40%</w:t>
            </w:r>
          </w:p>
        </w:tc>
      </w:tr>
      <w:tr>
        <w:trPr>
          <w:trHeight w:val="402" w:hRule="exact"/>
        </w:trPr>
        <w:tc>
          <w:tcPr>
            <w:tcW w:w="1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7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446,726,156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71.79%</w:t>
            </w:r>
          </w:p>
        </w:tc>
        <w:tc>
          <w:tcPr>
            <w:tcW w:w="86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22,417,114</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22,417,114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469,143,270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75.40%</w:t>
            </w:r>
          </w:p>
        </w:tc>
      </w:tr>
      <w:tr>
        <w:trPr>
          <w:trHeight w:val="402" w:hRule="exact"/>
        </w:trPr>
        <w:tc>
          <w:tcPr>
            <w:tcW w:w="1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7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622,200,000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86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622,200,000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314" w:right="590"/>
        <w:jc w:val="left"/>
      </w:pPr>
      <w:r>
        <w:rPr/>
        <w:t>股份变动的原因</w:t>
      </w:r>
    </w:p>
    <w:p>
      <w:pPr>
        <w:pStyle w:val="BodyText"/>
        <w:spacing w:line="338" w:lineRule="auto" w:before="117"/>
        <w:ind w:left="314" w:right="83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股份变动的批准情况</w:t>
      </w:r>
    </w:p>
    <w:p>
      <w:pPr>
        <w:pStyle w:val="BodyText"/>
        <w:spacing w:line="340" w:lineRule="auto" w:before="42"/>
        <w:ind w:left="314" w:right="83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38" w:lineRule="auto" w:before="40"/>
        <w:ind w:left="314" w:right="5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3"/>
        <w:ind w:left="314" w:right="59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2"/>
        <w:ind w:left="314" w:right="5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left="314" w:right="59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314" w:right="5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left="314" w:right="590"/>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314" w:right="59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314" w:right="5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314" w:right="59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314" w:right="5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82" w:top="1100" w:bottom="1180" w:left="820" w:right="800"/>
        </w:sectPr>
      </w:pPr>
    </w:p>
    <w:p>
      <w:pPr>
        <w:spacing w:line="240" w:lineRule="auto" w:before="9"/>
        <w:rPr>
          <w:rFonts w:ascii="宋体" w:hAnsi="宋体" w:cs="宋体" w:eastAsia="宋体" w:hint="default"/>
          <w:sz w:val="20"/>
          <w:szCs w:val="20"/>
        </w:rPr>
      </w:pPr>
    </w:p>
    <w:p>
      <w:pPr>
        <w:pStyle w:val="Heading3"/>
        <w:spacing w:line="240" w:lineRule="auto" w:before="35"/>
        <w:ind w:right="1258"/>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258"/>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258"/>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35"/>
        <w:gridCol w:w="1168"/>
        <w:gridCol w:w="149"/>
        <w:gridCol w:w="329"/>
        <w:gridCol w:w="521"/>
        <w:gridCol w:w="175"/>
        <w:gridCol w:w="879"/>
        <w:gridCol w:w="339"/>
        <w:gridCol w:w="449"/>
        <w:gridCol w:w="724"/>
        <w:gridCol w:w="270"/>
        <w:gridCol w:w="633"/>
        <w:gridCol w:w="317"/>
        <w:gridCol w:w="184"/>
        <w:gridCol w:w="848"/>
        <w:gridCol w:w="140"/>
        <w:gridCol w:w="1207"/>
      </w:tblGrid>
      <w:tr>
        <w:trPr>
          <w:trHeight w:val="161" w:hRule="exact"/>
        </w:trPr>
        <w:tc>
          <w:tcPr>
            <w:tcW w:w="1235" w:type="dxa"/>
            <w:vMerge w:val="restart"/>
            <w:tcBorders>
              <w:top w:val="single" w:sz="4" w:space="0" w:color="000000"/>
              <w:left w:val="single" w:sz="4" w:space="0" w:color="000000"/>
              <w:right w:val="single" w:sz="4" w:space="0" w:color="000000"/>
            </w:tcBorders>
            <w:shd w:val="clear" w:color="auto" w:fill="D3D3D3"/>
          </w:tcPr>
          <w:p>
            <w:pPr/>
          </w:p>
        </w:tc>
        <w:tc>
          <w:tcPr>
            <w:tcW w:w="1168" w:type="dxa"/>
            <w:vMerge w:val="restart"/>
            <w:tcBorders>
              <w:top w:val="single" w:sz="4" w:space="0" w:color="000000"/>
              <w:left w:val="single" w:sz="10" w:space="0" w:color="D3D3D3"/>
              <w:right w:val="single" w:sz="9"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21" w:right="0"/>
              <w:jc w:val="left"/>
              <w:rPr>
                <w:rFonts w:ascii="Times New Roman" w:hAnsi="Times New Roman" w:cs="Times New Roman" w:eastAsia="Times New Roman" w:hint="default"/>
                <w:sz w:val="18"/>
                <w:szCs w:val="18"/>
              </w:rPr>
            </w:pPr>
            <w:r>
              <w:rPr>
                <w:rFonts w:ascii="Times New Roman"/>
                <w:sz w:val="18"/>
              </w:rPr>
              <w:t>84,456</w:t>
            </w:r>
          </w:p>
        </w:tc>
        <w:tc>
          <w:tcPr>
            <w:tcW w:w="1174" w:type="dxa"/>
            <w:gridSpan w:val="4"/>
            <w:vMerge w:val="restart"/>
            <w:tcBorders>
              <w:top w:val="single" w:sz="4" w:space="0" w:color="000000"/>
              <w:left w:val="single" w:sz="4" w:space="0" w:color="000000"/>
              <w:right w:val="single" w:sz="4" w:space="0" w:color="000000"/>
            </w:tcBorders>
            <w:shd w:val="clear" w:color="auto" w:fill="D3D3D3"/>
          </w:tcPr>
          <w:p>
            <w:pPr/>
          </w:p>
        </w:tc>
        <w:tc>
          <w:tcPr>
            <w:tcW w:w="1218" w:type="dxa"/>
            <w:gridSpan w:val="2"/>
            <w:vMerge w:val="restart"/>
            <w:tcBorders>
              <w:top w:val="single" w:sz="4" w:space="0" w:color="000000"/>
              <w:left w:val="single" w:sz="9" w:space="0" w:color="D3D3D3"/>
              <w:right w:val="single" w:sz="9"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1" w:right="0"/>
              <w:jc w:val="left"/>
              <w:rPr>
                <w:rFonts w:ascii="Times New Roman" w:hAnsi="Times New Roman" w:cs="Times New Roman" w:eastAsia="Times New Roman" w:hint="default"/>
                <w:sz w:val="18"/>
                <w:szCs w:val="18"/>
              </w:rPr>
            </w:pPr>
            <w:r>
              <w:rPr>
                <w:rFonts w:ascii="Times New Roman"/>
                <w:sz w:val="18"/>
              </w:rPr>
              <w:t>84,937</w:t>
            </w:r>
          </w:p>
        </w:tc>
        <w:tc>
          <w:tcPr>
            <w:tcW w:w="1173"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1220" w:type="dxa"/>
            <w:gridSpan w:val="3"/>
            <w:vMerge w:val="restart"/>
            <w:tcBorders>
              <w:top w:val="single" w:sz="4" w:space="0" w:color="000000"/>
              <w:left w:val="single" w:sz="9" w:space="0" w:color="D3D3D3"/>
              <w:right w:val="single" w:sz="9"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1173"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0"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235" w:type="dxa"/>
            <w:vMerge/>
            <w:tcBorders>
              <w:left w:val="single" w:sz="4" w:space="0" w:color="000000"/>
              <w:right w:val="single" w:sz="4" w:space="0" w:color="000000"/>
            </w:tcBorders>
            <w:shd w:val="clear" w:color="auto" w:fill="D3D3D3"/>
          </w:tcPr>
          <w:p>
            <w:pPr/>
          </w:p>
        </w:tc>
        <w:tc>
          <w:tcPr>
            <w:tcW w:w="1168" w:type="dxa"/>
            <w:vMerge/>
            <w:tcBorders>
              <w:left w:val="single" w:sz="10" w:space="0" w:color="D3D3D3"/>
              <w:right w:val="single" w:sz="9" w:space="0" w:color="D3D3D3"/>
            </w:tcBorders>
          </w:tcPr>
          <w:p>
            <w:pPr/>
          </w:p>
        </w:tc>
        <w:tc>
          <w:tcPr>
            <w:tcW w:w="1174" w:type="dxa"/>
            <w:gridSpan w:val="4"/>
            <w:vMerge/>
            <w:tcBorders>
              <w:left w:val="single" w:sz="4" w:space="0" w:color="000000"/>
              <w:bottom w:val="nil" w:sz="6" w:space="0" w:color="auto"/>
              <w:right w:val="single" w:sz="4" w:space="0" w:color="000000"/>
            </w:tcBorders>
            <w:shd w:val="clear" w:color="auto" w:fill="D3D3D3"/>
          </w:tcPr>
          <w:p>
            <w:pPr/>
          </w:p>
        </w:tc>
        <w:tc>
          <w:tcPr>
            <w:tcW w:w="1218" w:type="dxa"/>
            <w:gridSpan w:val="2"/>
            <w:vMerge/>
            <w:tcBorders>
              <w:left w:val="single" w:sz="9" w:space="0" w:color="D3D3D3"/>
              <w:right w:val="single" w:sz="9" w:space="0" w:color="D3D3D3"/>
            </w:tcBorders>
          </w:tcPr>
          <w:p>
            <w:pPr/>
          </w:p>
        </w:tc>
        <w:tc>
          <w:tcPr>
            <w:tcW w:w="1173"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11" w:right="7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10"/>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20" w:type="dxa"/>
            <w:gridSpan w:val="3"/>
            <w:vMerge/>
            <w:tcBorders>
              <w:left w:val="single" w:sz="9" w:space="0" w:color="D3D3D3"/>
              <w:right w:val="single" w:sz="9" w:space="0" w:color="D3D3D3"/>
            </w:tcBorders>
          </w:tcPr>
          <w:p>
            <w:pPr/>
          </w:p>
        </w:tc>
        <w:tc>
          <w:tcPr>
            <w:tcW w:w="1173" w:type="dxa"/>
            <w:gridSpan w:val="3"/>
            <w:vMerge/>
            <w:tcBorders>
              <w:left w:val="single" w:sz="4" w:space="0" w:color="000000"/>
              <w:right w:val="single" w:sz="4" w:space="0" w:color="000000"/>
            </w:tcBorders>
            <w:shd w:val="clear" w:color="auto" w:fill="D3D3D3"/>
          </w:tcPr>
          <w:p>
            <w:pPr/>
          </w:p>
        </w:tc>
        <w:tc>
          <w:tcPr>
            <w:tcW w:w="1207" w:type="dxa"/>
            <w:vMerge/>
            <w:tcBorders>
              <w:left w:val="single" w:sz="10" w:space="0" w:color="D3D3D3"/>
              <w:right w:val="single" w:sz="4" w:space="0" w:color="000000"/>
            </w:tcBorders>
          </w:tcPr>
          <w:p>
            <w:pPr/>
          </w:p>
        </w:tc>
      </w:tr>
      <w:tr>
        <w:trPr>
          <w:trHeight w:val="312" w:hRule="exact"/>
        </w:trPr>
        <w:tc>
          <w:tcPr>
            <w:tcW w:w="1235" w:type="dxa"/>
            <w:vMerge/>
            <w:tcBorders>
              <w:left w:val="single" w:sz="4" w:space="0" w:color="000000"/>
              <w:bottom w:val="nil" w:sz="6" w:space="0" w:color="auto"/>
              <w:right w:val="single" w:sz="4" w:space="0" w:color="000000"/>
            </w:tcBorders>
            <w:shd w:val="clear" w:color="auto" w:fill="D3D3D3"/>
          </w:tcPr>
          <w:p>
            <w:pPr/>
          </w:p>
        </w:tc>
        <w:tc>
          <w:tcPr>
            <w:tcW w:w="1168" w:type="dxa"/>
            <w:vMerge/>
            <w:tcBorders>
              <w:left w:val="single" w:sz="10" w:space="0" w:color="D3D3D3"/>
              <w:right w:val="single" w:sz="9" w:space="0" w:color="D3D3D3"/>
            </w:tcBorders>
          </w:tcPr>
          <w:p>
            <w:pPr/>
          </w:p>
        </w:tc>
        <w:tc>
          <w:tcPr>
            <w:tcW w:w="1174" w:type="dxa"/>
            <w:gridSpan w:val="4"/>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2"/>
            <w:vMerge/>
            <w:tcBorders>
              <w:left w:val="single" w:sz="9" w:space="0" w:color="D3D3D3"/>
              <w:right w:val="single" w:sz="9" w:space="0" w:color="D3D3D3"/>
            </w:tcBorders>
          </w:tcPr>
          <w:p>
            <w:pPr/>
          </w:p>
        </w:tc>
        <w:tc>
          <w:tcPr>
            <w:tcW w:w="1173" w:type="dxa"/>
            <w:gridSpan w:val="2"/>
            <w:vMerge/>
            <w:tcBorders>
              <w:left w:val="single" w:sz="4" w:space="0" w:color="000000"/>
              <w:right w:val="single" w:sz="4" w:space="0" w:color="000000"/>
            </w:tcBorders>
            <w:shd w:val="clear" w:color="auto" w:fill="D3D3D3"/>
          </w:tcPr>
          <w:p>
            <w:pPr/>
          </w:p>
        </w:tc>
        <w:tc>
          <w:tcPr>
            <w:tcW w:w="1220" w:type="dxa"/>
            <w:gridSpan w:val="3"/>
            <w:vMerge/>
            <w:tcBorders>
              <w:left w:val="single" w:sz="9" w:space="0" w:color="D3D3D3"/>
              <w:right w:val="single" w:sz="9" w:space="0" w:color="D3D3D3"/>
            </w:tcBorders>
          </w:tcPr>
          <w:p>
            <w:pPr/>
          </w:p>
        </w:tc>
        <w:tc>
          <w:tcPr>
            <w:tcW w:w="1173" w:type="dxa"/>
            <w:gridSpan w:val="3"/>
            <w:vMerge/>
            <w:tcBorders>
              <w:left w:val="single" w:sz="4" w:space="0" w:color="000000"/>
              <w:right w:val="single" w:sz="4" w:space="0" w:color="000000"/>
            </w:tcBorders>
            <w:shd w:val="clear" w:color="auto" w:fill="D3D3D3"/>
          </w:tcPr>
          <w:p>
            <w:pPr/>
          </w:p>
        </w:tc>
        <w:tc>
          <w:tcPr>
            <w:tcW w:w="1207" w:type="dxa"/>
            <w:vMerge/>
            <w:tcBorders>
              <w:left w:val="single" w:sz="10" w:space="0" w:color="D3D3D3"/>
              <w:right w:val="single" w:sz="4" w:space="0" w:color="000000"/>
            </w:tcBorders>
          </w:tcPr>
          <w:p>
            <w:pPr/>
          </w:p>
        </w:tc>
      </w:tr>
      <w:tr>
        <w:trPr>
          <w:trHeight w:val="704" w:hRule="exact"/>
        </w:trPr>
        <w:tc>
          <w:tcPr>
            <w:tcW w:w="12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68" w:type="dxa"/>
            <w:vMerge/>
            <w:tcBorders>
              <w:left w:val="single" w:sz="10" w:space="0" w:color="D3D3D3"/>
              <w:right w:val="single" w:sz="9" w:space="0" w:color="D3D3D3"/>
            </w:tcBorders>
          </w:tcPr>
          <w:p>
            <w:pPr/>
          </w:p>
        </w:tc>
        <w:tc>
          <w:tcPr>
            <w:tcW w:w="1174" w:type="dxa"/>
            <w:gridSpan w:val="4"/>
            <w:vMerge/>
            <w:tcBorders>
              <w:left w:val="single" w:sz="4" w:space="0" w:color="000000"/>
              <w:right w:val="single" w:sz="4" w:space="0" w:color="000000"/>
            </w:tcBorders>
            <w:shd w:val="clear" w:color="auto" w:fill="D3D3D3"/>
          </w:tcPr>
          <w:p>
            <w:pPr/>
          </w:p>
        </w:tc>
        <w:tc>
          <w:tcPr>
            <w:tcW w:w="1218" w:type="dxa"/>
            <w:gridSpan w:val="2"/>
            <w:vMerge/>
            <w:tcBorders>
              <w:left w:val="single" w:sz="9" w:space="0" w:color="D3D3D3"/>
              <w:right w:val="single" w:sz="9" w:space="0" w:color="D3D3D3"/>
            </w:tcBorders>
          </w:tcPr>
          <w:p>
            <w:pPr/>
          </w:p>
        </w:tc>
        <w:tc>
          <w:tcPr>
            <w:tcW w:w="1173" w:type="dxa"/>
            <w:gridSpan w:val="2"/>
            <w:vMerge/>
            <w:tcBorders>
              <w:left w:val="single" w:sz="4" w:space="0" w:color="000000"/>
              <w:right w:val="single" w:sz="4" w:space="0" w:color="000000"/>
            </w:tcBorders>
            <w:shd w:val="clear" w:color="auto" w:fill="D3D3D3"/>
          </w:tcPr>
          <w:p>
            <w:pPr/>
          </w:p>
        </w:tc>
        <w:tc>
          <w:tcPr>
            <w:tcW w:w="1220" w:type="dxa"/>
            <w:gridSpan w:val="3"/>
            <w:vMerge/>
            <w:tcBorders>
              <w:left w:val="single" w:sz="9" w:space="0" w:color="D3D3D3"/>
              <w:right w:val="single" w:sz="9" w:space="0" w:color="D3D3D3"/>
            </w:tcBorders>
          </w:tcPr>
          <w:p>
            <w:pPr/>
          </w:p>
        </w:tc>
        <w:tc>
          <w:tcPr>
            <w:tcW w:w="1173" w:type="dxa"/>
            <w:gridSpan w:val="3"/>
            <w:vMerge/>
            <w:tcBorders>
              <w:left w:val="single" w:sz="4" w:space="0" w:color="000000"/>
              <w:right w:val="single" w:sz="4" w:space="0" w:color="000000"/>
            </w:tcBorders>
            <w:shd w:val="clear" w:color="auto" w:fill="D3D3D3"/>
          </w:tcPr>
          <w:p>
            <w:pPr/>
          </w:p>
        </w:tc>
        <w:tc>
          <w:tcPr>
            <w:tcW w:w="1207" w:type="dxa"/>
            <w:vMerge/>
            <w:tcBorders>
              <w:left w:val="single" w:sz="10" w:space="0" w:color="D3D3D3"/>
              <w:right w:val="single" w:sz="4" w:space="0" w:color="000000"/>
            </w:tcBorders>
          </w:tcPr>
          <w:p>
            <w:pPr/>
          </w:p>
        </w:tc>
      </w:tr>
      <w:tr>
        <w:trPr>
          <w:trHeight w:val="312" w:hRule="exact"/>
        </w:trPr>
        <w:tc>
          <w:tcPr>
            <w:tcW w:w="1235" w:type="dxa"/>
            <w:vMerge w:val="restart"/>
            <w:tcBorders>
              <w:top w:val="nil" w:sz="6" w:space="0" w:color="auto"/>
              <w:left w:val="single" w:sz="4" w:space="0" w:color="000000"/>
              <w:right w:val="single" w:sz="4" w:space="0" w:color="000000"/>
            </w:tcBorders>
            <w:shd w:val="clear" w:color="auto" w:fill="D3D3D3"/>
          </w:tcPr>
          <w:p>
            <w:pPr/>
          </w:p>
        </w:tc>
        <w:tc>
          <w:tcPr>
            <w:tcW w:w="1168" w:type="dxa"/>
            <w:vMerge/>
            <w:tcBorders>
              <w:left w:val="single" w:sz="10" w:space="0" w:color="D3D3D3"/>
              <w:right w:val="single" w:sz="9" w:space="0" w:color="D3D3D3"/>
            </w:tcBorders>
          </w:tcPr>
          <w:p>
            <w:pPr/>
          </w:p>
        </w:tc>
        <w:tc>
          <w:tcPr>
            <w:tcW w:w="1174" w:type="dxa"/>
            <w:gridSpan w:val="4"/>
            <w:vMerge/>
            <w:tcBorders>
              <w:left w:val="single" w:sz="4" w:space="0" w:color="000000"/>
              <w:bottom w:val="nil" w:sz="6" w:space="0" w:color="auto"/>
              <w:right w:val="single" w:sz="4" w:space="0" w:color="000000"/>
            </w:tcBorders>
            <w:shd w:val="clear" w:color="auto" w:fill="D3D3D3"/>
          </w:tcPr>
          <w:p>
            <w:pPr/>
          </w:p>
        </w:tc>
        <w:tc>
          <w:tcPr>
            <w:tcW w:w="1218" w:type="dxa"/>
            <w:gridSpan w:val="2"/>
            <w:vMerge/>
            <w:tcBorders>
              <w:left w:val="single" w:sz="9" w:space="0" w:color="D3D3D3"/>
              <w:right w:val="single" w:sz="9" w:space="0" w:color="D3D3D3"/>
            </w:tcBorders>
          </w:tcPr>
          <w:p>
            <w:pPr/>
          </w:p>
        </w:tc>
        <w:tc>
          <w:tcPr>
            <w:tcW w:w="1173" w:type="dxa"/>
            <w:gridSpan w:val="2"/>
            <w:vMerge/>
            <w:tcBorders>
              <w:left w:val="single" w:sz="4" w:space="0" w:color="000000"/>
              <w:right w:val="single" w:sz="4" w:space="0" w:color="000000"/>
            </w:tcBorders>
            <w:shd w:val="clear" w:color="auto" w:fill="D3D3D3"/>
          </w:tcPr>
          <w:p>
            <w:pPr/>
          </w:p>
        </w:tc>
        <w:tc>
          <w:tcPr>
            <w:tcW w:w="1220" w:type="dxa"/>
            <w:gridSpan w:val="3"/>
            <w:vMerge/>
            <w:tcBorders>
              <w:left w:val="single" w:sz="9" w:space="0" w:color="D3D3D3"/>
              <w:right w:val="single" w:sz="9" w:space="0" w:color="D3D3D3"/>
            </w:tcBorders>
          </w:tcPr>
          <w:p>
            <w:pPr/>
          </w:p>
        </w:tc>
        <w:tc>
          <w:tcPr>
            <w:tcW w:w="1173" w:type="dxa"/>
            <w:gridSpan w:val="3"/>
            <w:vMerge/>
            <w:tcBorders>
              <w:left w:val="single" w:sz="4" w:space="0" w:color="000000"/>
              <w:right w:val="single" w:sz="4" w:space="0" w:color="000000"/>
            </w:tcBorders>
            <w:shd w:val="clear" w:color="auto" w:fill="D3D3D3"/>
          </w:tcPr>
          <w:p>
            <w:pPr/>
          </w:p>
        </w:tc>
        <w:tc>
          <w:tcPr>
            <w:tcW w:w="1207" w:type="dxa"/>
            <w:vMerge/>
            <w:tcBorders>
              <w:left w:val="single" w:sz="10" w:space="0" w:color="D3D3D3"/>
              <w:right w:val="single" w:sz="4" w:space="0" w:color="000000"/>
            </w:tcBorders>
          </w:tcPr>
          <w:p>
            <w:pPr/>
          </w:p>
        </w:tc>
      </w:tr>
      <w:tr>
        <w:trPr>
          <w:trHeight w:val="156" w:hRule="exact"/>
        </w:trPr>
        <w:tc>
          <w:tcPr>
            <w:tcW w:w="1235" w:type="dxa"/>
            <w:vMerge/>
            <w:tcBorders>
              <w:left w:val="single" w:sz="4" w:space="0" w:color="000000"/>
              <w:right w:val="single" w:sz="4" w:space="0" w:color="000000"/>
            </w:tcBorders>
            <w:shd w:val="clear" w:color="auto" w:fill="D3D3D3"/>
          </w:tcPr>
          <w:p>
            <w:pPr/>
          </w:p>
        </w:tc>
        <w:tc>
          <w:tcPr>
            <w:tcW w:w="1168" w:type="dxa"/>
            <w:vMerge/>
            <w:tcBorders>
              <w:left w:val="single" w:sz="10" w:space="0" w:color="D3D3D3"/>
              <w:right w:val="single" w:sz="9" w:space="0" w:color="D3D3D3"/>
            </w:tcBorders>
          </w:tcPr>
          <w:p>
            <w:pPr/>
          </w:p>
        </w:tc>
        <w:tc>
          <w:tcPr>
            <w:tcW w:w="1174" w:type="dxa"/>
            <w:gridSpan w:val="4"/>
            <w:vMerge w:val="restart"/>
            <w:tcBorders>
              <w:top w:val="nil" w:sz="6" w:space="0" w:color="auto"/>
              <w:left w:val="single" w:sz="4" w:space="0" w:color="000000"/>
              <w:right w:val="single" w:sz="4" w:space="0" w:color="000000"/>
            </w:tcBorders>
            <w:shd w:val="clear" w:color="auto" w:fill="D3D3D3"/>
          </w:tcPr>
          <w:p>
            <w:pPr/>
          </w:p>
        </w:tc>
        <w:tc>
          <w:tcPr>
            <w:tcW w:w="1218" w:type="dxa"/>
            <w:gridSpan w:val="2"/>
            <w:vMerge/>
            <w:tcBorders>
              <w:left w:val="single" w:sz="9" w:space="0" w:color="D3D3D3"/>
              <w:right w:val="single" w:sz="9" w:space="0" w:color="D3D3D3"/>
            </w:tcBorders>
          </w:tcPr>
          <w:p>
            <w:pPr/>
          </w:p>
        </w:tc>
        <w:tc>
          <w:tcPr>
            <w:tcW w:w="1173" w:type="dxa"/>
            <w:gridSpan w:val="2"/>
            <w:vMerge/>
            <w:tcBorders>
              <w:left w:val="single" w:sz="4" w:space="0" w:color="000000"/>
              <w:bottom w:val="nil" w:sz="6" w:space="0" w:color="auto"/>
              <w:right w:val="single" w:sz="4" w:space="0" w:color="000000"/>
            </w:tcBorders>
            <w:shd w:val="clear" w:color="auto" w:fill="D3D3D3"/>
          </w:tcPr>
          <w:p>
            <w:pPr/>
          </w:p>
        </w:tc>
        <w:tc>
          <w:tcPr>
            <w:tcW w:w="1220" w:type="dxa"/>
            <w:gridSpan w:val="3"/>
            <w:vMerge/>
            <w:tcBorders>
              <w:left w:val="single" w:sz="9" w:space="0" w:color="D3D3D3"/>
              <w:right w:val="single" w:sz="9" w:space="0" w:color="D3D3D3"/>
            </w:tcBorders>
          </w:tcPr>
          <w:p>
            <w:pPr/>
          </w:p>
        </w:tc>
        <w:tc>
          <w:tcPr>
            <w:tcW w:w="1173" w:type="dxa"/>
            <w:gridSpan w:val="3"/>
            <w:vMerge/>
            <w:tcBorders>
              <w:left w:val="single" w:sz="4" w:space="0" w:color="000000"/>
              <w:right w:val="single" w:sz="4" w:space="0" w:color="000000"/>
            </w:tcBorders>
            <w:shd w:val="clear" w:color="auto" w:fill="D3D3D3"/>
          </w:tcPr>
          <w:p>
            <w:pPr/>
          </w:p>
        </w:tc>
        <w:tc>
          <w:tcPr>
            <w:tcW w:w="1207" w:type="dxa"/>
            <w:vMerge/>
            <w:tcBorders>
              <w:left w:val="single" w:sz="10" w:space="0" w:color="D3D3D3"/>
              <w:right w:val="single" w:sz="4" w:space="0" w:color="000000"/>
            </w:tcBorders>
          </w:tcPr>
          <w:p>
            <w:pPr/>
          </w:p>
        </w:tc>
      </w:tr>
      <w:tr>
        <w:trPr>
          <w:trHeight w:val="161" w:hRule="exact"/>
        </w:trPr>
        <w:tc>
          <w:tcPr>
            <w:tcW w:w="1235" w:type="dxa"/>
            <w:vMerge/>
            <w:tcBorders>
              <w:left w:val="single" w:sz="4" w:space="0" w:color="000000"/>
              <w:bottom w:val="single" w:sz="4" w:space="0" w:color="000000"/>
              <w:right w:val="single" w:sz="4" w:space="0" w:color="000000"/>
            </w:tcBorders>
            <w:shd w:val="clear" w:color="auto" w:fill="D3D3D3"/>
          </w:tcPr>
          <w:p>
            <w:pPr/>
          </w:p>
        </w:tc>
        <w:tc>
          <w:tcPr>
            <w:tcW w:w="1168" w:type="dxa"/>
            <w:vMerge/>
            <w:tcBorders>
              <w:left w:val="single" w:sz="10" w:space="0" w:color="D3D3D3"/>
              <w:bottom w:val="single" w:sz="4" w:space="0" w:color="000000"/>
              <w:right w:val="single" w:sz="9" w:space="0" w:color="D3D3D3"/>
            </w:tcBorders>
          </w:tcPr>
          <w:p>
            <w:pPr/>
          </w:p>
        </w:tc>
        <w:tc>
          <w:tcPr>
            <w:tcW w:w="1174" w:type="dxa"/>
            <w:gridSpan w:val="4"/>
            <w:vMerge/>
            <w:tcBorders>
              <w:left w:val="single" w:sz="4" w:space="0" w:color="000000"/>
              <w:bottom w:val="single" w:sz="4" w:space="0" w:color="000000"/>
              <w:right w:val="single" w:sz="4" w:space="0" w:color="000000"/>
            </w:tcBorders>
            <w:shd w:val="clear" w:color="auto" w:fill="D3D3D3"/>
          </w:tcPr>
          <w:p>
            <w:pPr/>
          </w:p>
        </w:tc>
        <w:tc>
          <w:tcPr>
            <w:tcW w:w="1218" w:type="dxa"/>
            <w:gridSpan w:val="2"/>
            <w:vMerge/>
            <w:tcBorders>
              <w:left w:val="single" w:sz="9" w:space="0" w:color="D3D3D3"/>
              <w:bottom w:val="single" w:sz="4" w:space="0" w:color="000000"/>
              <w:right w:val="single" w:sz="9" w:space="0" w:color="D3D3D3"/>
            </w:tcBorders>
          </w:tcPr>
          <w:p>
            <w:pPr/>
          </w:p>
        </w:tc>
        <w:tc>
          <w:tcPr>
            <w:tcW w:w="1173"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1220" w:type="dxa"/>
            <w:gridSpan w:val="3"/>
            <w:vMerge/>
            <w:tcBorders>
              <w:left w:val="single" w:sz="9" w:space="0" w:color="D3D3D3"/>
              <w:bottom w:val="single" w:sz="4" w:space="0" w:color="000000"/>
              <w:right w:val="single" w:sz="9" w:space="0" w:color="D3D3D3"/>
            </w:tcBorders>
          </w:tcPr>
          <w:p>
            <w:pPr/>
          </w:p>
        </w:tc>
        <w:tc>
          <w:tcPr>
            <w:tcW w:w="1173" w:type="dxa"/>
            <w:gridSpan w:val="3"/>
            <w:vMerge/>
            <w:tcBorders>
              <w:left w:val="single" w:sz="4" w:space="0" w:color="000000"/>
              <w:bottom w:val="single" w:sz="4" w:space="0" w:color="000000"/>
              <w:right w:val="single" w:sz="4" w:space="0" w:color="000000"/>
            </w:tcBorders>
            <w:shd w:val="clear" w:color="auto" w:fill="D3D3D3"/>
          </w:tcPr>
          <w:p>
            <w:pPr/>
          </w:p>
        </w:tc>
        <w:tc>
          <w:tcPr>
            <w:tcW w:w="1207" w:type="dxa"/>
            <w:vMerge/>
            <w:tcBorders>
              <w:left w:val="single" w:sz="10" w:space="0" w:color="D3D3D3"/>
              <w:bottom w:val="single" w:sz="4" w:space="0" w:color="000000"/>
              <w:right w:val="single" w:sz="4" w:space="0" w:color="000000"/>
            </w:tcBorders>
          </w:tcPr>
          <w:p>
            <w:pPr/>
          </w:p>
        </w:tc>
      </w:tr>
      <w:tr>
        <w:trPr>
          <w:trHeight w:val="402" w:hRule="exact"/>
        </w:trPr>
        <w:tc>
          <w:tcPr>
            <w:tcW w:w="9568" w:type="dxa"/>
            <w:gridSpan w:val="1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1" w:hRule="exact"/>
        </w:trPr>
        <w:tc>
          <w:tcPr>
            <w:tcW w:w="1235" w:type="dxa"/>
            <w:vMerge w:val="restart"/>
            <w:tcBorders>
              <w:top w:val="single" w:sz="4" w:space="0" w:color="000000"/>
              <w:left w:val="single" w:sz="4" w:space="0" w:color="000000"/>
              <w:right w:val="single" w:sz="4" w:space="0" w:color="000000"/>
            </w:tcBorders>
            <w:shd w:val="clear" w:color="auto" w:fill="D3D3D3"/>
          </w:tcPr>
          <w:p>
            <w:pPr/>
          </w:p>
        </w:tc>
        <w:tc>
          <w:tcPr>
            <w:tcW w:w="1317" w:type="dxa"/>
            <w:gridSpan w:val="2"/>
            <w:vMerge w:val="restart"/>
            <w:tcBorders>
              <w:top w:val="single" w:sz="4" w:space="0" w:color="000000"/>
              <w:left w:val="single" w:sz="4" w:space="0" w:color="000000"/>
              <w:right w:val="single" w:sz="4" w:space="0" w:color="000000"/>
            </w:tcBorders>
            <w:shd w:val="clear" w:color="auto" w:fill="D3D3D3"/>
          </w:tcPr>
          <w:p>
            <w:pPr/>
          </w:p>
        </w:tc>
        <w:tc>
          <w:tcPr>
            <w:tcW w:w="850" w:type="dxa"/>
            <w:gridSpan w:val="2"/>
            <w:vMerge w:val="restart"/>
            <w:tcBorders>
              <w:top w:val="single" w:sz="4" w:space="0" w:color="000000"/>
              <w:left w:val="single" w:sz="4" w:space="0" w:color="000000"/>
              <w:right w:val="single" w:sz="4" w:space="0" w:color="000000"/>
            </w:tcBorders>
            <w:shd w:val="clear" w:color="auto" w:fill="D3D3D3"/>
          </w:tcPr>
          <w:p>
            <w:pPr/>
          </w:p>
        </w:tc>
        <w:tc>
          <w:tcPr>
            <w:tcW w:w="1054"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78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9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40" w:right="4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3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1" w:right="110"/>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196"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235" w:type="dxa"/>
            <w:vMerge/>
            <w:tcBorders>
              <w:left w:val="single" w:sz="4" w:space="0" w:color="000000"/>
              <w:bottom w:val="nil" w:sz="6" w:space="0" w:color="auto"/>
              <w:right w:val="single" w:sz="4" w:space="0" w:color="000000"/>
            </w:tcBorders>
            <w:shd w:val="clear" w:color="auto" w:fill="D3D3D3"/>
          </w:tcPr>
          <w:p>
            <w:pPr/>
          </w:p>
        </w:tc>
        <w:tc>
          <w:tcPr>
            <w:tcW w:w="1317" w:type="dxa"/>
            <w:gridSpan w:val="2"/>
            <w:vMerge/>
            <w:tcBorders>
              <w:left w:val="single" w:sz="4" w:space="0" w:color="000000"/>
              <w:bottom w:val="nil" w:sz="6" w:space="0" w:color="auto"/>
              <w:right w:val="single" w:sz="4" w:space="0" w:color="000000"/>
            </w:tcBorders>
            <w:shd w:val="clear" w:color="auto" w:fill="D3D3D3"/>
          </w:tcPr>
          <w:p>
            <w:pPr/>
          </w:p>
        </w:tc>
        <w:tc>
          <w:tcPr>
            <w:tcW w:w="850" w:type="dxa"/>
            <w:gridSpan w:val="2"/>
            <w:vMerge/>
            <w:tcBorders>
              <w:left w:val="single" w:sz="4" w:space="0" w:color="000000"/>
              <w:bottom w:val="nil" w:sz="6" w:space="0" w:color="auto"/>
              <w:right w:val="single" w:sz="4" w:space="0" w:color="000000"/>
            </w:tcBorders>
            <w:shd w:val="clear" w:color="auto" w:fill="D3D3D3"/>
          </w:tcPr>
          <w:p>
            <w:pPr/>
          </w:p>
        </w:tc>
        <w:tc>
          <w:tcPr>
            <w:tcW w:w="1054"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50" w:right="7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788" w:type="dxa"/>
            <w:gridSpan w:val="2"/>
            <w:vMerge/>
            <w:tcBorders>
              <w:left w:val="single" w:sz="4" w:space="0" w:color="000000"/>
              <w:right w:val="single" w:sz="4" w:space="0" w:color="000000"/>
            </w:tcBorders>
            <w:shd w:val="clear" w:color="auto" w:fill="D3D3D3"/>
          </w:tcPr>
          <w:p>
            <w:pPr/>
          </w:p>
        </w:tc>
        <w:tc>
          <w:tcPr>
            <w:tcW w:w="994" w:type="dxa"/>
            <w:gridSpan w:val="2"/>
            <w:vMerge/>
            <w:tcBorders>
              <w:left w:val="single" w:sz="4" w:space="0" w:color="000000"/>
              <w:right w:val="single" w:sz="4" w:space="0" w:color="000000"/>
            </w:tcBorders>
            <w:shd w:val="clear" w:color="auto" w:fill="D3D3D3"/>
          </w:tcPr>
          <w:p>
            <w:pPr/>
          </w:p>
        </w:tc>
        <w:tc>
          <w:tcPr>
            <w:tcW w:w="1134" w:type="dxa"/>
            <w:gridSpan w:val="3"/>
            <w:vMerge/>
            <w:tcBorders>
              <w:left w:val="single" w:sz="4" w:space="0" w:color="000000"/>
              <w:right w:val="single" w:sz="4" w:space="0" w:color="000000"/>
            </w:tcBorders>
            <w:shd w:val="clear" w:color="auto" w:fill="D3D3D3"/>
          </w:tcPr>
          <w:p>
            <w:pPr/>
          </w:p>
        </w:tc>
        <w:tc>
          <w:tcPr>
            <w:tcW w:w="2196" w:type="dxa"/>
            <w:gridSpan w:val="3"/>
            <w:vMerge/>
            <w:tcBorders>
              <w:left w:val="single" w:sz="4" w:space="0" w:color="000000"/>
              <w:right w:val="single" w:sz="4" w:space="0" w:color="000000"/>
            </w:tcBorders>
            <w:shd w:val="clear" w:color="auto" w:fill="D3D3D3"/>
          </w:tcPr>
          <w:p>
            <w:pPr/>
          </w:p>
        </w:tc>
      </w:tr>
      <w:tr>
        <w:trPr>
          <w:trHeight w:val="140" w:hRule="exact"/>
        </w:trPr>
        <w:tc>
          <w:tcPr>
            <w:tcW w:w="123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17"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1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0"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54" w:type="dxa"/>
            <w:gridSpan w:val="2"/>
            <w:vMerge/>
            <w:tcBorders>
              <w:left w:val="single" w:sz="4" w:space="0" w:color="000000"/>
              <w:right w:val="single" w:sz="4" w:space="0" w:color="000000"/>
            </w:tcBorders>
            <w:shd w:val="clear" w:color="auto" w:fill="D3D3D3"/>
          </w:tcPr>
          <w:p>
            <w:pPr/>
          </w:p>
        </w:tc>
        <w:tc>
          <w:tcPr>
            <w:tcW w:w="788" w:type="dxa"/>
            <w:gridSpan w:val="2"/>
            <w:vMerge/>
            <w:tcBorders>
              <w:left w:val="single" w:sz="4" w:space="0" w:color="000000"/>
              <w:right w:val="single" w:sz="4" w:space="0" w:color="000000"/>
            </w:tcBorders>
            <w:shd w:val="clear" w:color="auto" w:fill="D3D3D3"/>
          </w:tcPr>
          <w:p>
            <w:pPr/>
          </w:p>
        </w:tc>
        <w:tc>
          <w:tcPr>
            <w:tcW w:w="994" w:type="dxa"/>
            <w:gridSpan w:val="2"/>
            <w:vMerge/>
            <w:tcBorders>
              <w:left w:val="single" w:sz="4" w:space="0" w:color="000000"/>
              <w:right w:val="single" w:sz="4" w:space="0" w:color="000000"/>
            </w:tcBorders>
            <w:shd w:val="clear" w:color="auto" w:fill="D3D3D3"/>
          </w:tcPr>
          <w:p>
            <w:pPr/>
          </w:p>
        </w:tc>
        <w:tc>
          <w:tcPr>
            <w:tcW w:w="1134" w:type="dxa"/>
            <w:gridSpan w:val="3"/>
            <w:vMerge/>
            <w:tcBorders>
              <w:left w:val="single" w:sz="4" w:space="0" w:color="000000"/>
              <w:right w:val="single" w:sz="4" w:space="0" w:color="000000"/>
            </w:tcBorders>
            <w:shd w:val="clear" w:color="auto" w:fill="D3D3D3"/>
          </w:tcPr>
          <w:p>
            <w:pPr/>
          </w:p>
        </w:tc>
        <w:tc>
          <w:tcPr>
            <w:tcW w:w="2196" w:type="dxa"/>
            <w:gridSpan w:val="3"/>
            <w:vMerge/>
            <w:tcBorders>
              <w:left w:val="single" w:sz="4" w:space="0" w:color="000000"/>
              <w:bottom w:val="single" w:sz="4" w:space="0" w:color="000000"/>
              <w:right w:val="single" w:sz="4" w:space="0" w:color="000000"/>
            </w:tcBorders>
            <w:shd w:val="clear" w:color="auto" w:fill="D3D3D3"/>
          </w:tcPr>
          <w:p>
            <w:pPr/>
          </w:p>
        </w:tc>
      </w:tr>
      <w:tr>
        <w:trPr>
          <w:trHeight w:val="252" w:hRule="exact"/>
        </w:trPr>
        <w:tc>
          <w:tcPr>
            <w:tcW w:w="1235" w:type="dxa"/>
            <w:vMerge/>
            <w:tcBorders>
              <w:left w:val="single" w:sz="4" w:space="0" w:color="000000"/>
              <w:bottom w:val="nil" w:sz="6" w:space="0" w:color="auto"/>
              <w:right w:val="single" w:sz="4" w:space="0" w:color="000000"/>
            </w:tcBorders>
            <w:shd w:val="clear" w:color="auto" w:fill="D3D3D3"/>
          </w:tcPr>
          <w:p>
            <w:pPr/>
          </w:p>
        </w:tc>
        <w:tc>
          <w:tcPr>
            <w:tcW w:w="1317" w:type="dxa"/>
            <w:gridSpan w:val="2"/>
            <w:vMerge/>
            <w:tcBorders>
              <w:left w:val="single" w:sz="4" w:space="0" w:color="000000"/>
              <w:bottom w:val="nil" w:sz="6" w:space="0" w:color="auto"/>
              <w:right w:val="single" w:sz="4" w:space="0" w:color="000000"/>
            </w:tcBorders>
            <w:shd w:val="clear" w:color="auto" w:fill="D3D3D3"/>
          </w:tcPr>
          <w:p>
            <w:pPr/>
          </w:p>
        </w:tc>
        <w:tc>
          <w:tcPr>
            <w:tcW w:w="850" w:type="dxa"/>
            <w:gridSpan w:val="2"/>
            <w:vMerge/>
            <w:tcBorders>
              <w:left w:val="single" w:sz="4" w:space="0" w:color="000000"/>
              <w:bottom w:val="nil" w:sz="6" w:space="0" w:color="auto"/>
              <w:right w:val="single" w:sz="4" w:space="0" w:color="000000"/>
            </w:tcBorders>
            <w:shd w:val="clear" w:color="auto" w:fill="D3D3D3"/>
          </w:tcPr>
          <w:p>
            <w:pPr/>
          </w:p>
        </w:tc>
        <w:tc>
          <w:tcPr>
            <w:tcW w:w="1054" w:type="dxa"/>
            <w:gridSpan w:val="2"/>
            <w:vMerge/>
            <w:tcBorders>
              <w:left w:val="single" w:sz="4" w:space="0" w:color="000000"/>
              <w:right w:val="single" w:sz="4" w:space="0" w:color="000000"/>
            </w:tcBorders>
            <w:shd w:val="clear" w:color="auto" w:fill="D3D3D3"/>
          </w:tcPr>
          <w:p>
            <w:pPr/>
          </w:p>
        </w:tc>
        <w:tc>
          <w:tcPr>
            <w:tcW w:w="788" w:type="dxa"/>
            <w:gridSpan w:val="2"/>
            <w:vMerge/>
            <w:tcBorders>
              <w:left w:val="single" w:sz="4" w:space="0" w:color="000000"/>
              <w:right w:val="single" w:sz="4" w:space="0" w:color="000000"/>
            </w:tcBorders>
            <w:shd w:val="clear" w:color="auto" w:fill="D3D3D3"/>
          </w:tcPr>
          <w:p>
            <w:pPr/>
          </w:p>
        </w:tc>
        <w:tc>
          <w:tcPr>
            <w:tcW w:w="994" w:type="dxa"/>
            <w:gridSpan w:val="2"/>
            <w:vMerge/>
            <w:tcBorders>
              <w:left w:val="single" w:sz="4" w:space="0" w:color="000000"/>
              <w:right w:val="single" w:sz="4" w:space="0" w:color="000000"/>
            </w:tcBorders>
            <w:shd w:val="clear" w:color="auto" w:fill="D3D3D3"/>
          </w:tcPr>
          <w:p>
            <w:pPr/>
          </w:p>
        </w:tc>
        <w:tc>
          <w:tcPr>
            <w:tcW w:w="1134" w:type="dxa"/>
            <w:gridSpan w:val="3"/>
            <w:vMerge/>
            <w:tcBorders>
              <w:left w:val="single" w:sz="4" w:space="0" w:color="000000"/>
              <w:right w:val="single" w:sz="4" w:space="0" w:color="000000"/>
            </w:tcBorders>
            <w:shd w:val="clear" w:color="auto" w:fill="D3D3D3"/>
          </w:tcPr>
          <w:p>
            <w:pPr/>
          </w:p>
        </w:tc>
        <w:tc>
          <w:tcPr>
            <w:tcW w:w="84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6"/>
              <w:ind w:left="5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235" w:type="dxa"/>
            <w:vMerge w:val="restart"/>
            <w:tcBorders>
              <w:top w:val="nil" w:sz="6" w:space="0" w:color="auto"/>
              <w:left w:val="single" w:sz="4" w:space="0" w:color="000000"/>
              <w:right w:val="single" w:sz="4" w:space="0" w:color="000000"/>
            </w:tcBorders>
            <w:shd w:val="clear" w:color="auto" w:fill="D3D3D3"/>
          </w:tcPr>
          <w:p>
            <w:pPr/>
          </w:p>
        </w:tc>
        <w:tc>
          <w:tcPr>
            <w:tcW w:w="1317" w:type="dxa"/>
            <w:gridSpan w:val="2"/>
            <w:vMerge w:val="restart"/>
            <w:tcBorders>
              <w:top w:val="nil" w:sz="6" w:space="0" w:color="auto"/>
              <w:left w:val="single" w:sz="4" w:space="0" w:color="000000"/>
              <w:right w:val="single" w:sz="4" w:space="0" w:color="000000"/>
            </w:tcBorders>
            <w:shd w:val="clear" w:color="auto" w:fill="D3D3D3"/>
          </w:tcPr>
          <w:p>
            <w:pPr/>
          </w:p>
        </w:tc>
        <w:tc>
          <w:tcPr>
            <w:tcW w:w="850" w:type="dxa"/>
            <w:gridSpan w:val="2"/>
            <w:vMerge w:val="restart"/>
            <w:tcBorders>
              <w:top w:val="nil" w:sz="6" w:space="0" w:color="auto"/>
              <w:left w:val="single" w:sz="4" w:space="0" w:color="000000"/>
              <w:right w:val="single" w:sz="4" w:space="0" w:color="000000"/>
            </w:tcBorders>
            <w:shd w:val="clear" w:color="auto" w:fill="D3D3D3"/>
          </w:tcPr>
          <w:p>
            <w:pPr/>
          </w:p>
        </w:tc>
        <w:tc>
          <w:tcPr>
            <w:tcW w:w="1054" w:type="dxa"/>
            <w:gridSpan w:val="2"/>
            <w:vMerge/>
            <w:tcBorders>
              <w:left w:val="single" w:sz="4" w:space="0" w:color="000000"/>
              <w:bottom w:val="nil" w:sz="6" w:space="0" w:color="auto"/>
              <w:right w:val="single" w:sz="4" w:space="0" w:color="000000"/>
            </w:tcBorders>
            <w:shd w:val="clear" w:color="auto" w:fill="D3D3D3"/>
          </w:tcPr>
          <w:p>
            <w:pPr/>
          </w:p>
        </w:tc>
        <w:tc>
          <w:tcPr>
            <w:tcW w:w="788" w:type="dxa"/>
            <w:gridSpan w:val="2"/>
            <w:vMerge/>
            <w:tcBorders>
              <w:left w:val="single" w:sz="4" w:space="0" w:color="000000"/>
              <w:right w:val="single" w:sz="4" w:space="0" w:color="000000"/>
            </w:tcBorders>
            <w:shd w:val="clear" w:color="auto" w:fill="D3D3D3"/>
          </w:tcPr>
          <w:p>
            <w:pPr/>
          </w:p>
        </w:tc>
        <w:tc>
          <w:tcPr>
            <w:tcW w:w="994" w:type="dxa"/>
            <w:gridSpan w:val="2"/>
            <w:vMerge/>
            <w:tcBorders>
              <w:left w:val="single" w:sz="4" w:space="0" w:color="000000"/>
              <w:right w:val="single" w:sz="4" w:space="0" w:color="000000"/>
            </w:tcBorders>
            <w:shd w:val="clear" w:color="auto" w:fill="D3D3D3"/>
          </w:tcPr>
          <w:p>
            <w:pPr/>
          </w:p>
        </w:tc>
        <w:tc>
          <w:tcPr>
            <w:tcW w:w="1134" w:type="dxa"/>
            <w:gridSpan w:val="3"/>
            <w:vMerge/>
            <w:tcBorders>
              <w:left w:val="single" w:sz="4" w:space="0" w:color="000000"/>
              <w:right w:val="single" w:sz="4" w:space="0" w:color="000000"/>
            </w:tcBorders>
            <w:shd w:val="clear" w:color="auto" w:fill="D3D3D3"/>
          </w:tcPr>
          <w:p>
            <w:pPr/>
          </w:p>
        </w:tc>
        <w:tc>
          <w:tcPr>
            <w:tcW w:w="848" w:type="dxa"/>
            <w:vMerge/>
            <w:tcBorders>
              <w:left w:val="single" w:sz="4" w:space="0" w:color="000000"/>
              <w:right w:val="single" w:sz="4" w:space="0" w:color="000000"/>
            </w:tcBorders>
            <w:shd w:val="clear" w:color="auto" w:fill="D3D3D3"/>
          </w:tcPr>
          <w:p>
            <w:pPr/>
          </w:p>
        </w:tc>
        <w:tc>
          <w:tcPr>
            <w:tcW w:w="1348" w:type="dxa"/>
            <w:gridSpan w:val="2"/>
            <w:vMerge/>
            <w:tcBorders>
              <w:left w:val="single" w:sz="4" w:space="0" w:color="000000"/>
              <w:right w:val="single" w:sz="4" w:space="0" w:color="000000"/>
            </w:tcBorders>
            <w:shd w:val="clear" w:color="auto" w:fill="D3D3D3"/>
          </w:tcPr>
          <w:p>
            <w:pPr/>
          </w:p>
        </w:tc>
      </w:tr>
      <w:tr>
        <w:trPr>
          <w:trHeight w:val="161" w:hRule="exact"/>
        </w:trPr>
        <w:tc>
          <w:tcPr>
            <w:tcW w:w="1235" w:type="dxa"/>
            <w:vMerge/>
            <w:tcBorders>
              <w:left w:val="single" w:sz="4" w:space="0" w:color="000000"/>
              <w:bottom w:val="single" w:sz="4" w:space="0" w:color="000000"/>
              <w:right w:val="single" w:sz="4" w:space="0" w:color="000000"/>
            </w:tcBorders>
            <w:shd w:val="clear" w:color="auto" w:fill="D3D3D3"/>
          </w:tcPr>
          <w:p>
            <w:pPr/>
          </w:p>
        </w:tc>
        <w:tc>
          <w:tcPr>
            <w:tcW w:w="1317" w:type="dxa"/>
            <w:gridSpan w:val="2"/>
            <w:vMerge/>
            <w:tcBorders>
              <w:left w:val="single" w:sz="4" w:space="0" w:color="000000"/>
              <w:bottom w:val="single" w:sz="4" w:space="0" w:color="000000"/>
              <w:right w:val="single" w:sz="4" w:space="0" w:color="000000"/>
            </w:tcBorders>
            <w:shd w:val="clear" w:color="auto" w:fill="D3D3D3"/>
          </w:tcPr>
          <w:p>
            <w:pPr/>
          </w:p>
        </w:tc>
        <w:tc>
          <w:tcPr>
            <w:tcW w:w="850" w:type="dxa"/>
            <w:gridSpan w:val="2"/>
            <w:vMerge/>
            <w:tcBorders>
              <w:left w:val="single" w:sz="4" w:space="0" w:color="000000"/>
              <w:bottom w:val="single" w:sz="4" w:space="0" w:color="000000"/>
              <w:right w:val="single" w:sz="4" w:space="0" w:color="000000"/>
            </w:tcBorders>
            <w:shd w:val="clear" w:color="auto" w:fill="D3D3D3"/>
          </w:tcPr>
          <w:p>
            <w:pPr/>
          </w:p>
        </w:tc>
        <w:tc>
          <w:tcPr>
            <w:tcW w:w="1054"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788" w:type="dxa"/>
            <w:gridSpan w:val="2"/>
            <w:vMerge/>
            <w:tcBorders>
              <w:left w:val="single" w:sz="4" w:space="0" w:color="000000"/>
              <w:bottom w:val="single" w:sz="4" w:space="0" w:color="000000"/>
              <w:right w:val="single" w:sz="4" w:space="0" w:color="000000"/>
            </w:tcBorders>
            <w:shd w:val="clear" w:color="auto" w:fill="D3D3D3"/>
          </w:tcPr>
          <w:p>
            <w:pPr/>
          </w:p>
        </w:tc>
        <w:tc>
          <w:tcPr>
            <w:tcW w:w="994" w:type="dxa"/>
            <w:gridSpan w:val="2"/>
            <w:vMerge/>
            <w:tcBorders>
              <w:left w:val="single" w:sz="4" w:space="0" w:color="000000"/>
              <w:bottom w:val="single" w:sz="4" w:space="0" w:color="000000"/>
              <w:right w:val="single" w:sz="4" w:space="0" w:color="000000"/>
            </w:tcBorders>
            <w:shd w:val="clear" w:color="auto" w:fill="D3D3D3"/>
          </w:tcPr>
          <w:p>
            <w:pPr/>
          </w:p>
        </w:tc>
        <w:tc>
          <w:tcPr>
            <w:tcW w:w="1134" w:type="dxa"/>
            <w:gridSpan w:val="3"/>
            <w:vMerge/>
            <w:tcBorders>
              <w:left w:val="single" w:sz="4" w:space="0" w:color="000000"/>
              <w:bottom w:val="single" w:sz="4" w:space="0" w:color="000000"/>
              <w:right w:val="single" w:sz="4" w:space="0" w:color="000000"/>
            </w:tcBorders>
            <w:shd w:val="clear" w:color="auto" w:fill="D3D3D3"/>
          </w:tcPr>
          <w:p>
            <w:pPr/>
          </w:p>
        </w:tc>
        <w:tc>
          <w:tcPr>
            <w:tcW w:w="848" w:type="dxa"/>
            <w:vMerge/>
            <w:tcBorders>
              <w:left w:val="single" w:sz="4" w:space="0" w:color="000000"/>
              <w:bottom w:val="single" w:sz="4" w:space="0" w:color="000000"/>
              <w:right w:val="single" w:sz="4" w:space="0" w:color="000000"/>
            </w:tcBorders>
            <w:shd w:val="clear" w:color="auto" w:fill="D3D3D3"/>
          </w:tcPr>
          <w:p>
            <w:pPr/>
          </w:p>
        </w:tc>
        <w:tc>
          <w:tcPr>
            <w:tcW w:w="1348" w:type="dxa"/>
            <w:gridSpan w:val="2"/>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13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2" w:right="0"/>
              <w:jc w:val="left"/>
              <w:rPr>
                <w:rFonts w:ascii="Times New Roman" w:hAnsi="Times New Roman" w:cs="Times New Roman" w:eastAsia="Times New Roman" w:hint="default"/>
                <w:sz w:val="18"/>
                <w:szCs w:val="18"/>
              </w:rPr>
            </w:pPr>
            <w:r>
              <w:rPr>
                <w:rFonts w:ascii="Times New Roman"/>
                <w:sz w:val="18"/>
              </w:rPr>
              <w:t>20.63%</w:t>
            </w:r>
          </w:p>
        </w:tc>
        <w:tc>
          <w:tcPr>
            <w:tcW w:w="10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 w:right="0"/>
              <w:jc w:val="left"/>
              <w:rPr>
                <w:rFonts w:ascii="Times New Roman" w:hAnsi="Times New Roman" w:cs="Times New Roman" w:eastAsia="Times New Roman" w:hint="default"/>
                <w:sz w:val="18"/>
                <w:szCs w:val="18"/>
              </w:rPr>
            </w:pPr>
            <w:r>
              <w:rPr>
                <w:rFonts w:ascii="Times New Roman"/>
                <w:sz w:val="18"/>
              </w:rPr>
              <w:t>128,355,740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 w:right="0"/>
              <w:jc w:val="left"/>
              <w:rPr>
                <w:rFonts w:ascii="Times New Roman" w:hAnsi="Times New Roman" w:cs="Times New Roman" w:eastAsia="Times New Roman" w:hint="default"/>
                <w:sz w:val="18"/>
                <w:szCs w:val="18"/>
              </w:rPr>
            </w:pPr>
            <w:r>
              <w:rPr>
                <w:rFonts w:ascii="Times New Roman"/>
                <w:sz w:val="18"/>
              </w:rPr>
              <w:t>96,266,805</w:t>
            </w:r>
          </w:p>
        </w:tc>
        <w:tc>
          <w:tcPr>
            <w:tcW w:w="11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32,088,935</w:t>
            </w:r>
          </w:p>
        </w:tc>
        <w:tc>
          <w:tcPr>
            <w:tcW w:w="848" w:type="dxa"/>
            <w:tcBorders>
              <w:top w:val="single" w:sz="49" w:space="0" w:color="D3D3D3"/>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9" w:space="0" w:color="D3D3D3"/>
              <w:left w:val="single" w:sz="4" w:space="0" w:color="000000"/>
              <w:bottom w:val="single" w:sz="4" w:space="0" w:color="000000"/>
              <w:right w:val="single" w:sz="4" w:space="0" w:color="000000"/>
            </w:tcBorders>
          </w:tcPr>
          <w:p>
            <w:pPr>
              <w:pStyle w:val="TableParagraph"/>
              <w:spacing w:line="240" w:lineRule="auto" w:before="35"/>
              <w:ind w:left="505" w:right="0"/>
              <w:jc w:val="left"/>
              <w:rPr>
                <w:rFonts w:ascii="Times New Roman" w:hAnsi="Times New Roman" w:cs="Times New Roman" w:eastAsia="Times New Roman" w:hint="default"/>
                <w:sz w:val="18"/>
                <w:szCs w:val="18"/>
              </w:rPr>
            </w:pPr>
            <w:r>
              <w:rPr>
                <w:rFonts w:ascii="Times New Roman"/>
                <w:sz w:val="18"/>
              </w:rPr>
              <w:t>43,500,000</w:t>
            </w:r>
          </w:p>
        </w:tc>
      </w:tr>
      <w:tr>
        <w:trPr>
          <w:trHeight w:val="402"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侯伟</w:t>
            </w:r>
          </w:p>
        </w:tc>
        <w:tc>
          <w:tcPr>
            <w:tcW w:w="13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8.76%</w:t>
            </w:r>
          </w:p>
        </w:tc>
        <w:tc>
          <w:tcPr>
            <w:tcW w:w="10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9" w:right="0"/>
              <w:jc w:val="left"/>
              <w:rPr>
                <w:rFonts w:ascii="Times New Roman" w:hAnsi="Times New Roman" w:cs="Times New Roman" w:eastAsia="Times New Roman" w:hint="default"/>
                <w:sz w:val="18"/>
                <w:szCs w:val="18"/>
              </w:rPr>
            </w:pPr>
            <w:r>
              <w:rPr>
                <w:rFonts w:ascii="Times New Roman"/>
                <w:sz w:val="18"/>
              </w:rPr>
              <w:t>54,487,766</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 w:right="0"/>
              <w:jc w:val="left"/>
              <w:rPr>
                <w:rFonts w:ascii="Times New Roman" w:hAnsi="Times New Roman" w:cs="Times New Roman" w:eastAsia="Times New Roman" w:hint="default"/>
                <w:sz w:val="18"/>
                <w:szCs w:val="18"/>
              </w:rPr>
            </w:pPr>
            <w:r>
              <w:rPr>
                <w:rFonts w:ascii="Times New Roman"/>
                <w:sz w:val="18"/>
              </w:rPr>
              <w:t>40,865,824</w:t>
            </w:r>
          </w:p>
        </w:tc>
        <w:tc>
          <w:tcPr>
            <w:tcW w:w="11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13,621,942</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14,464,700</w:t>
            </w:r>
          </w:p>
        </w:tc>
      </w:tr>
      <w:tr>
        <w:trPr>
          <w:trHeight w:val="402"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赵坚</w:t>
            </w:r>
          </w:p>
        </w:tc>
        <w:tc>
          <w:tcPr>
            <w:tcW w:w="13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1.10%</w:t>
            </w:r>
          </w:p>
        </w:tc>
        <w:tc>
          <w:tcPr>
            <w:tcW w:w="10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6,850,000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5,137,500</w:t>
            </w:r>
          </w:p>
        </w:tc>
        <w:tc>
          <w:tcPr>
            <w:tcW w:w="11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9" w:right="0"/>
              <w:jc w:val="left"/>
              <w:rPr>
                <w:rFonts w:ascii="Times New Roman" w:hAnsi="Times New Roman" w:cs="Times New Roman" w:eastAsia="Times New Roman" w:hint="default"/>
                <w:sz w:val="18"/>
                <w:szCs w:val="18"/>
              </w:rPr>
            </w:pPr>
            <w:r>
              <w:rPr>
                <w:rFonts w:ascii="Times New Roman"/>
                <w:sz w:val="18"/>
              </w:rPr>
              <w:t>1,712,500</w:t>
            </w:r>
          </w:p>
        </w:tc>
        <w:tc>
          <w:tcPr>
            <w:tcW w:w="848" w:type="dxa"/>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陈明平</w:t>
            </w:r>
          </w:p>
        </w:tc>
        <w:tc>
          <w:tcPr>
            <w:tcW w:w="13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0.87%</w:t>
            </w:r>
          </w:p>
        </w:tc>
        <w:tc>
          <w:tcPr>
            <w:tcW w:w="10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5,396,146</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4,047,109</w:t>
            </w:r>
          </w:p>
        </w:tc>
        <w:tc>
          <w:tcPr>
            <w:tcW w:w="11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9" w:right="0"/>
              <w:jc w:val="left"/>
              <w:rPr>
                <w:rFonts w:ascii="Times New Roman" w:hAnsi="Times New Roman" w:cs="Times New Roman" w:eastAsia="Times New Roman" w:hint="default"/>
                <w:sz w:val="18"/>
                <w:szCs w:val="18"/>
              </w:rPr>
            </w:pPr>
            <w:r>
              <w:rPr>
                <w:rFonts w:ascii="Times New Roman"/>
                <w:sz w:val="18"/>
              </w:rPr>
              <w:t>1,349,037</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0" w:right="0"/>
              <w:jc w:val="left"/>
              <w:rPr>
                <w:rFonts w:ascii="Times New Roman" w:hAnsi="Times New Roman" w:cs="Times New Roman" w:eastAsia="Times New Roman" w:hint="default"/>
                <w:sz w:val="18"/>
                <w:szCs w:val="18"/>
              </w:rPr>
            </w:pPr>
            <w:r>
              <w:rPr>
                <w:rFonts w:ascii="Times New Roman"/>
                <w:sz w:val="18"/>
              </w:rPr>
              <w:t>907,800</w:t>
            </w:r>
          </w:p>
        </w:tc>
      </w:tr>
      <w:tr>
        <w:trPr>
          <w:trHeight w:val="402"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杨学圆</w:t>
            </w:r>
          </w:p>
        </w:tc>
        <w:tc>
          <w:tcPr>
            <w:tcW w:w="13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0.56%</w:t>
            </w:r>
          </w:p>
        </w:tc>
        <w:tc>
          <w:tcPr>
            <w:tcW w:w="10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3,468,732</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1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3,468,732</w:t>
            </w:r>
          </w:p>
        </w:tc>
        <w:tc>
          <w:tcPr>
            <w:tcW w:w="848" w:type="dxa"/>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鲁波</w:t>
            </w:r>
          </w:p>
        </w:tc>
        <w:tc>
          <w:tcPr>
            <w:tcW w:w="13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0.48%</w:t>
            </w:r>
          </w:p>
        </w:tc>
        <w:tc>
          <w:tcPr>
            <w:tcW w:w="10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2,994,160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1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2,994,160</w:t>
            </w:r>
          </w:p>
        </w:tc>
        <w:tc>
          <w:tcPr>
            <w:tcW w:w="848" w:type="dxa"/>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福建榕基软件 股份有限公司</w:t>
            </w:r>
          </w:p>
          <w:p>
            <w:pPr>
              <w:pStyle w:val="TableParagraph"/>
              <w:spacing w:line="319" w:lineRule="auto" w:before="19"/>
              <w:ind w:left="22" w:right="122"/>
              <w:jc w:val="left"/>
              <w:rPr>
                <w:rFonts w:ascii="宋体" w:hAnsi="宋体" w:cs="宋体" w:eastAsia="宋体" w:hint="default"/>
                <w:sz w:val="18"/>
                <w:szCs w:val="18"/>
              </w:rPr>
            </w:pPr>
            <w:r>
              <w:rPr>
                <w:rFonts w:ascii="宋体" w:hAnsi="宋体" w:cs="宋体" w:eastAsia="宋体" w:hint="default"/>
                <w:sz w:val="18"/>
                <w:szCs w:val="18"/>
              </w:rPr>
              <w:t>－第二期员工 持股计划</w:t>
            </w:r>
          </w:p>
        </w:tc>
        <w:tc>
          <w:tcPr>
            <w:tcW w:w="13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4" w:right="161"/>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0.42%</w:t>
            </w:r>
          </w:p>
        </w:tc>
        <w:tc>
          <w:tcPr>
            <w:tcW w:w="10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2,629,101</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1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2,629,101</w:t>
            </w:r>
          </w:p>
        </w:tc>
        <w:tc>
          <w:tcPr>
            <w:tcW w:w="848" w:type="dxa"/>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王捷</w:t>
            </w:r>
          </w:p>
        </w:tc>
        <w:tc>
          <w:tcPr>
            <w:tcW w:w="13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0.37%</w:t>
            </w:r>
          </w:p>
        </w:tc>
        <w:tc>
          <w:tcPr>
            <w:tcW w:w="10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2,330,000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1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2,330,000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王东彪</w:t>
            </w:r>
          </w:p>
        </w:tc>
        <w:tc>
          <w:tcPr>
            <w:tcW w:w="13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0.36%</w:t>
            </w:r>
          </w:p>
        </w:tc>
        <w:tc>
          <w:tcPr>
            <w:tcW w:w="10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2,270,000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1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2,270,000</w:t>
            </w:r>
          </w:p>
        </w:tc>
        <w:tc>
          <w:tcPr>
            <w:tcW w:w="848" w:type="dxa"/>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张之戈</w:t>
            </w:r>
          </w:p>
        </w:tc>
        <w:tc>
          <w:tcPr>
            <w:tcW w:w="13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0.36%</w:t>
            </w:r>
          </w:p>
        </w:tc>
        <w:tc>
          <w:tcPr>
            <w:tcW w:w="10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2,212,628</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11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0" w:right="0"/>
              <w:jc w:val="left"/>
              <w:rPr>
                <w:rFonts w:ascii="Times New Roman" w:hAnsi="Times New Roman" w:cs="Times New Roman" w:eastAsia="Times New Roman" w:hint="default"/>
                <w:sz w:val="18"/>
                <w:szCs w:val="18"/>
              </w:rPr>
            </w:pPr>
            <w:r>
              <w:rPr>
                <w:rFonts w:ascii="Times New Roman"/>
                <w:sz w:val="18"/>
              </w:rPr>
              <w:t>2,212,628</w:t>
            </w:r>
          </w:p>
        </w:tc>
        <w:tc>
          <w:tcPr>
            <w:tcW w:w="848" w:type="dxa"/>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552" w:type="dxa"/>
            <w:gridSpan w:val="3"/>
            <w:tcBorders>
              <w:top w:val="single" w:sz="4" w:space="0" w:color="000000"/>
              <w:left w:val="single" w:sz="4" w:space="0" w:color="000000"/>
              <w:bottom w:val="nil" w:sz="6" w:space="0" w:color="auto"/>
              <w:right w:val="single" w:sz="4" w:space="0" w:color="000000"/>
            </w:tcBorders>
            <w:shd w:val="clear" w:color="auto" w:fill="D3D3D3"/>
          </w:tcPr>
          <w:p>
            <w:pPr/>
          </w:p>
        </w:tc>
        <w:tc>
          <w:tcPr>
            <w:tcW w:w="7015" w:type="dxa"/>
            <w:gridSpan w:val="14"/>
            <w:vMerge w:val="restart"/>
            <w:tcBorders>
              <w:top w:val="single" w:sz="4" w:space="0" w:color="000000"/>
              <w:left w:val="single" w:sz="10" w:space="0" w:color="D3D3D3"/>
              <w:right w:val="single" w:sz="4" w:space="0" w:color="000000"/>
            </w:tcBorders>
          </w:tcPr>
          <w:p>
            <w:pPr>
              <w:pStyle w:val="TableParagraph"/>
              <w:spacing w:line="307" w:lineRule="auto" w:before="51"/>
              <w:ind w:left="15" w:right="23"/>
              <w:jc w:val="both"/>
              <w:rPr>
                <w:rFonts w:ascii="宋体" w:hAnsi="宋体" w:cs="宋体" w:eastAsia="宋体" w:hint="default"/>
                <w:sz w:val="18"/>
                <w:szCs w:val="18"/>
              </w:rPr>
            </w:pPr>
            <w:r>
              <w:rPr>
                <w:rFonts w:ascii="宋体" w:hAnsi="宋体" w:cs="宋体" w:eastAsia="宋体" w:hint="default"/>
                <w:sz w:val="18"/>
                <w:szCs w:val="18"/>
              </w:rPr>
              <w:t>公司前十名股东中，鲁波为鲁峰之胞兄，杨学圆为鲁峰胞妹之配偶。</w:t>
            </w:r>
            <w:r>
              <w:rPr>
                <w:rFonts w:ascii="Times New Roman" w:hAnsi="Times New Roman" w:cs="Times New Roman" w:eastAsia="Times New Roman" w:hint="default"/>
                <w:sz w:val="18"/>
                <w:szCs w:val="18"/>
              </w:rPr>
              <w:t>“</w:t>
            </w:r>
            <w:r>
              <w:rPr>
                <w:rFonts w:ascii="宋体" w:hAnsi="宋体" w:cs="宋体" w:eastAsia="宋体" w:hint="default"/>
                <w:sz w:val="18"/>
                <w:szCs w:val="18"/>
              </w:rPr>
              <w:t>福建榕基软件股份 有限公司－第二期员工持股计划</w:t>
            </w:r>
            <w:r>
              <w:rPr>
                <w:rFonts w:ascii="Times New Roman" w:hAnsi="Times New Roman" w:cs="Times New Roman" w:eastAsia="Times New Roman" w:hint="default"/>
                <w:sz w:val="18"/>
                <w:szCs w:val="18"/>
              </w:rPr>
              <w:t>”</w:t>
            </w:r>
            <w:r>
              <w:rPr>
                <w:rFonts w:ascii="宋体" w:hAnsi="宋体" w:cs="宋体" w:eastAsia="宋体" w:hint="default"/>
                <w:sz w:val="18"/>
                <w:szCs w:val="18"/>
              </w:rPr>
              <w:t>与其他前十名股东之间不存在关联关系，不属于一致行 </w:t>
            </w:r>
            <w:r>
              <w:rPr>
                <w:rFonts w:ascii="宋体" w:hAnsi="宋体" w:cs="宋体" w:eastAsia="宋体" w:hint="default"/>
                <w:spacing w:val="-2"/>
                <w:sz w:val="18"/>
                <w:szCs w:val="18"/>
              </w:rPr>
              <w:t>动人。除上述情况外，其他前十名股东之间未知是否存在关联关系，也未知是否属于一致</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行动人。</w:t>
            </w:r>
          </w:p>
        </w:tc>
      </w:tr>
      <w:tr>
        <w:trPr>
          <w:trHeight w:val="704" w:hRule="exact"/>
        </w:trPr>
        <w:tc>
          <w:tcPr>
            <w:tcW w:w="2552" w:type="dxa"/>
            <w:gridSpan w:val="3"/>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179"/>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015" w:type="dxa"/>
            <w:gridSpan w:val="14"/>
            <w:vMerge/>
            <w:tcBorders>
              <w:left w:val="single" w:sz="10" w:space="0" w:color="D3D3D3"/>
              <w:right w:val="single" w:sz="4" w:space="0" w:color="000000"/>
            </w:tcBorders>
          </w:tcPr>
          <w:p>
            <w:pPr/>
          </w:p>
        </w:tc>
      </w:tr>
      <w:tr>
        <w:trPr>
          <w:trHeight w:val="317" w:hRule="exact"/>
        </w:trPr>
        <w:tc>
          <w:tcPr>
            <w:tcW w:w="2552" w:type="dxa"/>
            <w:gridSpan w:val="3"/>
            <w:tcBorders>
              <w:top w:val="nil" w:sz="6" w:space="0" w:color="auto"/>
              <w:left w:val="single" w:sz="4" w:space="0" w:color="000000"/>
              <w:bottom w:val="single" w:sz="4" w:space="0" w:color="000000"/>
              <w:right w:val="single" w:sz="4" w:space="0" w:color="000000"/>
            </w:tcBorders>
            <w:shd w:val="clear" w:color="auto" w:fill="D3D3D3"/>
          </w:tcPr>
          <w:p>
            <w:pPr/>
          </w:p>
        </w:tc>
        <w:tc>
          <w:tcPr>
            <w:tcW w:w="7015" w:type="dxa"/>
            <w:gridSpan w:val="14"/>
            <w:vMerge/>
            <w:tcBorders>
              <w:left w:val="single" w:sz="10" w:space="0" w:color="D3D3D3"/>
              <w:bottom w:val="single" w:sz="4" w:space="0" w:color="000000"/>
              <w:right w:val="single" w:sz="4" w:space="0" w:color="000000"/>
            </w:tcBorders>
          </w:tcPr>
          <w:p>
            <w:pPr/>
          </w:p>
        </w:tc>
      </w:tr>
      <w:tr>
        <w:trPr>
          <w:trHeight w:val="401" w:hRule="exact"/>
        </w:trPr>
        <w:tc>
          <w:tcPr>
            <w:tcW w:w="9568" w:type="dxa"/>
            <w:gridSpan w:val="1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1"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3989" w:type="dxa"/>
            <w:gridSpan w:val="8"/>
            <w:tcBorders>
              <w:top w:val="single" w:sz="4" w:space="0" w:color="000000"/>
              <w:left w:val="single" w:sz="4" w:space="0" w:color="000000"/>
              <w:bottom w:val="nil" w:sz="6" w:space="0" w:color="auto"/>
              <w:right w:val="single" w:sz="4" w:space="0" w:color="000000"/>
            </w:tcBorders>
            <w:shd w:val="clear" w:color="auto" w:fill="D3D3D3"/>
          </w:tcPr>
          <w:p>
            <w:pPr/>
          </w:p>
        </w:tc>
        <w:tc>
          <w:tcPr>
            <w:tcW w:w="2697"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1" w:type="dxa"/>
            <w:gridSpan w:val="4"/>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8"/>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5"/>
            <w:vMerge/>
            <w:tcBorders>
              <w:left w:val="single" w:sz="4" w:space="0" w:color="000000"/>
              <w:bottom w:val="single" w:sz="4" w:space="0" w:color="000000"/>
              <w:right w:val="single" w:sz="4" w:space="0" w:color="000000"/>
            </w:tcBorders>
            <w:shd w:val="clear" w:color="auto" w:fill="D3D3D3"/>
          </w:tcPr>
          <w:p>
            <w:pPr/>
          </w:p>
        </w:tc>
      </w:tr>
      <w:tr>
        <w:trPr>
          <w:trHeight w:val="201" w:hRule="exact"/>
        </w:trPr>
        <w:tc>
          <w:tcPr>
            <w:tcW w:w="2881" w:type="dxa"/>
            <w:gridSpan w:val="4"/>
            <w:vMerge/>
            <w:tcBorders>
              <w:left w:val="single" w:sz="4" w:space="0" w:color="000000"/>
              <w:bottom w:val="nil" w:sz="6" w:space="0" w:color="auto"/>
              <w:right w:val="single" w:sz="4" w:space="0" w:color="000000"/>
            </w:tcBorders>
            <w:shd w:val="clear" w:color="auto" w:fill="D3D3D3"/>
          </w:tcPr>
          <w:p>
            <w:pPr/>
          </w:p>
        </w:tc>
        <w:tc>
          <w:tcPr>
            <w:tcW w:w="3989" w:type="dxa"/>
            <w:gridSpan w:val="8"/>
            <w:vMerge/>
            <w:tcBorders>
              <w:left w:val="single" w:sz="4" w:space="0" w:color="000000"/>
              <w:bottom w:val="nil" w:sz="6" w:space="0" w:color="auto"/>
              <w:right w:val="single" w:sz="4" w:space="0" w:color="000000"/>
            </w:tcBorders>
            <w:shd w:val="clear" w:color="auto" w:fill="D3D3D3"/>
          </w:tcPr>
          <w:p>
            <w:pPr/>
          </w:p>
        </w:tc>
        <w:tc>
          <w:tcPr>
            <w:tcW w:w="1349"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7"/>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7" w:hRule="exact"/>
        </w:trPr>
        <w:tc>
          <w:tcPr>
            <w:tcW w:w="2881"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3989" w:type="dxa"/>
            <w:gridSpan w:val="8"/>
            <w:tcBorders>
              <w:top w:val="nil" w:sz="6" w:space="0" w:color="auto"/>
              <w:left w:val="single" w:sz="4" w:space="0" w:color="000000"/>
              <w:bottom w:val="single" w:sz="4" w:space="0" w:color="000000"/>
              <w:right w:val="single" w:sz="4" w:space="0" w:color="000000"/>
            </w:tcBorders>
            <w:shd w:val="clear" w:color="auto" w:fill="D3D3D3"/>
          </w:tcPr>
          <w:p>
            <w:pPr/>
          </w:p>
        </w:tc>
        <w:tc>
          <w:tcPr>
            <w:tcW w:w="1349" w:type="dxa"/>
            <w:gridSpan w:val="3"/>
            <w:vMerge/>
            <w:tcBorders>
              <w:left w:val="single" w:sz="4" w:space="0" w:color="000000"/>
              <w:bottom w:val="single" w:sz="4" w:space="0" w:color="000000"/>
              <w:right w:val="single" w:sz="4" w:space="0" w:color="000000"/>
            </w:tcBorders>
            <w:shd w:val="clear" w:color="auto" w:fill="D3D3D3"/>
          </w:tcPr>
          <w:p>
            <w:pPr/>
          </w:p>
        </w:tc>
        <w:tc>
          <w:tcPr>
            <w:tcW w:w="1348" w:type="dxa"/>
            <w:gridSpan w:val="2"/>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81"/>
        <w:gridCol w:w="3990"/>
        <w:gridCol w:w="1349"/>
        <w:gridCol w:w="1348"/>
      </w:tblGrid>
      <w:tr>
        <w:trPr>
          <w:trHeight w:val="40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32,088,935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侯伟</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13,621,942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杨学圆</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3,468,732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鲁波</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2,994,160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福建榕基软件股份有限公司－第二 期员工持股计划</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2,629,101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王捷</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王东彪</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张之戈</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2,212,628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福建榕基软件股份有限公司－第一 期员工持股计划</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1,867,900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赵坚</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1,712,500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28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6" w:type="dxa"/>
            <w:gridSpan w:val="3"/>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公司前十名股东中，鲁波为鲁峰之胞兄，杨学圆为鲁峰胞妹之配偶。</w:t>
            </w:r>
            <w:r>
              <w:rPr>
                <w:rFonts w:ascii="Times New Roman" w:hAnsi="Times New Roman" w:cs="Times New Roman" w:eastAsia="Times New Roman" w:hint="default"/>
                <w:sz w:val="18"/>
                <w:szCs w:val="18"/>
              </w:rPr>
              <w:t>“</w:t>
            </w:r>
            <w:r>
              <w:rPr>
                <w:rFonts w:ascii="宋体" w:hAnsi="宋体" w:cs="宋体" w:eastAsia="宋体" w:hint="default"/>
                <w:sz w:val="18"/>
                <w:szCs w:val="18"/>
              </w:rPr>
              <w:t>福建榕基软件 股份有限公司－第一期员工持股计划</w:t>
            </w:r>
            <w:r>
              <w:rPr>
                <w:rFonts w:ascii="Times New Roman" w:hAnsi="Times New Roman" w:cs="Times New Roman" w:eastAsia="Times New Roman" w:hint="default"/>
                <w:sz w:val="18"/>
                <w:szCs w:val="18"/>
              </w:rPr>
              <w:t>”</w:t>
            </w:r>
            <w:r>
              <w:rPr>
                <w:rFonts w:ascii="宋体" w:hAnsi="宋体" w:cs="宋体" w:eastAsia="宋体" w:hint="default"/>
                <w:sz w:val="18"/>
                <w:szCs w:val="18"/>
              </w:rPr>
              <w:t>与其他前十名股东之间不存在关联关系，不属 </w:t>
            </w:r>
            <w:r>
              <w:rPr>
                <w:rFonts w:ascii="宋体" w:hAnsi="宋体" w:cs="宋体" w:eastAsia="宋体" w:hint="default"/>
                <w:spacing w:val="-1"/>
                <w:sz w:val="18"/>
                <w:szCs w:val="18"/>
              </w:rPr>
              <w:t>于一致行动人。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福建榕基软件股份有限公司－第二期员工持股计划</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与其他前十名股</w:t>
            </w:r>
            <w:r>
              <w:rPr>
                <w:rFonts w:ascii="宋体" w:hAnsi="宋体" w:cs="宋体" w:eastAsia="宋体" w:hint="default"/>
                <w:spacing w:val="-62"/>
                <w:sz w:val="18"/>
                <w:szCs w:val="18"/>
              </w:rPr>
              <w:t> </w:t>
            </w:r>
            <w:r>
              <w:rPr>
                <w:rFonts w:ascii="宋体" w:hAnsi="宋体" w:cs="宋体" w:eastAsia="宋体" w:hint="default"/>
                <w:spacing w:val="-1"/>
                <w:sz w:val="18"/>
                <w:szCs w:val="18"/>
              </w:rPr>
              <w:t>东之间不存在关联关系，不属于一致行动人。除上述情况外，其他前十名股东之间未</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知是否存在关联关系，也未知是否属于一致行动人。</w:t>
            </w:r>
          </w:p>
        </w:tc>
      </w:tr>
      <w:tr>
        <w:trPr>
          <w:trHeight w:val="714" w:hRule="exact"/>
        </w:trPr>
        <w:tc>
          <w:tcPr>
            <w:tcW w:w="28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王东彪参与融资融券，信用证券账户持有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right="1258"/>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125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1258"/>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1258"/>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7611"/>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7"/>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福建榕基软件股份有限公司董事长、总裁。</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9"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right="1258"/>
        <w:jc w:val="left"/>
      </w:pPr>
      <w:r>
        <w:rPr/>
        <w:t>控股股东报告期内变更</w:t>
      </w:r>
    </w:p>
    <w:p>
      <w:pPr>
        <w:pStyle w:val="BodyText"/>
        <w:spacing w:line="338" w:lineRule="auto" w:before="117"/>
        <w:ind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3"/>
        <w:spacing w:line="240" w:lineRule="auto"/>
        <w:ind w:right="1258"/>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58"/>
        <w:jc w:val="left"/>
      </w:pPr>
      <w:r>
        <w:rPr/>
        <w:t>实际控制人性质：境内自然人</w:t>
      </w:r>
    </w:p>
    <w:p>
      <w:pPr>
        <w:spacing w:after="0" w:line="240" w:lineRule="auto"/>
        <w:jc w:val="left"/>
        <w:sectPr>
          <w:pgSz w:w="11910" w:h="16840"/>
          <w:pgMar w:header="877" w:footer="982" w:top="1100" w:bottom="1180" w:left="980" w:right="980"/>
        </w:sectPr>
      </w:pPr>
    </w:p>
    <w:p>
      <w:pPr>
        <w:spacing w:line="240" w:lineRule="auto" w:before="1"/>
        <w:rPr>
          <w:rFonts w:ascii="宋体" w:hAnsi="宋体" w:cs="宋体" w:eastAsia="宋体" w:hint="default"/>
          <w:sz w:val="22"/>
          <w:szCs w:val="22"/>
        </w:rPr>
      </w:pPr>
    </w:p>
    <w:p>
      <w:pPr>
        <w:pStyle w:val="BodyText"/>
        <w:spacing w:line="240" w:lineRule="auto" w:before="44"/>
        <w:ind w:left="152" w:right="1258"/>
        <w:jc w:val="left"/>
      </w:pPr>
      <w:r>
        <w:rPr/>
        <w:pict>
          <v:shape style="position:absolute;margin-left:155.699997pt;margin-top:19.731989pt;width:59.35pt;height:19.6pt;mso-position-horizontal-relative:page;mso-position-vertical-relative:paragraph;z-index:-1148056" type="#_x0000_t202" filled="false" stroked="false">
            <v:textbox inset="0,0,0,0">
              <w:txbxContent>
                <w:p>
                  <w:pPr>
                    <w:pStyle w:val="BodyText"/>
                    <w:spacing w:line="240" w:lineRule="auto" w:before="51"/>
                    <w:ind w:left="0" w:right="0"/>
                    <w:jc w:val="left"/>
                  </w:pPr>
                  <w:r>
                    <w:rPr>
                      <w:w w:val="99"/>
                    </w:rPr>
                    <w:t>姓</w:t>
                  </w:r>
                  <w:r>
                    <w:rPr/>
                  </w:r>
                </w:p>
              </w:txbxContent>
            </v:textbox>
            <w10:wrap type="none"/>
          </v:shape>
        </w:pict>
      </w:r>
      <w:r>
        <w:rPr/>
        <w:t>实际控制人类型：自然人</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15"/>
        <w:gridCol w:w="2309"/>
        <w:gridCol w:w="3847"/>
      </w:tblGrid>
      <w:tr>
        <w:trPr>
          <w:trHeight w:val="401" w:hRule="exact"/>
        </w:trPr>
        <w:tc>
          <w:tcPr>
            <w:tcW w:w="34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76" w:right="0"/>
              <w:jc w:val="left"/>
              <w:rPr>
                <w:rFonts w:ascii="宋体" w:hAnsi="宋体" w:cs="宋体" w:eastAsia="宋体" w:hint="default"/>
                <w:sz w:val="18"/>
                <w:szCs w:val="18"/>
              </w:rPr>
            </w:pPr>
            <w:r>
              <w:rPr>
                <w:rFonts w:ascii="宋体" w:hAnsi="宋体" w:cs="宋体" w:eastAsia="宋体" w:hint="default"/>
                <w:sz w:val="18"/>
                <w:szCs w:val="18"/>
              </w:rPr>
              <w:t>实际控制人</w:t>
            </w:r>
            <w:r>
              <w:rPr>
                <w:rFonts w:ascii="宋体" w:hAnsi="宋体" w:cs="宋体" w:eastAsia="宋体" w:hint="default"/>
                <w:spacing w:val="89"/>
                <w:sz w:val="18"/>
                <w:szCs w:val="18"/>
              </w:rPr>
              <w:t> </w:t>
            </w:r>
            <w:r>
              <w:rPr>
                <w:rFonts w:ascii="宋体" w:hAnsi="宋体" w:cs="宋体" w:eastAsia="宋体" w:hint="default"/>
                <w:sz w:val="18"/>
                <w:szCs w:val="18"/>
              </w:rPr>
              <w:t>名</w:t>
            </w:r>
          </w:p>
        </w:tc>
        <w:tc>
          <w:tcPr>
            <w:tcW w:w="23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4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公司董事长、总裁</w:t>
            </w:r>
          </w:p>
        </w:tc>
      </w:tr>
      <w:tr>
        <w:trPr>
          <w:trHeight w:val="403" w:hRule="exact"/>
        </w:trPr>
        <w:tc>
          <w:tcPr>
            <w:tcW w:w="34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2" w:right="1258"/>
        <w:jc w:val="left"/>
      </w:pPr>
      <w:r>
        <w:rPr/>
        <w:t>实际控制人报告期内变更</w:t>
      </w:r>
    </w:p>
    <w:p>
      <w:pPr>
        <w:pStyle w:val="BodyText"/>
        <w:spacing w:line="348" w:lineRule="auto" w:before="116"/>
        <w:ind w:left="152" w:right="5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r>
        <w:rPr>
          <w:w w:val="99"/>
        </w:rPr>
        <w:t> </w:t>
      </w:r>
      <w:r>
        <w:rPr/>
        <w:t>公司报告期实际控制人未发生变更。</w:t>
      </w:r>
      <w:r>
        <w:rPr>
          <w:w w:val="99"/>
        </w:rPr>
        <w:t> </w:t>
      </w:r>
      <w:r>
        <w:rPr/>
        <w:t>公司与实际控制人之间的产权及控制关系的方框图</w:t>
      </w:r>
    </w:p>
    <w:p>
      <w:pPr>
        <w:spacing w:line="240" w:lineRule="auto" w:before="3"/>
        <w:rPr>
          <w:rFonts w:ascii="宋体" w:hAnsi="宋体" w:cs="宋体" w:eastAsia="宋体" w:hint="default"/>
          <w:sz w:val="15"/>
          <w:szCs w:val="15"/>
        </w:rPr>
      </w:pPr>
    </w:p>
    <w:p>
      <w:pPr>
        <w:spacing w:line="2446" w:lineRule="exact"/>
        <w:ind w:left="1356" w:right="0" w:firstLine="0"/>
        <w:rPr>
          <w:rFonts w:ascii="宋体" w:hAnsi="宋体" w:cs="宋体" w:eastAsia="宋体" w:hint="default"/>
          <w:sz w:val="20"/>
          <w:szCs w:val="20"/>
        </w:rPr>
      </w:pPr>
      <w:r>
        <w:rPr>
          <w:rFonts w:ascii="宋体" w:hAnsi="宋体" w:cs="宋体" w:eastAsia="宋体" w:hint="default"/>
          <w:position w:val="-48"/>
          <w:sz w:val="20"/>
          <w:szCs w:val="20"/>
        </w:rPr>
        <w:pict>
          <v:group style="width:361.75pt;height:122.35pt;mso-position-horizontal-relative:char;mso-position-vertical-relative:line" coordorigin="0,0" coordsize="7235,2447">
            <v:shape style="position:absolute;left:0;top:0;width:893;height:2447" type="#_x0000_t75" stroked="false">
              <v:imagedata r:id="rId29" o:title=""/>
            </v:shape>
            <v:shape style="position:absolute;left:889;top:0;width:1075;height:2447" type="#_x0000_t75" stroked="false">
              <v:imagedata r:id="rId30" o:title=""/>
            </v:shape>
            <v:shape style="position:absolute;left:1964;top:0;width:1075;height:2447" type="#_x0000_t75" stroked="false">
              <v:imagedata r:id="rId31" o:title=""/>
            </v:shape>
            <v:shape style="position:absolute;left:3040;top:0;width:1075;height:2447" type="#_x0000_t75" stroked="false">
              <v:imagedata r:id="rId32" o:title=""/>
            </v:shape>
            <v:shape style="position:absolute;left:4115;top:0;width:1075;height:2447" type="#_x0000_t75" stroked="false">
              <v:imagedata r:id="rId33" o:title=""/>
            </v:shape>
            <v:shape style="position:absolute;left:5190;top:0;width:1075;height:2447" type="#_x0000_t75" stroked="false">
              <v:imagedata r:id="rId34" o:title=""/>
            </v:shape>
            <v:shape style="position:absolute;left:6265;top:0;width:970;height:2447" type="#_x0000_t75" stroked="false">
              <v:imagedata r:id="rId35" o:title=""/>
            </v:shape>
          </v:group>
        </w:pict>
      </w:r>
      <w:r>
        <w:rPr>
          <w:rFonts w:ascii="宋体" w:hAnsi="宋体" w:cs="宋体" w:eastAsia="宋体" w:hint="default"/>
          <w:position w:val="-48"/>
          <w:sz w:val="20"/>
          <w:szCs w:val="20"/>
        </w:rPr>
      </w:r>
    </w:p>
    <w:p>
      <w:pPr>
        <w:spacing w:line="240" w:lineRule="auto" w:before="5"/>
        <w:rPr>
          <w:rFonts w:ascii="宋体" w:hAnsi="宋体" w:cs="宋体" w:eastAsia="宋体" w:hint="default"/>
          <w:sz w:val="15"/>
          <w:szCs w:val="15"/>
        </w:rPr>
      </w:pPr>
    </w:p>
    <w:p>
      <w:pPr>
        <w:pStyle w:val="BodyText"/>
        <w:spacing w:line="240" w:lineRule="auto" w:before="44"/>
        <w:ind w:left="152" w:right="1258"/>
        <w:jc w:val="left"/>
      </w:pPr>
      <w:r>
        <w:rPr/>
        <w:t>实际控制人通过信托或其他资产管理方式控制公司</w:t>
      </w:r>
    </w:p>
    <w:p>
      <w:pPr>
        <w:pStyle w:val="BodyText"/>
        <w:spacing w:line="240" w:lineRule="auto" w:before="117"/>
        <w:ind w:left="152"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23"/>
          <w:szCs w:val="23"/>
        </w:rPr>
      </w:pPr>
    </w:p>
    <w:p>
      <w:pPr>
        <w:pStyle w:val="Heading3"/>
        <w:spacing w:line="240" w:lineRule="auto" w:before="35"/>
        <w:ind w:left="152" w:right="1258"/>
        <w:jc w:val="left"/>
        <w:rPr>
          <w:b w:val="0"/>
          <w:bCs w:val="0"/>
        </w:rPr>
      </w:pPr>
      <w:r>
        <w:rPr>
          <w:rFonts w:ascii="Times New Roman" w:hAnsi="Times New Roman" w:cs="Times New Roman" w:eastAsia="Times New Roman" w:hint="default"/>
        </w:rPr>
        <w:t>4</w:t>
      </w:r>
      <w:r>
        <w:rPr/>
        <w:t>、其他持股在</w:t>
      </w:r>
      <w:r>
        <w:rPr>
          <w:spacing w:val="-6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2"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23"/>
          <w:szCs w:val="23"/>
        </w:rPr>
      </w:pPr>
    </w:p>
    <w:p>
      <w:pPr>
        <w:pStyle w:val="Heading3"/>
        <w:spacing w:line="240" w:lineRule="auto" w:before="35"/>
        <w:ind w:left="152" w:right="1258"/>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2"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headerReference w:type="default" r:id="rId27"/>
          <w:footerReference w:type="default" r:id="rId28"/>
          <w:pgSz w:w="11910" w:h="16840"/>
          <w:pgMar w:header="877" w:footer="982" w:top="1100" w:bottom="1180" w:left="980" w:right="980"/>
          <w:pgNumType w:start="5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1258"/>
        <w:jc w:val="left"/>
        <w:rPr>
          <w:b w:val="0"/>
          <w:bCs w:val="0"/>
        </w:rPr>
      </w:pPr>
      <w:bookmarkStart w:name="_TOC_250005" w:id="7"/>
      <w:r>
        <w:rPr/>
        <w:t>第七节</w:t>
      </w:r>
      <w:r>
        <w:rPr>
          <w:spacing w:val="-8"/>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BodyText"/>
        <w:spacing w:line="338" w:lineRule="auto" w:before="44"/>
        <w:ind w:right="76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headerReference w:type="default" r:id="rId36"/>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1680" w:right="0"/>
        <w:jc w:val="left"/>
        <w:rPr>
          <w:b w:val="0"/>
          <w:bCs w:val="0"/>
        </w:rPr>
      </w:pPr>
      <w:bookmarkStart w:name="_TOC_250004" w:id="8"/>
      <w:r>
        <w:rPr/>
        <w:t>第八节</w:t>
      </w:r>
      <w:r>
        <w:rPr>
          <w:spacing w:val="-17"/>
        </w:rPr>
        <w:t> </w:t>
      </w:r>
      <w:r>
        <w:rPr/>
        <w:t>董事、监事、高级管理人员和员工情况</w:t>
      </w:r>
      <w:bookmarkEnd w:id="8"/>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533"/>
        <w:gridCol w:w="566"/>
        <w:gridCol w:w="568"/>
        <w:gridCol w:w="1134"/>
        <w:gridCol w:w="991"/>
        <w:gridCol w:w="994"/>
        <w:gridCol w:w="798"/>
        <w:gridCol w:w="798"/>
        <w:gridCol w:w="798"/>
        <w:gridCol w:w="1007"/>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80" w:right="80"/>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71" w:right="110"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00" w:right="38"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32"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8"/>
                <w:sz w:val="18"/>
                <w:szCs w:val="18"/>
              </w:rPr>
              <w:t>变动（股</w:t>
            </w:r>
          </w:p>
        </w:tc>
        <w:tc>
          <w:tcPr>
            <w:tcW w:w="10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1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81"/>
                <w:sz w:val="18"/>
                <w:szCs w:val="18"/>
              </w:rPr>
              <w:t> </w:t>
            </w:r>
            <w:r>
              <w:rPr>
                <w:rFonts w:ascii="宋体" w:hAnsi="宋体" w:cs="宋体" w:eastAsia="宋体" w:hint="default"/>
                <w:sz w:val="18"/>
                <w:szCs w:val="18"/>
              </w:rPr>
              <w:t>（股）</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董事长、 总裁</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128,355,740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128,355,740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侯伟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副董事 长、常务 副总裁</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54,487,766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54,487,766</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陈明平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5,396,146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5,396,146</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6,850,000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6,850,000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刘景燕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1,740,000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靳谊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1,305,000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刘微芳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黄旭明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苏小榕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魏建光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220,000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邬海峰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周仁锟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万孝雄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副总裁、 董事会秘 书</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1,839,000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1,839,000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镇千金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1,161,000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1,161,000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86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533"/>
        <w:gridCol w:w="566"/>
        <w:gridCol w:w="568"/>
        <w:gridCol w:w="1134"/>
        <w:gridCol w:w="991"/>
        <w:gridCol w:w="994"/>
        <w:gridCol w:w="798"/>
        <w:gridCol w:w="798"/>
        <w:gridCol w:w="798"/>
        <w:gridCol w:w="1007"/>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尚大斌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倪时龙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宾壮兴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1,560,000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李惠钦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1,160,990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1,160,990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00"/>
              <w:jc w:val="right"/>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204,075,642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204,075,642</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both"/>
        <w:rPr>
          <w:b w:val="0"/>
          <w:bCs w:val="0"/>
        </w:rPr>
      </w:pP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3" w:right="0" w:hanging="360"/>
        <w:jc w:val="left"/>
      </w:pPr>
      <w:r>
        <w:rPr/>
        <w:t>公司现任董事、监事、高级管理人员专业背景、主要工作经历以及目前在公司的主要职责 </w:t>
      </w:r>
      <w:r>
        <w:rPr>
          <w:spacing w:val="-2"/>
        </w:rPr>
        <w:t>鲁峰：中国国籍，男，</w:t>
      </w:r>
      <w:r>
        <w:rPr>
          <w:rFonts w:ascii="Times New Roman" w:hAnsi="Times New Roman" w:cs="Times New Roman" w:eastAsia="Times New Roman" w:hint="default"/>
          <w:spacing w:val="-2"/>
        </w:rPr>
        <w:t>1967</w:t>
      </w:r>
      <w:r>
        <w:rPr>
          <w:spacing w:val="-2"/>
        </w:rPr>
        <w:t>年生，毕业于中科院沈阳计算技术研究所，研究生学历，工学硕士学位。长期从事行业应用</w:t>
      </w:r>
    </w:p>
    <w:p>
      <w:pPr>
        <w:pStyle w:val="BodyText"/>
        <w:spacing w:line="214" w:lineRule="exact"/>
        <w:ind w:left="153" w:right="0"/>
        <w:jc w:val="both"/>
        <w:rPr>
          <w:rFonts w:ascii="Times New Roman" w:hAnsi="Times New Roman" w:cs="Times New Roman" w:eastAsia="Times New Roman" w:hint="default"/>
        </w:rPr>
      </w:pPr>
      <w:r>
        <w:rPr/>
        <w:t>软件开发及计算机信息系统集成工作，</w:t>
      </w:r>
      <w:r>
        <w:rPr>
          <w:rFonts w:ascii="Times New Roman" w:hAnsi="Times New Roman" w:cs="Times New Roman" w:eastAsia="Times New Roman" w:hint="default"/>
        </w:rPr>
        <w:t>1993</w:t>
      </w:r>
      <w:r>
        <w:rPr/>
        <w:t>年参与创建福建榕基软件开发有限公司，主持业务、研发和技术管理工作。</w:t>
      </w:r>
      <w:r>
        <w:rPr>
          <w:rFonts w:ascii="Times New Roman" w:hAnsi="Times New Roman" w:cs="Times New Roman" w:eastAsia="Times New Roman" w:hint="default"/>
        </w:rPr>
        <w:t>2004</w:t>
      </w:r>
    </w:p>
    <w:p>
      <w:pPr>
        <w:pStyle w:val="BodyText"/>
        <w:spacing w:line="307" w:lineRule="auto" w:before="63"/>
        <w:ind w:right="268"/>
        <w:jc w:val="both"/>
      </w:pPr>
      <w:r>
        <w:rPr>
          <w:spacing w:val="-1"/>
        </w:rPr>
        <w:t>年，荣获福建省人事厅、信息产业厅颁发的</w:t>
      </w:r>
      <w:r>
        <w:rPr>
          <w:rFonts w:ascii="Times New Roman" w:hAnsi="Times New Roman" w:cs="Times New Roman" w:eastAsia="Times New Roman" w:hint="default"/>
          <w:spacing w:val="-1"/>
        </w:rPr>
        <w:t>“</w:t>
      </w:r>
      <w:r>
        <w:rPr>
          <w:spacing w:val="-1"/>
        </w:rPr>
        <w:t>首届福建省软件杰出人才</w:t>
      </w:r>
      <w:r>
        <w:rPr>
          <w:rFonts w:ascii="Times New Roman" w:hAnsi="Times New Roman" w:cs="Times New Roman" w:eastAsia="Times New Roman" w:hint="default"/>
          <w:spacing w:val="-1"/>
        </w:rPr>
        <w:t>”</w:t>
      </w:r>
      <w:r>
        <w:rPr>
          <w:spacing w:val="-1"/>
        </w:rPr>
        <w:t>荣誉称号。</w:t>
      </w:r>
      <w:r>
        <w:rPr>
          <w:rFonts w:ascii="Times New Roman" w:hAnsi="Times New Roman" w:cs="Times New Roman" w:eastAsia="Times New Roman" w:hint="default"/>
          <w:spacing w:val="-1"/>
        </w:rPr>
        <w:t>2006</w:t>
      </w:r>
      <w:r>
        <w:rPr>
          <w:spacing w:val="-1"/>
        </w:rPr>
        <w:t>年，荣获福建省</w:t>
      </w:r>
      <w:r>
        <w:rPr>
          <w:rFonts w:ascii="Times New Roman" w:hAnsi="Times New Roman" w:cs="Times New Roman" w:eastAsia="Times New Roman" w:hint="default"/>
          <w:spacing w:val="-1"/>
        </w:rPr>
        <w:t>“</w:t>
      </w:r>
      <w:r>
        <w:rPr>
          <w:spacing w:val="-1"/>
        </w:rPr>
        <w:t>五一</w:t>
      </w:r>
      <w:r>
        <w:rPr>
          <w:rFonts w:ascii="Times New Roman" w:hAnsi="Times New Roman" w:cs="Times New Roman" w:eastAsia="Times New Roman" w:hint="default"/>
          <w:spacing w:val="-1"/>
        </w:rPr>
        <w:t>”</w:t>
      </w:r>
      <w:r>
        <w:rPr>
          <w:spacing w:val="-1"/>
        </w:rPr>
        <w:t>劳动奖章，获</w:t>
      </w:r>
      <w:r>
        <w:rPr>
          <w:spacing w:val="-78"/>
        </w:rPr>
        <w:t> </w:t>
      </w:r>
      <w:r>
        <w:rPr>
          <w:spacing w:val="-78"/>
        </w:rPr>
      </w:r>
      <w:r>
        <w:rPr/>
        <w:t>得福建省</w:t>
      </w:r>
      <w:r>
        <w:rPr>
          <w:rFonts w:ascii="Times New Roman" w:hAnsi="Times New Roman" w:cs="Times New Roman" w:eastAsia="Times New Roman" w:hint="default"/>
        </w:rPr>
        <w:t>“</w:t>
      </w:r>
      <w:r>
        <w:rPr/>
        <w:t>新长征突击手</w:t>
      </w:r>
      <w:r>
        <w:rPr>
          <w:rFonts w:ascii="Times New Roman" w:hAnsi="Times New Roman" w:cs="Times New Roman" w:eastAsia="Times New Roman" w:hint="default"/>
        </w:rPr>
        <w:t>”</w:t>
      </w:r>
      <w:r>
        <w:rPr/>
        <w:t>和</w:t>
      </w:r>
      <w:r>
        <w:rPr>
          <w:rFonts w:ascii="Times New Roman" w:hAnsi="Times New Roman" w:cs="Times New Roman" w:eastAsia="Times New Roman" w:hint="default"/>
        </w:rPr>
        <w:t>“2006</w:t>
      </w:r>
      <w:r>
        <w:rPr/>
        <w:t>中国信息产业年度</w:t>
      </w:r>
      <w:r>
        <w:rPr>
          <w:rFonts w:ascii="Times New Roman" w:hAnsi="Times New Roman" w:cs="Times New Roman" w:eastAsia="Times New Roman" w:hint="default"/>
        </w:rPr>
        <w:t>10</w:t>
      </w:r>
      <w:r>
        <w:rPr/>
        <w:t>大新锐人物</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spacing w:val="-3"/>
        </w:rPr>
        <w:t>、第三届</w:t>
      </w:r>
      <w:r>
        <w:rPr>
          <w:rFonts w:ascii="Times New Roman" w:hAnsi="Times New Roman" w:cs="Times New Roman" w:eastAsia="Times New Roman" w:hint="default"/>
          <w:spacing w:val="-3"/>
        </w:rPr>
        <w:t>“</w:t>
      </w:r>
      <w:r>
        <w:rPr>
          <w:spacing w:val="-3"/>
        </w:rPr>
        <w:t>中国软件行业杰出青年</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海西创业英才</w:t>
      </w:r>
      <w:r>
        <w:rPr>
          <w:rFonts w:ascii="Times New Roman" w:hAnsi="Times New Roman" w:cs="Times New Roman" w:eastAsia="Times New Roman" w:hint="default"/>
          <w:spacing w:val="-3"/>
        </w:rPr>
        <w:t>”</w:t>
      </w:r>
      <w:r>
        <w:rPr>
          <w:spacing w:val="-3"/>
        </w:rPr>
        <w:t>等荣</w:t>
      </w:r>
      <w:r>
        <w:rPr/>
        <w:t> </w:t>
      </w:r>
      <w:r>
        <w:rPr>
          <w:spacing w:val="-2"/>
        </w:rPr>
        <w:t>誉称号。现任公司董事长、总裁、上海榕基软件开发有限公司执行董事、福建亿榕信息技术有限公司董事、福建榕基软件工</w:t>
      </w:r>
      <w:r>
        <w:rPr>
          <w:spacing w:val="-66"/>
        </w:rPr>
        <w:t> </w:t>
      </w:r>
      <w:r>
        <w:rPr>
          <w:spacing w:val="-66"/>
        </w:rPr>
      </w:r>
      <w:r>
        <w:rPr/>
        <w:t>程有限公司执行董事。</w:t>
      </w:r>
    </w:p>
    <w:p>
      <w:pPr>
        <w:pStyle w:val="BodyText"/>
        <w:spacing w:line="309" w:lineRule="auto" w:before="64"/>
        <w:ind w:right="269" w:firstLine="360"/>
        <w:jc w:val="both"/>
      </w:pPr>
      <w:r>
        <w:rPr>
          <w:spacing w:val="-2"/>
        </w:rPr>
        <w:t>侯伟：中国国籍，男，</w:t>
      </w:r>
      <w:r>
        <w:rPr>
          <w:rFonts w:ascii="Times New Roman" w:hAnsi="Times New Roman" w:cs="Times New Roman" w:eastAsia="Times New Roman" w:hint="default"/>
          <w:spacing w:val="-2"/>
        </w:rPr>
        <w:t>1966</w:t>
      </w:r>
      <w:r>
        <w:rPr>
          <w:spacing w:val="-2"/>
        </w:rPr>
        <w:t>年生，毕业于郑州大学，本科学历，学士学位。</w:t>
      </w:r>
      <w:r>
        <w:rPr>
          <w:rFonts w:ascii="Times New Roman" w:hAnsi="Times New Roman" w:cs="Times New Roman" w:eastAsia="Times New Roman" w:hint="default"/>
          <w:spacing w:val="-2"/>
        </w:rPr>
        <w:t>1993</w:t>
      </w:r>
      <w:r>
        <w:rPr>
          <w:spacing w:val="-2"/>
        </w:rPr>
        <w:t>年至今在公司工作，长期从事公司内务</w:t>
      </w:r>
      <w:r>
        <w:rPr/>
        <w:t> </w:t>
      </w:r>
      <w:r>
        <w:rPr>
          <w:spacing w:val="-2"/>
        </w:rPr>
        <w:t>管理和市场管理工作。现任公司副董事长、常务副总裁、浙江榕基信息技术有限公司董事长、福建亿榕信息技术有限公司董</w:t>
      </w:r>
      <w:r>
        <w:rPr>
          <w:spacing w:val="-66"/>
        </w:rPr>
        <w:t> </w:t>
      </w:r>
      <w:r>
        <w:rPr>
          <w:spacing w:val="-66"/>
        </w:rPr>
      </w:r>
      <w:r>
        <w:rPr/>
        <w:t>事、星榕基董事长。</w:t>
      </w:r>
    </w:p>
    <w:p>
      <w:pPr>
        <w:pStyle w:val="BodyText"/>
        <w:spacing w:line="300" w:lineRule="auto" w:before="62"/>
        <w:ind w:right="269" w:firstLine="360"/>
        <w:jc w:val="both"/>
      </w:pPr>
      <w:r>
        <w:rPr>
          <w:spacing w:val="-2"/>
        </w:rPr>
        <w:t>陈明平：中国国籍，男，</w:t>
      </w:r>
      <w:r>
        <w:rPr>
          <w:rFonts w:ascii="Times New Roman" w:hAnsi="Times New Roman" w:cs="Times New Roman" w:eastAsia="Times New Roman" w:hint="default"/>
          <w:spacing w:val="-2"/>
        </w:rPr>
        <w:t>1974</w:t>
      </w:r>
      <w:r>
        <w:rPr>
          <w:spacing w:val="-2"/>
        </w:rPr>
        <w:t>年生，毕业于北京理工大学，本科学历，工程师。长期从事行业应用软件开发及计算机信</w:t>
      </w:r>
      <w:r>
        <w:rPr/>
        <w:t> </w:t>
      </w:r>
      <w:r>
        <w:rPr>
          <w:spacing w:val="-2"/>
        </w:rPr>
        <w:t>息系统集成工作，</w:t>
      </w:r>
      <w:r>
        <w:rPr>
          <w:rFonts w:ascii="Times New Roman" w:hAnsi="Times New Roman" w:cs="Times New Roman" w:eastAsia="Times New Roman" w:hint="default"/>
          <w:spacing w:val="-2"/>
        </w:rPr>
        <w:t>2001</w:t>
      </w:r>
      <w:r>
        <w:rPr>
          <w:spacing w:val="-2"/>
        </w:rPr>
        <w:t>年加入公司，负责企业技术开发及管理工作。具有较强的技术管理能力，负责公司技术管理体系的建</w:t>
      </w:r>
      <w:r>
        <w:rPr>
          <w:spacing w:val="-62"/>
        </w:rPr>
        <w:t> </w:t>
      </w:r>
      <w:r>
        <w:rPr>
          <w:spacing w:val="-62"/>
        </w:rPr>
      </w:r>
      <w:r>
        <w:rPr/>
        <w:t>设和维护，对软件行业具有深入的理解和丰富的实践经验，曾获</w:t>
      </w:r>
      <w:r>
        <w:rPr>
          <w:rFonts w:ascii="Times New Roman" w:hAnsi="Times New Roman" w:cs="Times New Roman" w:eastAsia="Times New Roman" w:hint="default"/>
        </w:rPr>
        <w:t>“</w:t>
      </w:r>
      <w:r>
        <w:rPr/>
        <w:t>首届福建</w:t>
      </w:r>
      <w:r>
        <w:rPr>
          <w:rFonts w:ascii="Times New Roman" w:hAnsi="Times New Roman" w:cs="Times New Roman" w:eastAsia="Times New Roman" w:hint="default"/>
        </w:rPr>
        <w:t>IT</w:t>
      </w:r>
      <w:r>
        <w:rPr/>
        <w:t>行业十大杰出青年</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第二届福建省软件杰出 人才</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第二届福州市杰出科技人员</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第十二届福建青年科技奖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中国电子学会电子信息科学技术奖二等奖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福建省 职工优秀技术创新成果二等奖</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福建省优秀新产品二等奖</w:t>
      </w:r>
      <w:r>
        <w:rPr>
          <w:rFonts w:ascii="Times New Roman" w:hAnsi="Times New Roman" w:cs="Times New Roman" w:eastAsia="Times New Roman" w:hint="default"/>
        </w:rPr>
        <w:t>”</w:t>
      </w:r>
      <w:r>
        <w:rPr/>
        <w:t>。现任公司董事、副总裁兼技术总监、福建榕基软件工程有限 公司总经理。</w:t>
      </w:r>
    </w:p>
    <w:p>
      <w:pPr>
        <w:pStyle w:val="BodyText"/>
        <w:spacing w:line="302" w:lineRule="auto" w:before="71"/>
        <w:ind w:right="271" w:firstLine="360"/>
        <w:jc w:val="both"/>
      </w:pPr>
      <w:r>
        <w:rPr>
          <w:spacing w:val="-2"/>
        </w:rPr>
        <w:t>刘景燕：中国国籍，女，</w:t>
      </w:r>
      <w:r>
        <w:rPr>
          <w:rFonts w:ascii="Times New Roman" w:hAnsi="Times New Roman" w:cs="Times New Roman" w:eastAsia="Times New Roman" w:hint="default"/>
          <w:spacing w:val="-2"/>
        </w:rPr>
        <w:t>1973</w:t>
      </w:r>
      <w:r>
        <w:rPr>
          <w:spacing w:val="-2"/>
        </w:rPr>
        <w:t>年生，工程硕士。</w:t>
      </w:r>
      <w:r>
        <w:rPr>
          <w:rFonts w:ascii="Times New Roman" w:hAnsi="Times New Roman" w:cs="Times New Roman" w:eastAsia="Times New Roman" w:hint="default"/>
          <w:spacing w:val="-2"/>
        </w:rPr>
        <w:t>1999</w:t>
      </w:r>
      <w:r>
        <w:rPr>
          <w:spacing w:val="-2"/>
        </w:rPr>
        <w:t>年加入公司，先后担任项目管理部经理，运营总监。具有较强的经</w:t>
      </w:r>
      <w:r>
        <w:rPr/>
        <w:t> 营管理能力，负责公司企业运营管理工作。现任公司董事。</w:t>
      </w:r>
    </w:p>
    <w:p>
      <w:pPr>
        <w:pStyle w:val="BodyText"/>
        <w:spacing w:line="309" w:lineRule="auto" w:before="68"/>
        <w:ind w:left="153" w:right="270" w:firstLine="360"/>
        <w:jc w:val="both"/>
      </w:pPr>
      <w:r>
        <w:rPr>
          <w:spacing w:val="-2"/>
        </w:rPr>
        <w:t>赵坚：中国国籍，男，</w:t>
      </w:r>
      <w:r>
        <w:rPr>
          <w:rFonts w:ascii="Times New Roman" w:hAnsi="Times New Roman" w:cs="Times New Roman" w:eastAsia="Times New Roman" w:hint="default"/>
          <w:spacing w:val="-2"/>
        </w:rPr>
        <w:t>1972</w:t>
      </w:r>
      <w:r>
        <w:rPr>
          <w:spacing w:val="-2"/>
        </w:rPr>
        <w:t>年生，毕业于福州大学工业电气自动化专业，本科学历。</w:t>
      </w:r>
      <w:r>
        <w:rPr>
          <w:rFonts w:ascii="Times New Roman" w:hAnsi="Times New Roman" w:cs="Times New Roman" w:eastAsia="Times New Roman" w:hint="default"/>
          <w:spacing w:val="-2"/>
        </w:rPr>
        <w:t>1997</w:t>
      </w:r>
      <w:r>
        <w:rPr>
          <w:spacing w:val="-2"/>
        </w:rPr>
        <w:t>年加入公司，先后担任系统集</w:t>
      </w:r>
      <w:r>
        <w:rPr/>
        <w:t> </w:t>
      </w:r>
      <w:r>
        <w:rPr>
          <w:spacing w:val="-2"/>
        </w:rPr>
        <w:t>成工程师、项目经理、系统集成部经理、业务副总监。现负责企业计算机系统集成、音视频系统集成、办公自动化软件、定</w:t>
      </w:r>
      <w:r>
        <w:rPr>
          <w:spacing w:val="-65"/>
        </w:rPr>
        <w:t> </w:t>
      </w:r>
      <w:r>
        <w:rPr>
          <w:spacing w:val="-65"/>
        </w:rPr>
      </w:r>
      <w:r>
        <w:rPr>
          <w:spacing w:val="-1"/>
        </w:rPr>
        <w:t>制</w:t>
      </w:r>
      <w:r>
        <w:rPr>
          <w:rFonts w:ascii="Times New Roman" w:hAnsi="Times New Roman" w:cs="Times New Roman" w:eastAsia="Times New Roman" w:hint="default"/>
          <w:spacing w:val="-1"/>
        </w:rPr>
        <w:t>MIS</w:t>
      </w:r>
      <w:r>
        <w:rPr>
          <w:spacing w:val="-1"/>
        </w:rPr>
        <w:t>软件等工程项目的实施及服务管理工作。具有较强的技术管理能力，承担公司工程项目管理体系的建设和维护，对</w:t>
      </w:r>
      <w:r>
        <w:rPr>
          <w:rFonts w:ascii="Times New Roman" w:hAnsi="Times New Roman" w:cs="Times New Roman" w:eastAsia="Times New Roman" w:hint="default"/>
          <w:spacing w:val="-1"/>
        </w:rPr>
        <w:t>IT</w:t>
      </w:r>
      <w:r>
        <w:rPr>
          <w:rFonts w:ascii="Times New Roman" w:hAnsi="Times New Roman" w:cs="Times New Roman" w:eastAsia="Times New Roman" w:hint="default"/>
          <w:spacing w:val="-24"/>
        </w:rPr>
        <w:t> </w:t>
      </w:r>
      <w:r>
        <w:rPr>
          <w:spacing w:val="-2"/>
        </w:rPr>
        <w:t>行业的工程管理具有深入的理解和丰富的实践经验，具有较强的大型系统集成项目分析和整合规划能力，主持了公司多个重</w:t>
      </w:r>
      <w:r>
        <w:rPr>
          <w:spacing w:val="-64"/>
        </w:rPr>
        <w:t> </w:t>
      </w:r>
      <w:r>
        <w:rPr>
          <w:spacing w:val="-64"/>
        </w:rPr>
      </w:r>
      <w:r>
        <w:rPr/>
        <w:t>点项目的规划、实施工作。现任公司董事、工程中心总经理。</w:t>
      </w:r>
    </w:p>
    <w:p>
      <w:pPr>
        <w:pStyle w:val="BodyText"/>
        <w:spacing w:line="309" w:lineRule="auto" w:before="62"/>
        <w:ind w:left="153" w:right="268" w:firstLine="360"/>
        <w:jc w:val="both"/>
      </w:pPr>
      <w:r>
        <w:rPr>
          <w:spacing w:val="-2"/>
        </w:rPr>
        <w:t>靳谊：中国国籍，男，</w:t>
      </w:r>
      <w:r>
        <w:rPr>
          <w:rFonts w:ascii="Times New Roman" w:hAnsi="Times New Roman" w:cs="Times New Roman" w:eastAsia="Times New Roman" w:hint="default"/>
          <w:spacing w:val="-2"/>
        </w:rPr>
        <w:t>1975</w:t>
      </w:r>
      <w:r>
        <w:rPr>
          <w:spacing w:val="-2"/>
        </w:rPr>
        <w:t>年生，毕业于武汉理工大学计算机科学与技术专业，专科学历。</w:t>
      </w:r>
      <w:r>
        <w:rPr>
          <w:rFonts w:ascii="Times New Roman" w:hAnsi="Times New Roman" w:cs="Times New Roman" w:eastAsia="Times New Roman" w:hint="default"/>
          <w:spacing w:val="-2"/>
        </w:rPr>
        <w:t>1998</w:t>
      </w:r>
      <w:r>
        <w:rPr>
          <w:spacing w:val="-2"/>
        </w:rPr>
        <w:t>年加入公司，先后担任</w:t>
      </w:r>
      <w:r>
        <w:rPr/>
        <w:t> </w:t>
      </w:r>
      <w:r>
        <w:rPr>
          <w:spacing w:val="-2"/>
        </w:rPr>
        <w:t>工程师、项目经理、资深工程师、副主任工程师、主任工程师、协同管理事业部经理。具有较强的研发管理能力与大型企业</w:t>
      </w:r>
      <w:r>
        <w:rPr>
          <w:spacing w:val="-68"/>
        </w:rPr>
        <w:t> </w:t>
      </w:r>
      <w:r>
        <w:rPr>
          <w:spacing w:val="-68"/>
        </w:rPr>
      </w:r>
      <w:r>
        <w:rPr/>
        <w:t>管理信息系统分析和整合规划能力，负责协同管理业务技术管理以及企业内部信息系统建设工作，主持设计研发了</w:t>
      </w:r>
      <w:r>
        <w:rPr>
          <w:rFonts w:ascii="Times New Roman" w:hAnsi="Times New Roman" w:cs="Times New Roman" w:eastAsia="Times New Roman" w:hint="default"/>
        </w:rPr>
        <w:t>“</w:t>
      </w:r>
      <w:r>
        <w:rPr/>
        <w:t>榕基电</w:t>
      </w:r>
    </w:p>
    <w:p>
      <w:pPr>
        <w:spacing w:after="0" w:line="309" w:lineRule="auto"/>
        <w:jc w:val="both"/>
        <w:sectPr>
          <w:pgSz w:w="11910" w:h="16840"/>
          <w:pgMar w:header="877" w:footer="982" w:top="1100" w:bottom="1180" w:left="980" w:right="860"/>
        </w:sectPr>
      </w:pPr>
    </w:p>
    <w:p>
      <w:pPr>
        <w:spacing w:line="240" w:lineRule="auto" w:before="12"/>
        <w:rPr>
          <w:rFonts w:ascii="宋体" w:hAnsi="宋体" w:cs="宋体" w:eastAsia="宋体" w:hint="default"/>
          <w:sz w:val="21"/>
          <w:szCs w:val="21"/>
        </w:rPr>
      </w:pPr>
    </w:p>
    <w:p>
      <w:pPr>
        <w:pStyle w:val="BodyText"/>
        <w:spacing w:line="300" w:lineRule="auto" w:before="44"/>
        <w:ind w:right="91"/>
        <w:jc w:val="left"/>
      </w:pPr>
      <w:r>
        <w:rPr/>
        <w:t>子单证系统</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榕基</w:t>
      </w:r>
      <w:r>
        <w:rPr>
          <w:rFonts w:ascii="Times New Roman" w:hAnsi="Times New Roman" w:cs="Times New Roman" w:eastAsia="Times New Roman" w:hint="default"/>
        </w:rPr>
        <w:t>I-TASK</w:t>
      </w:r>
      <w:r>
        <w:rPr/>
        <w:t>任务管理平台</w:t>
      </w:r>
      <w:r>
        <w:rPr>
          <w:rFonts w:ascii="Times New Roman" w:hAnsi="Times New Roman" w:cs="Times New Roman" w:eastAsia="Times New Roman" w:hint="default"/>
        </w:rPr>
        <w:t>”</w:t>
      </w:r>
      <w:r>
        <w:rPr/>
        <w:t>等公司战略产品以及能源、质检等行业十多项软件产品，曾获</w:t>
      </w:r>
      <w:r>
        <w:rPr>
          <w:rFonts w:ascii="Times New Roman" w:hAnsi="Times New Roman" w:cs="Times New Roman" w:eastAsia="Times New Roman" w:hint="default"/>
        </w:rPr>
        <w:t>“</w:t>
      </w:r>
      <w:r>
        <w:rPr/>
        <w:t>福州市科学技术 奖三等奖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福建省优秀信息主管</w:t>
      </w:r>
      <w:r>
        <w:rPr>
          <w:rFonts w:ascii="Times New Roman" w:hAnsi="Times New Roman" w:cs="Times New Roman" w:eastAsia="Times New Roman" w:hint="default"/>
        </w:rPr>
        <w:t>(CIO) ”</w:t>
      </w:r>
      <w:r>
        <w:rPr/>
        <w:t>、</w:t>
      </w:r>
      <w:r>
        <w:rPr>
          <w:rFonts w:ascii="Times New Roman" w:hAnsi="Times New Roman" w:cs="Times New Roman" w:eastAsia="Times New Roman" w:hint="default"/>
        </w:rPr>
        <w:t>“2009</w:t>
      </w:r>
      <w:r>
        <w:rPr/>
        <w:t>信息化年度贡献人物</w:t>
      </w:r>
      <w:r>
        <w:rPr>
          <w:rFonts w:ascii="Times New Roman" w:hAnsi="Times New Roman" w:cs="Times New Roman" w:eastAsia="Times New Roman" w:hint="default"/>
        </w:rPr>
        <w:t>”</w:t>
      </w:r>
      <w:r>
        <w:rPr/>
        <w:t>。现任公司董事、副总裁、首席信息官、研发总监、</w:t>
      </w:r>
      <w:r>
        <w:rPr>
          <w:spacing w:val="-73"/>
        </w:rPr>
        <w:t> </w:t>
      </w:r>
      <w:r>
        <w:rPr/>
        <w:t>北京中榕基信息技术有限公司总经理。</w:t>
      </w:r>
    </w:p>
    <w:p>
      <w:pPr>
        <w:pStyle w:val="BodyText"/>
        <w:spacing w:line="307" w:lineRule="auto" w:before="70"/>
        <w:ind w:right="191" w:firstLine="360"/>
        <w:jc w:val="both"/>
      </w:pPr>
      <w:r>
        <w:rPr>
          <w:spacing w:val="-2"/>
        </w:rPr>
        <w:t>刘微芳：中国国籍，女，</w:t>
      </w:r>
      <w:r>
        <w:rPr>
          <w:rFonts w:ascii="Times New Roman" w:hAnsi="Times New Roman" w:cs="Times New Roman" w:eastAsia="Times New Roman" w:hint="default"/>
          <w:spacing w:val="-2"/>
        </w:rPr>
        <w:t>1970</w:t>
      </w:r>
      <w:r>
        <w:rPr>
          <w:spacing w:val="-2"/>
        </w:rPr>
        <w:t>年生，中共党员，研究生学历，副教授，中国注册会计师，中国注册资产评估师。曾任福</w:t>
      </w:r>
      <w:r>
        <w:rPr/>
        <w:t> 州大学管理学院专业学位教育中心副主任，福州大学</w:t>
      </w:r>
      <w:r>
        <w:rPr>
          <w:rFonts w:ascii="Times New Roman" w:hAnsi="Times New Roman" w:cs="Times New Roman" w:eastAsia="Times New Roman" w:hint="default"/>
        </w:rPr>
        <w:t>MBA</w:t>
      </w:r>
      <w:r>
        <w:rPr/>
        <w:t>教育中心办公室副主任。现任福州大学管理学院会计系副教授， </w:t>
      </w:r>
      <w:r>
        <w:rPr>
          <w:spacing w:val="-2"/>
        </w:rPr>
        <w:t>硕士生导师，福州大学管理学院创业投资与企业财务管理研究所副所长，昇兴集团股份有限公司、福建三鑫隆信息技术开发</w:t>
      </w:r>
      <w:r>
        <w:rPr>
          <w:spacing w:val="-66"/>
        </w:rPr>
        <w:t> </w:t>
      </w:r>
      <w:r>
        <w:rPr>
          <w:spacing w:val="-66"/>
        </w:rPr>
      </w:r>
      <w:r>
        <w:rPr/>
        <w:t>股份有限公司独立董事。现任公司独立董事。</w:t>
      </w:r>
    </w:p>
    <w:p>
      <w:pPr>
        <w:pStyle w:val="BodyText"/>
        <w:spacing w:line="300" w:lineRule="auto" w:before="65"/>
        <w:ind w:right="192" w:firstLine="360"/>
        <w:jc w:val="both"/>
      </w:pPr>
      <w:r>
        <w:rPr>
          <w:spacing w:val="-4"/>
        </w:rPr>
        <w:t>黄旭明：中国国籍，男，</w:t>
      </w:r>
      <w:r>
        <w:rPr>
          <w:rFonts w:ascii="Times New Roman" w:hAnsi="Times New Roman" w:cs="Times New Roman" w:eastAsia="Times New Roman" w:hint="default"/>
          <w:spacing w:val="-4"/>
        </w:rPr>
        <w:t>1960</w:t>
      </w:r>
      <w:r>
        <w:rPr>
          <w:spacing w:val="-4"/>
        </w:rPr>
        <w:t>年生，中共党员，本科学历，副教授，工信部计算机信息系统集成企业主评审员。曾任</w:t>
      </w:r>
      <w:r>
        <w:rPr>
          <w:rFonts w:ascii="Times New Roman" w:hAnsi="Times New Roman" w:cs="Times New Roman" w:eastAsia="Times New Roman" w:hint="default"/>
          <w:spacing w:val="-4"/>
        </w:rPr>
        <w:t>“</w:t>
      </w:r>
      <w:r>
        <w:rPr>
          <w:spacing w:val="-4"/>
        </w:rPr>
        <w:t>数</w:t>
      </w:r>
      <w:r>
        <w:rPr/>
        <w:t> 字福建</w:t>
      </w:r>
      <w:r>
        <w:rPr>
          <w:rFonts w:ascii="Times New Roman" w:hAnsi="Times New Roman" w:cs="Times New Roman" w:eastAsia="Times New Roman" w:hint="default"/>
        </w:rPr>
        <w:t>”</w:t>
      </w:r>
      <w:r>
        <w:rPr/>
        <w:t>专家委员会委员、福建师范大学软件人才培养基地主任、福建师范大学信息技术学院主持工作副院长、福建师范大 学应用科技学院副院长。现任福建师范大学数学与计算机科学学院副教授，硕士生导师。现任公司独立董事。</w:t>
      </w:r>
    </w:p>
    <w:p>
      <w:pPr>
        <w:pStyle w:val="BodyText"/>
        <w:spacing w:line="312" w:lineRule="auto" w:before="70"/>
        <w:ind w:right="189" w:firstLine="360"/>
        <w:jc w:val="both"/>
      </w:pPr>
      <w:r>
        <w:rPr>
          <w:spacing w:val="-1"/>
        </w:rPr>
        <w:t>苏小榕：中国国籍，男，</w:t>
      </w:r>
      <w:r>
        <w:rPr>
          <w:rFonts w:ascii="Times New Roman" w:hAnsi="Times New Roman" w:cs="Times New Roman" w:eastAsia="Times New Roman" w:hint="default"/>
          <w:spacing w:val="-1"/>
        </w:rPr>
        <w:t>1973</w:t>
      </w:r>
      <w:r>
        <w:rPr>
          <w:spacing w:val="-1"/>
        </w:rPr>
        <w:t>年生，中共党员，硕士学历，律师，中国德和精品律所联盟（</w:t>
      </w:r>
      <w:r>
        <w:rPr>
          <w:rFonts w:ascii="Times New Roman" w:hAnsi="Times New Roman" w:cs="Times New Roman" w:eastAsia="Times New Roman" w:hint="default"/>
          <w:spacing w:val="-1"/>
        </w:rPr>
        <w:t>ECLA</w:t>
      </w:r>
      <w:r>
        <w:rPr>
          <w:spacing w:val="-1"/>
        </w:rPr>
        <w:t>）联合税法业务团队</w:t>
      </w:r>
      <w:r>
        <w:rPr/>
        <w:t> </w:t>
      </w:r>
      <w:r>
        <w:rPr>
          <w:spacing w:val="-2"/>
        </w:rPr>
        <w:t>主任、福州市律师协会青年律师教育与培训专业委员会副主任、华东政法大学律师学院咨询委员会委员、福建工程学院法学</w:t>
      </w:r>
      <w:r>
        <w:rPr>
          <w:spacing w:val="-66"/>
        </w:rPr>
        <w:t> </w:t>
      </w:r>
      <w:r>
        <w:rPr>
          <w:spacing w:val="-66"/>
        </w:rPr>
      </w:r>
      <w:r>
        <w:rPr>
          <w:spacing w:val="-2"/>
        </w:rPr>
        <w:t>系兼职教授。曾任福建浩辰律师事务所合伙人、律师。现任福建拓维律师事务所高级合伙人、律师，富春通信股份有限公司</w:t>
      </w:r>
      <w:r>
        <w:rPr>
          <w:spacing w:val="-65"/>
        </w:rPr>
        <w:t> </w:t>
      </w:r>
      <w:r>
        <w:rPr>
          <w:spacing w:val="-65"/>
        </w:rPr>
      </w:r>
      <w:r>
        <w:rPr/>
        <w:t>独立董事。现任公司独立董事。</w:t>
      </w:r>
    </w:p>
    <w:p>
      <w:pPr>
        <w:pStyle w:val="BodyText"/>
        <w:spacing w:line="302" w:lineRule="auto" w:before="61"/>
        <w:ind w:right="198" w:firstLine="360"/>
        <w:jc w:val="both"/>
      </w:pPr>
      <w:r>
        <w:rPr/>
        <w:t>魏建光：中国国籍，男，</w:t>
      </w:r>
      <w:r>
        <w:rPr>
          <w:rFonts w:ascii="Times New Roman" w:hAnsi="Times New Roman" w:cs="Times New Roman" w:eastAsia="Times New Roman" w:hint="default"/>
        </w:rPr>
        <w:t>1980</w:t>
      </w:r>
      <w:r>
        <w:rPr/>
        <w:t>年生，毕业于福州大学，研究生学历，工商管理硕士。</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7</w:t>
      </w:r>
      <w:r>
        <w:rPr/>
        <w:t>月至今就职于公司，现任 榕基软件园福州项目部总经理。</w:t>
      </w:r>
    </w:p>
    <w:p>
      <w:pPr>
        <w:pStyle w:val="BodyText"/>
        <w:spacing w:line="302" w:lineRule="auto" w:before="69"/>
        <w:ind w:right="188" w:firstLine="360"/>
        <w:jc w:val="both"/>
      </w:pPr>
      <w:r>
        <w:rPr>
          <w:spacing w:val="-2"/>
        </w:rPr>
        <w:t>邬海峰：中国国籍，男，</w:t>
      </w:r>
      <w:r>
        <w:rPr>
          <w:rFonts w:ascii="Times New Roman" w:hAnsi="Times New Roman" w:cs="Times New Roman" w:eastAsia="Times New Roman" w:hint="default"/>
          <w:spacing w:val="-2"/>
        </w:rPr>
        <w:t>1973</w:t>
      </w:r>
      <w:r>
        <w:rPr>
          <w:spacing w:val="-2"/>
        </w:rPr>
        <w:t>年生，毕业于武汉大学电子工程专业，本科学历。</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2</w:t>
      </w:r>
      <w:r>
        <w:rPr>
          <w:spacing w:val="-2"/>
        </w:rPr>
        <w:t>月任职于上海航天</w:t>
      </w:r>
      <w:r>
        <w:rPr/>
        <w:t> 测控通讯研究所，</w:t>
      </w:r>
      <w:r>
        <w:rPr>
          <w:rFonts w:ascii="Times New Roman" w:hAnsi="Times New Roman" w:cs="Times New Roman" w:eastAsia="Times New Roman" w:hint="default"/>
        </w:rPr>
        <w:t>1998  </w:t>
      </w:r>
      <w:r>
        <w:rPr/>
        <w:t>年</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月加入公司。曾任工程中心项目经理，现任上海榕基软件开发有限公司副总经理。</w:t>
      </w:r>
    </w:p>
    <w:p>
      <w:pPr>
        <w:pStyle w:val="BodyText"/>
        <w:spacing w:line="309" w:lineRule="auto" w:before="49"/>
        <w:ind w:right="191" w:firstLine="360"/>
        <w:jc w:val="both"/>
      </w:pPr>
      <w:r>
        <w:rPr>
          <w:spacing w:val="-2"/>
        </w:rPr>
        <w:t>周仁锟：中国国籍，男，</w:t>
      </w:r>
      <w:r>
        <w:rPr>
          <w:rFonts w:ascii="Times New Roman" w:hAnsi="Times New Roman" w:cs="Times New Roman" w:eastAsia="Times New Roman" w:hint="default"/>
          <w:spacing w:val="-2"/>
        </w:rPr>
        <w:t>1976</w:t>
      </w:r>
      <w:r>
        <w:rPr>
          <w:spacing w:val="-2"/>
        </w:rPr>
        <w:t>年生，毕业于中南工业大学管理信息系统专业，本科学历。</w:t>
      </w:r>
      <w:r>
        <w:rPr>
          <w:rFonts w:ascii="Times New Roman" w:hAnsi="Times New Roman" w:cs="Times New Roman" w:eastAsia="Times New Roman" w:hint="default"/>
          <w:spacing w:val="-2"/>
        </w:rPr>
        <w:t>1999</w:t>
      </w:r>
      <w:r>
        <w:rPr>
          <w:spacing w:val="-2"/>
        </w:rPr>
        <w:t>年加入公司，曾任公司项</w:t>
      </w:r>
      <w:r>
        <w:rPr/>
        <w:t> </w:t>
      </w:r>
      <w:r>
        <w:rPr>
          <w:spacing w:val="-2"/>
        </w:rPr>
        <w:t>目经理、资深工程师、副主任工程师。具有较强的项目组织管理和产品研发能力，在管理信息系统、电子政务等领域有着深</w:t>
      </w:r>
      <w:r>
        <w:rPr>
          <w:spacing w:val="-66"/>
        </w:rPr>
        <w:t> </w:t>
      </w:r>
      <w:r>
        <w:rPr>
          <w:spacing w:val="-66"/>
        </w:rPr>
      </w:r>
      <w:r>
        <w:rPr/>
        <w:t>入的技术研究和丰富的实践经验，参与研制了</w:t>
      </w:r>
      <w:r>
        <w:rPr>
          <w:rFonts w:ascii="Times New Roman" w:hAnsi="Times New Roman" w:cs="Times New Roman" w:eastAsia="Times New Roman" w:hint="default"/>
        </w:rPr>
        <w:t>“</w:t>
      </w:r>
      <w:r>
        <w:rPr/>
        <w:t>榕基政务信息化系统（</w:t>
      </w:r>
      <w:r>
        <w:rPr>
          <w:rFonts w:ascii="Times New Roman" w:hAnsi="Times New Roman" w:cs="Times New Roman" w:eastAsia="Times New Roman" w:hint="default"/>
        </w:rPr>
        <w:t>RJ-eGov</w:t>
      </w:r>
      <w:r>
        <w:rPr/>
        <w:t>）</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榕基电子公文传输交换系统</w:t>
      </w:r>
    </w:p>
    <w:p>
      <w:pPr>
        <w:pStyle w:val="BodyText"/>
        <w:spacing w:line="302" w:lineRule="auto" w:before="5"/>
        <w:ind w:right="241"/>
        <w:jc w:val="left"/>
      </w:pPr>
      <w:r>
        <w:rPr/>
        <w:t>（</w:t>
      </w:r>
      <w:r>
        <w:rPr>
          <w:rFonts w:ascii="Times New Roman" w:hAnsi="Times New Roman" w:cs="Times New Roman" w:eastAsia="Times New Roman" w:hint="default"/>
        </w:rPr>
        <w:t>RJ-Exchange</w:t>
      </w:r>
      <w:r>
        <w:rPr/>
        <w:t>）</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榕基内容管理系统（</w:t>
      </w:r>
      <w:r>
        <w:rPr>
          <w:rFonts w:ascii="Times New Roman" w:hAnsi="Times New Roman" w:cs="Times New Roman" w:eastAsia="Times New Roman" w:hint="default"/>
        </w:rPr>
        <w:t>RJ-CMS</w:t>
      </w:r>
      <w:r>
        <w:rPr/>
        <w:t>）</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榕基法院审判业务管理系统（</w:t>
      </w:r>
      <w:r>
        <w:rPr>
          <w:rFonts w:ascii="Times New Roman" w:hAnsi="Times New Roman" w:cs="Times New Roman" w:eastAsia="Times New Roman" w:hint="default"/>
        </w:rPr>
        <w:t>RJ-Court</w:t>
      </w:r>
      <w:r>
        <w:rPr/>
        <w:t>）</w:t>
      </w:r>
      <w:r>
        <w:rPr>
          <w:rFonts w:ascii="Times New Roman" w:hAnsi="Times New Roman" w:cs="Times New Roman" w:eastAsia="Times New Roman" w:hint="default"/>
        </w:rPr>
        <w:t>”</w:t>
      </w:r>
      <w:r>
        <w:rPr/>
        <w:t>等公司产品，曾获</w:t>
      </w:r>
      <w:r>
        <w:rPr>
          <w:rFonts w:ascii="Times New Roman" w:hAnsi="Times New Roman" w:cs="Times New Roman" w:eastAsia="Times New Roman" w:hint="default"/>
        </w:rPr>
        <w:t>“</w:t>
      </w:r>
      <w:r>
        <w:rPr/>
        <w:t>福建 省职工优秀技术创新成果二等奖</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福建省优秀新产品二等奖</w:t>
      </w:r>
      <w:r>
        <w:rPr>
          <w:rFonts w:ascii="Times New Roman" w:hAnsi="Times New Roman" w:cs="Times New Roman" w:eastAsia="Times New Roman" w:hint="default"/>
        </w:rPr>
        <w:t>”</w:t>
      </w:r>
      <w:r>
        <w:rPr/>
        <w:t>。</w:t>
      </w:r>
      <w:r>
        <w:rPr>
          <w:spacing w:val="-20"/>
        </w:rPr>
        <w:t> </w:t>
      </w:r>
      <w:r>
        <w:rPr/>
        <w:t>现任公司主任工程师。</w:t>
      </w:r>
    </w:p>
    <w:p>
      <w:pPr>
        <w:pStyle w:val="BodyText"/>
        <w:spacing w:line="309" w:lineRule="auto" w:before="49"/>
        <w:ind w:right="191" w:firstLine="360"/>
        <w:jc w:val="both"/>
      </w:pPr>
      <w:r>
        <w:rPr/>
        <w:t>万孝雄：中国国籍，男，</w:t>
      </w:r>
      <w:r>
        <w:rPr>
          <w:rFonts w:ascii="Times New Roman" w:hAnsi="Times New Roman" w:cs="Times New Roman" w:eastAsia="Times New Roman" w:hint="default"/>
        </w:rPr>
        <w:t>1977 </w:t>
      </w:r>
      <w:r>
        <w:rPr/>
        <w:t>年生，毕业于福州大学，研究生学历，工商管理硕士。</w:t>
      </w:r>
      <w:r>
        <w:rPr>
          <w:rFonts w:ascii="Times New Roman" w:hAnsi="Times New Roman" w:cs="Times New Roman" w:eastAsia="Times New Roman" w:hint="default"/>
        </w:rPr>
        <w:t>2001</w:t>
      </w:r>
      <w:r>
        <w:rPr>
          <w:rFonts w:ascii="Times New Roman" w:hAnsi="Times New Roman" w:cs="Times New Roman" w:eastAsia="Times New Roman" w:hint="default"/>
          <w:spacing w:val="-18"/>
        </w:rPr>
        <w:t> </w:t>
      </w:r>
      <w:r>
        <w:rPr/>
        <w:t>年加入公司，先后担任研发 </w:t>
      </w:r>
      <w:r>
        <w:rPr>
          <w:spacing w:val="-2"/>
        </w:rPr>
        <w:t>副总监，营销总监。具有较强的技术管理能力，负责公司信息安全业务技术管理工作，对信息安全具有深入的理解，具有丰</w:t>
      </w:r>
      <w:r>
        <w:rPr>
          <w:spacing w:val="-66"/>
        </w:rPr>
        <w:t> </w:t>
      </w:r>
      <w:r>
        <w:rPr>
          <w:spacing w:val="-66"/>
        </w:rPr>
      </w:r>
      <w:r>
        <w:rPr/>
        <w:t>富的安全管理、安全服务、安全培训等实践经验，主持研发了</w:t>
      </w:r>
      <w:r>
        <w:rPr>
          <w:rFonts w:ascii="Times New Roman" w:hAnsi="Times New Roman" w:cs="Times New Roman" w:eastAsia="Times New Roman" w:hint="default"/>
        </w:rPr>
        <w:t>“</w:t>
      </w:r>
      <w:r>
        <w:rPr/>
        <w:t>榕基网络隐患扫描系统（</w:t>
      </w:r>
      <w:r>
        <w:rPr>
          <w:rFonts w:ascii="Times New Roman" w:hAnsi="Times New Roman" w:cs="Times New Roman" w:eastAsia="Times New Roman" w:hint="default"/>
        </w:rPr>
        <w:t>RJ-iTop</w:t>
      </w:r>
      <w:r>
        <w:rPr/>
        <w:t>）</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榕基风险管理系统</w:t>
      </w:r>
    </w:p>
    <w:p>
      <w:pPr>
        <w:pStyle w:val="BodyText"/>
        <w:spacing w:line="302" w:lineRule="auto" w:before="5"/>
        <w:ind w:right="184"/>
        <w:jc w:val="left"/>
      </w:pPr>
      <w:r>
        <w:rPr>
          <w:spacing w:val="-2"/>
        </w:rPr>
        <w:t>（</w:t>
      </w:r>
      <w:r>
        <w:rPr>
          <w:rFonts w:ascii="Times New Roman" w:hAnsi="Times New Roman" w:cs="Times New Roman" w:eastAsia="Times New Roman" w:hint="default"/>
          <w:spacing w:val="-2"/>
        </w:rPr>
        <w:t>RJ-RMS</w:t>
      </w:r>
      <w:r>
        <w:rPr>
          <w:spacing w:val="-2"/>
        </w:rPr>
        <w:t>）</w:t>
      </w:r>
      <w:r>
        <w:rPr>
          <w:rFonts w:ascii="Times New Roman" w:hAnsi="Times New Roman" w:cs="Times New Roman" w:eastAsia="Times New Roman" w:hint="default"/>
          <w:spacing w:val="-2"/>
        </w:rPr>
        <w:t>”</w:t>
      </w:r>
      <w:r>
        <w:rPr>
          <w:spacing w:val="-2"/>
        </w:rPr>
        <w:t>等公司信息安全战略产品，曾获</w:t>
      </w:r>
      <w:r>
        <w:rPr>
          <w:rFonts w:ascii="Times New Roman" w:hAnsi="Times New Roman" w:cs="Times New Roman" w:eastAsia="Times New Roman" w:hint="default"/>
          <w:spacing w:val="-2"/>
        </w:rPr>
        <w:t>“</w:t>
      </w:r>
      <w:r>
        <w:rPr>
          <w:spacing w:val="-2"/>
        </w:rPr>
        <w:t>福建省科学技术奖三等奖</w:t>
      </w:r>
      <w:r>
        <w:rPr>
          <w:rFonts w:ascii="Times New Roman" w:hAnsi="Times New Roman" w:cs="Times New Roman" w:eastAsia="Times New Roman" w:hint="default"/>
          <w:spacing w:val="-2"/>
        </w:rPr>
        <w:t>”</w:t>
      </w:r>
      <w:r>
        <w:rPr>
          <w:spacing w:val="-2"/>
        </w:rPr>
        <w:t>。现任副总裁、公司董事会秘书、福建榕基投资有</w:t>
      </w:r>
      <w:r>
        <w:rPr>
          <w:spacing w:val="-34"/>
        </w:rPr>
        <w:t> </w:t>
      </w:r>
      <w:r>
        <w:rPr>
          <w:spacing w:val="-34"/>
        </w:rPr>
      </w:r>
      <w:r>
        <w:rPr/>
        <w:t>限公司总经理、榕基国际控股有限公司董事、福建文鑫莲业股份有限公司董事。</w:t>
      </w:r>
    </w:p>
    <w:p>
      <w:pPr>
        <w:pStyle w:val="BodyText"/>
        <w:spacing w:line="302" w:lineRule="auto" w:before="69"/>
        <w:ind w:right="99" w:firstLine="360"/>
        <w:jc w:val="both"/>
      </w:pPr>
      <w:r>
        <w:rPr/>
        <w:t>镇千金：中国国籍，女，</w:t>
      </w:r>
      <w:r>
        <w:rPr>
          <w:rFonts w:ascii="Times New Roman" w:hAnsi="Times New Roman" w:cs="Times New Roman" w:eastAsia="Times New Roman" w:hint="default"/>
        </w:rPr>
        <w:t>1978</w:t>
      </w:r>
      <w:r>
        <w:rPr/>
        <w:t>年生，毕业于福州大学，研究生学历，工商管理硕士。</w:t>
      </w:r>
      <w:r>
        <w:rPr>
          <w:rFonts w:ascii="Times New Roman" w:hAnsi="Times New Roman" w:cs="Times New Roman" w:eastAsia="Times New Roman" w:hint="default"/>
        </w:rPr>
        <w:t>2002</w:t>
      </w:r>
      <w:r>
        <w:rPr/>
        <w:t>年加入公司，先后在客服部、</w:t>
      </w:r>
      <w:r>
        <w:rPr>
          <w:spacing w:val="1"/>
        </w:rPr>
        <w:t> </w:t>
      </w:r>
      <w:r>
        <w:rPr/>
        <w:t>技术部及财务部工作，曾任公司工程师、会计、财务部经理、监事，现任公司财务总监、榕基国际控股有限公司董事。</w:t>
      </w:r>
    </w:p>
    <w:p>
      <w:pPr>
        <w:pStyle w:val="BodyText"/>
        <w:spacing w:line="307" w:lineRule="auto" w:before="68"/>
        <w:ind w:right="90" w:firstLine="360"/>
        <w:jc w:val="left"/>
      </w:pPr>
      <w:r>
        <w:rPr/>
        <w:t>尚大斌：中国国籍，男，</w:t>
      </w:r>
      <w:r>
        <w:rPr>
          <w:rFonts w:ascii="Times New Roman" w:hAnsi="Times New Roman" w:cs="Times New Roman" w:eastAsia="Times New Roman" w:hint="default"/>
        </w:rPr>
        <w:t>1978</w:t>
      </w:r>
      <w:r>
        <w:rPr/>
        <w:t>年生，毕业于湖北工业大学，本科学历，在读工商管理硕士，工程师。</w:t>
      </w:r>
      <w:r>
        <w:rPr>
          <w:rFonts w:ascii="Times New Roman" w:hAnsi="Times New Roman" w:cs="Times New Roman" w:eastAsia="Times New Roman" w:hint="default"/>
        </w:rPr>
        <w:t>2003</w:t>
      </w:r>
      <w:r>
        <w:rPr/>
        <w:t>年加入公司，</w:t>
      </w:r>
      <w:r>
        <w:rPr>
          <w:spacing w:val="1"/>
        </w:rPr>
        <w:t> </w:t>
      </w:r>
      <w:r>
        <w:rPr/>
        <w:t>先后担任浙江榕基信息技术有限公司总经理助理、副总经理，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2</w:t>
      </w:r>
      <w:r>
        <w:rPr/>
        <w:t>月至今担任浙江榕基信息技术有限公司总经理。具有 </w:t>
      </w:r>
      <w:r>
        <w:rPr>
          <w:spacing w:val="-2"/>
        </w:rPr>
        <w:t>较丰富的团队管理经验，负责浙江榕基信息技术有限公司的管理工作，对政务信息化领域有比较深刻的理解及实践经验。现</w:t>
      </w:r>
      <w:r>
        <w:rPr>
          <w:spacing w:val="-66"/>
        </w:rPr>
        <w:t> </w:t>
      </w:r>
      <w:r>
        <w:rPr>
          <w:spacing w:val="-66"/>
        </w:rPr>
      </w:r>
      <w:r>
        <w:rPr/>
        <w:t>任公司副总裁、浙江榕基信息技术有限公司总经理。</w:t>
      </w:r>
    </w:p>
    <w:p>
      <w:pPr>
        <w:pStyle w:val="BodyText"/>
        <w:spacing w:line="300" w:lineRule="auto" w:before="64"/>
        <w:ind w:right="188" w:firstLine="360"/>
        <w:jc w:val="both"/>
      </w:pPr>
      <w:r>
        <w:rPr/>
        <w:t>倪时龙：中国国籍，男，</w:t>
      </w:r>
      <w:r>
        <w:rPr>
          <w:rFonts w:ascii="Times New Roman" w:hAnsi="Times New Roman" w:cs="Times New Roman" w:eastAsia="Times New Roman" w:hint="default"/>
        </w:rPr>
        <w:t>1977</w:t>
      </w:r>
      <w:r>
        <w:rPr/>
        <w:t>年生，毕业于仰恩大学，本科学历，在读软件工程硕士，高级项目经理。</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7</w:t>
      </w:r>
      <w:r>
        <w:rPr/>
        <w:t>月进入 公司，历任项目经理、分公司技术总监。</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5</w:t>
      </w:r>
      <w:r>
        <w:rPr/>
        <w:t>月起任福建亿榕信息技术有限公司常务副总经理，主持全面工作，专注智 </w:t>
      </w:r>
      <w:r>
        <w:rPr>
          <w:spacing w:val="-3"/>
        </w:rPr>
        <w:t>能电网相关业务的研究开发。主持开发的产品先后荣获福建省、福州市等单位</w:t>
      </w:r>
      <w:r>
        <w:rPr>
          <w:rFonts w:ascii="Times New Roman" w:hAnsi="Times New Roman" w:cs="Times New Roman" w:eastAsia="Times New Roman" w:hint="default"/>
          <w:spacing w:val="-3"/>
        </w:rPr>
        <w:t>“</w:t>
      </w:r>
      <w:r>
        <w:rPr>
          <w:spacing w:val="-3"/>
        </w:rPr>
        <w:t>福建优秀软件产品</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福建省名牌产品</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科</w:t>
      </w:r>
      <w:r>
        <w:rPr>
          <w:spacing w:val="-41"/>
        </w:rPr>
        <w:t> </w:t>
      </w:r>
      <w:r>
        <w:rPr/>
        <w:t>技进步奖</w:t>
      </w:r>
      <w:r>
        <w:rPr>
          <w:rFonts w:ascii="Times New Roman" w:hAnsi="Times New Roman" w:cs="Times New Roman" w:eastAsia="Times New Roman" w:hint="default"/>
        </w:rPr>
        <w:t>”</w:t>
      </w:r>
      <w:r>
        <w:rPr/>
        <w:t>等荣誉。个人获得</w:t>
      </w:r>
      <w:r>
        <w:rPr>
          <w:spacing w:val="-33"/>
        </w:rPr>
        <w:t> </w:t>
      </w:r>
      <w:r>
        <w:rPr>
          <w:rFonts w:ascii="Times New Roman" w:hAnsi="Times New Roman" w:cs="Times New Roman" w:eastAsia="Times New Roman" w:hint="default"/>
        </w:rPr>
        <w:t>“</w:t>
      </w:r>
      <w:r>
        <w:rPr/>
        <w:t>福建省优秀骨干人才</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福建省软件杰出人才</w:t>
      </w:r>
      <w:r>
        <w:rPr>
          <w:rFonts w:ascii="Times New Roman" w:hAnsi="Times New Roman" w:cs="Times New Roman" w:eastAsia="Times New Roman" w:hint="default"/>
        </w:rPr>
        <w:t>”</w:t>
      </w:r>
      <w:r>
        <w:rPr/>
        <w:t>等称号。现任公司副总裁、福建亿榕信息技术 有限公司总经理。</w:t>
      </w:r>
    </w:p>
    <w:p>
      <w:pPr>
        <w:pStyle w:val="BodyText"/>
        <w:spacing w:line="309" w:lineRule="auto" w:before="71"/>
        <w:ind w:left="153" w:right="191" w:firstLine="360"/>
        <w:jc w:val="both"/>
      </w:pPr>
      <w:r>
        <w:rPr>
          <w:spacing w:val="-2"/>
        </w:rPr>
        <w:t>宾壮兴：中国国籍，男，</w:t>
      </w:r>
      <w:r>
        <w:rPr>
          <w:rFonts w:ascii="Times New Roman" w:hAnsi="Times New Roman" w:cs="Times New Roman" w:eastAsia="Times New Roman" w:hint="default"/>
          <w:spacing w:val="-2"/>
        </w:rPr>
        <w:t>1960</w:t>
      </w:r>
      <w:r>
        <w:rPr>
          <w:spacing w:val="-2"/>
        </w:rPr>
        <w:t>年生，毕业于深圳大学人事管理专业，专科学历。</w:t>
      </w:r>
      <w:r>
        <w:rPr>
          <w:rFonts w:ascii="Times New Roman" w:hAnsi="Times New Roman" w:cs="Times New Roman" w:eastAsia="Times New Roman" w:hint="default"/>
          <w:spacing w:val="-2"/>
        </w:rPr>
        <w:t>2000</w:t>
      </w:r>
      <w:r>
        <w:rPr>
          <w:spacing w:val="-2"/>
        </w:rPr>
        <w:t>年加入公司，先后担任榕基软件深</w:t>
      </w:r>
      <w:r>
        <w:rPr/>
        <w:t> </w:t>
      </w:r>
      <w:r>
        <w:rPr>
          <w:spacing w:val="-2"/>
        </w:rPr>
        <w:t>圳分公司办公室主任、副总经理。长期从事质检行业应用软件产品的开发及推广管理工作，对质检行业的信息化建设有一定</w:t>
      </w:r>
      <w:r>
        <w:rPr>
          <w:spacing w:val="-66"/>
        </w:rPr>
        <w:t> </w:t>
      </w:r>
      <w:r>
        <w:rPr>
          <w:spacing w:val="-66"/>
        </w:rPr>
      </w:r>
      <w:r>
        <w:rPr/>
        <w:t>的了解和丰富的实验经验。具有较强的的市场开拓及企业管理能力。现任公司副总裁、深圳分公司总经理。</w:t>
      </w:r>
    </w:p>
    <w:p>
      <w:pPr>
        <w:pStyle w:val="BodyText"/>
        <w:spacing w:line="240" w:lineRule="auto" w:before="62"/>
        <w:ind w:left="513" w:right="0"/>
        <w:jc w:val="left"/>
      </w:pPr>
      <w:r>
        <w:rPr/>
        <w:t>李惠钦：中国国籍，女，</w:t>
      </w:r>
      <w:r>
        <w:rPr>
          <w:rFonts w:ascii="Times New Roman" w:hAnsi="Times New Roman" w:cs="Times New Roman" w:eastAsia="Times New Roman" w:hint="default"/>
        </w:rPr>
        <w:t>1975</w:t>
      </w:r>
      <w:r>
        <w:rPr/>
        <w:t>年生，毕业于闽江学院。</w:t>
      </w:r>
      <w:r>
        <w:rPr>
          <w:rFonts w:ascii="Times New Roman" w:hAnsi="Times New Roman" w:cs="Times New Roman" w:eastAsia="Times New Roman" w:hint="default"/>
        </w:rPr>
        <w:t>1997</w:t>
      </w:r>
      <w:r>
        <w:rPr/>
        <w:t>年加入公司，先后担任行政部经理、总裁助理，长期从事市</w:t>
      </w:r>
    </w:p>
    <w:p>
      <w:pPr>
        <w:spacing w:after="0" w:line="240" w:lineRule="auto"/>
        <w:jc w:val="left"/>
        <w:sectPr>
          <w:pgSz w:w="11910" w:h="16840"/>
          <w:pgMar w:header="877" w:footer="982" w:top="1100" w:bottom="1180" w:left="980" w:right="940"/>
        </w:sectPr>
      </w:pPr>
    </w:p>
    <w:p>
      <w:pPr>
        <w:spacing w:line="240" w:lineRule="auto" w:before="13"/>
        <w:rPr>
          <w:rFonts w:ascii="宋体" w:hAnsi="宋体" w:cs="宋体" w:eastAsia="宋体" w:hint="default"/>
          <w:sz w:val="21"/>
          <w:szCs w:val="21"/>
        </w:rPr>
      </w:pPr>
    </w:p>
    <w:p>
      <w:pPr>
        <w:pStyle w:val="BodyText"/>
        <w:spacing w:line="357" w:lineRule="auto" w:before="44"/>
        <w:ind w:left="153" w:right="7251"/>
        <w:jc w:val="left"/>
      </w:pPr>
      <w:r>
        <w:rPr/>
        <w:t>场开拓工作。现任公司副总裁。 在股东单位任职情况</w:t>
      </w:r>
    </w:p>
    <w:p>
      <w:pPr>
        <w:pStyle w:val="BodyText"/>
        <w:spacing w:line="338" w:lineRule="auto" w:before="29"/>
        <w:ind w:right="8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2"/>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2011"/>
        <w:gridCol w:w="851"/>
        <w:gridCol w:w="82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20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在其他单位担任的职务</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9" w:right="5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4" w:right="43"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3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上海榕基软件开发有限公司</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福建榕基软件工程有限公司</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浙江榕基信息技术有限公司</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福建星榕基信息科技有限责任公司</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陈明平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福建榕基软件工程有限公司</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尚大斌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浙江榕基信息技术有限公司</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倪时龙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刘微芳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福州大学管理学院会计系</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副教授，硕士生导师</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刘微芳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1"/>
              <w:jc w:val="left"/>
              <w:rPr>
                <w:rFonts w:ascii="宋体" w:hAnsi="宋体" w:cs="宋体" w:eastAsia="宋体" w:hint="default"/>
                <w:sz w:val="18"/>
                <w:szCs w:val="18"/>
              </w:rPr>
            </w:pPr>
            <w:r>
              <w:rPr>
                <w:rFonts w:ascii="宋体" w:hAnsi="宋体" w:cs="宋体" w:eastAsia="宋体" w:hint="default"/>
                <w:sz w:val="18"/>
                <w:szCs w:val="18"/>
              </w:rPr>
              <w:t>福州大学管理学院创业投资与企业财务 管理研究所</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副所长</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刘微芳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昇兴集团股份有限公司</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刘微芳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福建三鑫隆信息技术开发股份有限公司</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黄旭明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福建师范大学数学与计算机科学学院</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副教授，硕士生导师</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苏小榕</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福建拓维律师事务所</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高级合伙人、律师</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苏小榕</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富春通信股份有限公司</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万孝雄</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福建榕基投资有限公司</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万孝雄</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榕基国际控股有限公司</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万孝雄</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福建文鑫莲业股份有限公司</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镇千金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榕基国际控股有限公司</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靳谊</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北京中榕基信息技术有限公司</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851" w:type="dxa"/>
            <w:tcBorders>
              <w:top w:val="single" w:sz="4" w:space="0" w:color="000000"/>
              <w:left w:val="single" w:sz="4" w:space="0" w:color="000000"/>
              <w:bottom w:val="single" w:sz="4" w:space="0" w:color="000000"/>
              <w:right w:val="single" w:sz="4" w:space="0" w:color="000000"/>
            </w:tcBorders>
          </w:tcPr>
          <w:p>
            <w:pPr/>
          </w:p>
        </w:tc>
        <w:tc>
          <w:tcPr>
            <w:tcW w:w="8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1258"/>
        <w:jc w:val="left"/>
      </w:pPr>
      <w:r>
        <w:rPr/>
        <w:t>公司现任及报告期内离任董事、监事和高级管理人员近三年证券监管机构处罚的情况</w:t>
      </w:r>
    </w:p>
    <w:p>
      <w:pPr>
        <w:pStyle w:val="BodyText"/>
        <w:spacing w:line="240" w:lineRule="auto" w:before="117"/>
        <w:ind w:left="153"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258"/>
        <w:jc w:val="left"/>
        <w:rPr>
          <w:b w:val="0"/>
          <w:bCs w:val="0"/>
        </w:rPr>
      </w:pP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58"/>
        <w:jc w:val="left"/>
      </w:pPr>
      <w:r>
        <w:rPr/>
        <w:t>董事、监事、高级管理人员报酬的决策程序、确定依据、实际支付情况</w:t>
      </w:r>
    </w:p>
    <w:p>
      <w:pPr>
        <w:spacing w:after="0" w:line="240" w:lineRule="auto"/>
        <w:jc w:val="left"/>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pStyle w:val="BodyText"/>
        <w:spacing w:line="309" w:lineRule="auto" w:before="44"/>
        <w:ind w:left="153" w:right="149" w:firstLine="360"/>
        <w:jc w:val="both"/>
      </w:pPr>
      <w:r>
        <w:rPr>
          <w:spacing w:val="-2"/>
        </w:rPr>
        <w:t>报告期内公司根据《公司章程》及《公司董事会薪酬与考核委员会实施细则》，结合公司经营规模等实际情况并参照行</w:t>
      </w:r>
      <w:r>
        <w:rPr/>
        <w:t> </w:t>
      </w:r>
      <w:r>
        <w:rPr>
          <w:spacing w:val="-2"/>
        </w:rPr>
        <w:t>业薪酬水平，制定《公司</w:t>
      </w:r>
      <w:r>
        <w:rPr>
          <w:rFonts w:ascii="Times New Roman" w:hAnsi="Times New Roman" w:cs="Times New Roman" w:eastAsia="Times New Roman" w:hint="default"/>
          <w:spacing w:val="-2"/>
        </w:rPr>
        <w:t>2017</w:t>
      </w:r>
      <w:r>
        <w:rPr>
          <w:spacing w:val="-2"/>
        </w:rPr>
        <w:t>年度董事、高级管理人员薪酬方案》，并由公司第四届董事会第三次会议及公司</w:t>
      </w:r>
      <w:r>
        <w:rPr>
          <w:rFonts w:ascii="Times New Roman" w:hAnsi="Times New Roman" w:cs="Times New Roman" w:eastAsia="Times New Roman" w:hint="default"/>
          <w:spacing w:val="-2"/>
        </w:rPr>
        <w:t>2016</w:t>
      </w:r>
      <w:r>
        <w:rPr>
          <w:spacing w:val="-2"/>
        </w:rPr>
        <w:t>年度股东</w:t>
      </w:r>
      <w:r>
        <w:rPr>
          <w:spacing w:val="-58"/>
        </w:rPr>
        <w:t> </w:t>
      </w:r>
      <w:r>
        <w:rPr/>
        <w:t>大会审议通过后执行。</w:t>
      </w:r>
    </w:p>
    <w:p>
      <w:pPr>
        <w:pStyle w:val="BodyText"/>
        <w:spacing w:line="240" w:lineRule="auto" w:before="65"/>
        <w:ind w:left="153" w:right="1258"/>
        <w:jc w:val="left"/>
      </w:pPr>
      <w:r>
        <w:rPr/>
        <w:t>公司报告期内董事、监事和高级管理人员报酬情况</w:t>
      </w:r>
    </w:p>
    <w:p>
      <w:pPr>
        <w:pStyle w:val="BodyText"/>
        <w:spacing w:line="240" w:lineRule="auto" w:before="117"/>
        <w:ind w:left="0" w:right="15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8"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侯伟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副董事长、常务 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陈明平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刘景燕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靳谊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刘微芳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黄旭明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苏小榕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魏建光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邬海峰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周仁锟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万孝雄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副总裁、董事会 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镇千金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尚大斌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倪时龙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宾壮兴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李惠钦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258"/>
        <w:jc w:val="left"/>
      </w:pPr>
      <w:r>
        <w:rPr/>
        <w:t>公司董事、高级管理人员报告期内被授予的股权激励情况</w:t>
      </w:r>
    </w:p>
    <w:p>
      <w:pPr>
        <w:pStyle w:val="BodyText"/>
        <w:spacing w:line="240" w:lineRule="auto" w:before="117"/>
        <w:ind w:left="153"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258"/>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258"/>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60" w:type="dxa"/>
        <w:tblLayout w:type="fixed"/>
        <w:tblCellMar>
          <w:top w:w="0" w:type="dxa"/>
          <w:left w:w="0" w:type="dxa"/>
          <w:bottom w:w="0" w:type="dxa"/>
          <w:right w:w="0" w:type="dxa"/>
        </w:tblCellMar>
        <w:tblLook w:val="01E0"/>
      </w:tblPr>
      <w:tblGrid>
        <w:gridCol w:w="4765"/>
        <w:gridCol w:w="4791"/>
      </w:tblGrid>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1,032</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1,032</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1,032</w:t>
            </w:r>
          </w:p>
        </w:tc>
      </w:tr>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788</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1,032</w:t>
            </w:r>
          </w:p>
        </w:tc>
      </w:tr>
    </w:tbl>
    <w:p>
      <w:pPr>
        <w:spacing w:line="240" w:lineRule="auto" w:before="2"/>
        <w:rPr>
          <w:rFonts w:ascii="宋体" w:hAnsi="宋体" w:cs="宋体" w:eastAsia="宋体" w:hint="default"/>
          <w:b/>
          <w:bCs/>
          <w:sz w:val="19"/>
          <w:szCs w:val="19"/>
        </w:rPr>
      </w:pPr>
    </w:p>
    <w:p>
      <w:pPr>
        <w:pStyle w:val="Heading3"/>
        <w:spacing w:line="240" w:lineRule="auto" w:before="35"/>
        <w:ind w:right="1258"/>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49" w:firstLine="360"/>
        <w:jc w:val="both"/>
      </w:pPr>
      <w:r>
        <w:rPr>
          <w:spacing w:val="-2"/>
        </w:rPr>
        <w:t>公司严格按照《中华人民共和国劳动合同法》和有关劳动法律法规的规定，向员工提供稳定而具有竞争力的薪酬，以充</w:t>
      </w:r>
      <w:r>
        <w:rPr/>
        <w:t> 分调动员工的积极性和创造性。</w:t>
      </w:r>
    </w:p>
    <w:p>
      <w:pPr>
        <w:spacing w:line="240" w:lineRule="auto" w:before="7"/>
        <w:rPr>
          <w:rFonts w:ascii="宋体" w:hAnsi="宋体" w:cs="宋体" w:eastAsia="宋体" w:hint="default"/>
          <w:sz w:val="22"/>
          <w:szCs w:val="22"/>
        </w:rPr>
      </w:pPr>
    </w:p>
    <w:p>
      <w:pPr>
        <w:pStyle w:val="Heading3"/>
        <w:spacing w:line="240" w:lineRule="auto"/>
        <w:ind w:right="1258"/>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49" w:firstLine="360"/>
        <w:jc w:val="both"/>
      </w:pPr>
      <w:r>
        <w:rPr>
          <w:spacing w:val="-2"/>
        </w:rPr>
        <w:t>公司非常注重员工的培训工作，积极寻求各种培训资源和渠道，搭建完善的培训体系，包括新员工入职培训、在职人员</w:t>
      </w:r>
      <w:r>
        <w:rPr/>
        <w:t> </w:t>
      </w:r>
      <w:r>
        <w:rPr>
          <w:spacing w:val="-2"/>
        </w:rPr>
        <w:t>业务培训、管理者提升培训、普法培训、安全培训等。通过培训提高业务能力和管理水平，既能促进公司整体战略目标的实</w:t>
      </w:r>
      <w:r>
        <w:rPr>
          <w:spacing w:val="-66"/>
        </w:rPr>
        <w:t> </w:t>
      </w:r>
      <w:r>
        <w:rPr>
          <w:spacing w:val="-66"/>
        </w:rPr>
      </w:r>
      <w:r>
        <w:rPr/>
        <w:t>施，又能满足员工个人能力和职业发展的需求，实现企业和员工的双赢。</w:t>
      </w:r>
    </w:p>
    <w:p>
      <w:pPr>
        <w:spacing w:line="240" w:lineRule="auto" w:before="7"/>
        <w:rPr>
          <w:rFonts w:ascii="宋体" w:hAnsi="宋体" w:cs="宋体" w:eastAsia="宋体" w:hint="default"/>
          <w:sz w:val="22"/>
          <w:szCs w:val="22"/>
        </w:rPr>
      </w:pPr>
    </w:p>
    <w:p>
      <w:pPr>
        <w:pStyle w:val="Heading3"/>
        <w:spacing w:line="240" w:lineRule="auto"/>
        <w:ind w:right="1258"/>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428" w:right="3464"/>
        <w:jc w:val="center"/>
        <w:rPr>
          <w:b w:val="0"/>
          <w:bCs w:val="0"/>
        </w:rPr>
      </w:pPr>
      <w:bookmarkStart w:name="_TOC_250003" w:id="9"/>
      <w:r>
        <w:rPr/>
        <w:t>第九节</w:t>
      </w:r>
      <w:r>
        <w:rPr>
          <w:spacing w:val="-5"/>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88" w:firstLine="360"/>
        <w:jc w:val="both"/>
      </w:pPr>
      <w:r>
        <w:rPr>
          <w:spacing w:val="-2"/>
        </w:rPr>
        <w:t>报告期内，公司严格按照《公司法》、《证券法》、《上市公司治理准则》、《深圳证券交易所上市规则》、《深圳证</w:t>
      </w:r>
      <w:r>
        <w:rPr/>
        <w:t> </w:t>
      </w:r>
      <w:r>
        <w:rPr>
          <w:spacing w:val="-2"/>
        </w:rPr>
        <w:t>券交易所中小板上市公司规范运作指引》等法律、行政法规、部门规章、规范性文件的要求，完善公司治理机构，建立健全</w:t>
      </w:r>
      <w:r>
        <w:rPr>
          <w:spacing w:val="-68"/>
        </w:rPr>
        <w:t> </w:t>
      </w:r>
      <w:r>
        <w:rPr>
          <w:spacing w:val="-68"/>
        </w:rPr>
      </w:r>
      <w:r>
        <w:rPr/>
        <w:t>内部管理和控制制度，不断提高公司的治理水平。</w:t>
      </w:r>
    </w:p>
    <w:p>
      <w:pPr>
        <w:pStyle w:val="BodyText"/>
        <w:spacing w:line="316" w:lineRule="auto" w:before="59"/>
        <w:ind w:left="153" w:right="191" w:firstLine="360"/>
        <w:jc w:val="both"/>
      </w:pPr>
      <w:r>
        <w:rPr>
          <w:spacing w:val="-2"/>
        </w:rPr>
        <w:t>公司建立完善了以股东大会为最高权力机构、董事会为决策机构、董事会专业委员会为决策支持机构、监事会为监督机</w:t>
      </w:r>
      <w:r>
        <w:rPr/>
        <w:t> </w:t>
      </w:r>
      <w:r>
        <w:rPr>
          <w:spacing w:val="-8"/>
        </w:rPr>
        <w:t>构、经理层及各子公司为执行机构的治理结构，完善了公司《章程》、《公司股东大会议事规则》、《公司董事会议事规则》、</w:t>
      </w:r>
    </w:p>
    <w:p>
      <w:pPr>
        <w:pStyle w:val="BodyText"/>
        <w:spacing w:line="319" w:lineRule="auto" w:before="19"/>
        <w:ind w:left="153" w:right="188"/>
        <w:jc w:val="both"/>
      </w:pPr>
      <w:r>
        <w:rPr>
          <w:spacing w:val="-2"/>
        </w:rPr>
        <w:t>《公司监事会议事规则》、《公司总裁工作细则》及各专业委员会工作细则等基本管理制度。公司股东大会、董事会、监事</w:t>
      </w:r>
      <w:r>
        <w:rPr>
          <w:spacing w:val="-65"/>
        </w:rPr>
        <w:t> </w:t>
      </w:r>
      <w:r>
        <w:rPr>
          <w:spacing w:val="-65"/>
        </w:rPr>
      </w:r>
      <w:r>
        <w:rPr>
          <w:spacing w:val="-5"/>
        </w:rPr>
        <w:t>会和经营管理层责权分明、各司其职、有效制衡、科学决策、协调运营，为公司持续、稳定、健康地发展奠定了坚实的基础。</w:t>
      </w:r>
      <w:r>
        <w:rPr>
          <w:spacing w:val="-81"/>
        </w:rPr>
        <w:t> </w:t>
      </w:r>
      <w:r>
        <w:rPr>
          <w:spacing w:val="-81"/>
        </w:rPr>
      </w:r>
      <w:r>
        <w:rPr/>
        <w:t>截至报告期末，公司治理的实际状况符合前述法律、行政法规、部门规章、规范性文件关于上市公司治理的相关要求。</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240" w:lineRule="auto"/>
        <w:ind w:right="0"/>
        <w:jc w:val="both"/>
      </w:pPr>
      <w:r>
        <w:rPr/>
        <w:t>公司治理的实际状况与中国证监会发布的有关上市公司治理的规范性文件是否存在重大差异</w:t>
      </w:r>
    </w:p>
    <w:p>
      <w:pPr>
        <w:pStyle w:val="BodyText"/>
        <w:spacing w:line="338" w:lineRule="auto" w:before="117"/>
        <w:ind w:right="261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99" w:firstLine="360"/>
        <w:jc w:val="both"/>
      </w:pPr>
      <w:r>
        <w:rPr/>
        <w:t>公司严格按照《公司法》和《公司章程》规范运作，逐步建立健全公司的法人治理结构，在业务、资产、人员、机构、</w:t>
      </w:r>
      <w:r>
        <w:rPr>
          <w:spacing w:val="1"/>
        </w:rPr>
        <w:t> </w:t>
      </w:r>
      <w:r>
        <w:rPr/>
        <w:t>财务等方面均具备独立运营能力。</w:t>
      </w:r>
    </w:p>
    <w:p>
      <w:pPr>
        <w:pStyle w:val="BodyText"/>
        <w:spacing w:line="319" w:lineRule="auto" w:before="55"/>
        <w:ind w:left="153" w:right="188" w:firstLine="360"/>
        <w:jc w:val="both"/>
      </w:pPr>
      <w:r>
        <w:rPr/>
        <w:t>1、业务独立情况本公司主营业务为软件产品的开发与销售、计算机系统集成及技术支持与服务。公司独立进行产品的 </w:t>
      </w:r>
      <w:r>
        <w:rPr>
          <w:spacing w:val="-2"/>
        </w:rPr>
        <w:t>技术研发、生产和销售，具有独立的软件开发技术，拥有具有自主知识产权的软件产品，拥有独立的注册商标，具备相关业</w:t>
      </w:r>
      <w:r>
        <w:rPr>
          <w:spacing w:val="-66"/>
        </w:rPr>
        <w:t> </w:t>
      </w:r>
      <w:r>
        <w:rPr>
          <w:spacing w:val="-66"/>
        </w:rPr>
      </w:r>
      <w:r>
        <w:rPr>
          <w:spacing w:val="-2"/>
        </w:rPr>
        <w:t>务市场的准入资质。公司已建立了完整的职能部门架构，拥有独立的采购、生产、销售和研发系统，能独立开展业务；公司</w:t>
      </w:r>
      <w:r>
        <w:rPr>
          <w:spacing w:val="-67"/>
        </w:rPr>
        <w:t> </w:t>
      </w:r>
      <w:r>
        <w:rPr>
          <w:spacing w:val="-67"/>
        </w:rPr>
      </w:r>
      <w:r>
        <w:rPr>
          <w:spacing w:val="-2"/>
        </w:rPr>
        <w:t>生产经营所需技术为公司合法独立拥有，没有产权争议；公司独立对外签订所有合同，具有独立生产经营决策，独立从事生</w:t>
      </w:r>
      <w:r>
        <w:rPr>
          <w:spacing w:val="-66"/>
        </w:rPr>
        <w:t> </w:t>
      </w:r>
      <w:r>
        <w:rPr>
          <w:spacing w:val="-66"/>
        </w:rPr>
      </w:r>
      <w:r>
        <w:rPr/>
        <w:t>产经营活动的能力，所有业务环节不存在依赖控股股东及主要股东的情况。</w:t>
      </w:r>
    </w:p>
    <w:p>
      <w:pPr>
        <w:pStyle w:val="BodyText"/>
        <w:spacing w:line="307" w:lineRule="auto" w:before="56"/>
        <w:ind w:left="153" w:right="190" w:firstLine="360"/>
        <w:jc w:val="both"/>
      </w:pPr>
      <w:r>
        <w:rPr/>
        <w:t>2、人员独立情况本公司的研发、生产、采购、销售和行政管理人员均完全独立。截至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日，本公司共有正 式员工</w:t>
      </w:r>
      <w:r>
        <w:rPr>
          <w:rFonts w:ascii="Times New Roman" w:hAnsi="Times New Roman" w:cs="Times New Roman" w:eastAsia="Times New Roman" w:hint="default"/>
        </w:rPr>
        <w:t>1,032</w:t>
      </w:r>
      <w:r>
        <w:rPr/>
        <w:t>人，均与公司签订了劳动聘用合同，公司根据工资管理制度发放工资。公司总裁、副总裁、财务负责人、董事 会秘书及核心技术人员均专职于公司工作，并领取报酬，目前并无在持有公司</w:t>
      </w:r>
      <w:r>
        <w:rPr>
          <w:rFonts w:ascii="Times New Roman" w:hAnsi="Times New Roman" w:cs="Times New Roman" w:eastAsia="Times New Roman" w:hint="default"/>
        </w:rPr>
        <w:t>5%</w:t>
      </w:r>
      <w:r>
        <w:rPr/>
        <w:t>以上股份的股东下属企业担任董事、监事 </w:t>
      </w:r>
      <w:r>
        <w:rPr>
          <w:spacing w:val="-5"/>
        </w:rPr>
        <w:t>以外的其他职务的情况。公司董事、监事及其他高级管理人员均依《公司法》、《公司章程》等规定的合法程序选举或聘任，</w:t>
      </w:r>
      <w:r>
        <w:rPr>
          <w:spacing w:val="-82"/>
        </w:rPr>
        <w:t> </w:t>
      </w:r>
      <w:r>
        <w:rPr>
          <w:spacing w:val="-82"/>
        </w:rPr>
      </w:r>
      <w:r>
        <w:rPr>
          <w:spacing w:val="-2"/>
        </w:rPr>
        <w:t>公司具有独立的人事任免权力，不存在控股股东及主要股东干预公司董事会和股东大会，或是超越董事会和股东大会做出人</w:t>
      </w:r>
      <w:r>
        <w:rPr>
          <w:spacing w:val="-64"/>
        </w:rPr>
        <w:t> </w:t>
      </w:r>
      <w:r>
        <w:rPr>
          <w:spacing w:val="-64"/>
        </w:rPr>
      </w:r>
      <w:r>
        <w:rPr/>
        <w:t>事任免决定的情况。</w:t>
      </w:r>
    </w:p>
    <w:p>
      <w:pPr>
        <w:pStyle w:val="BodyText"/>
        <w:spacing w:line="319" w:lineRule="auto" w:before="64"/>
        <w:ind w:left="153" w:right="188" w:firstLine="360"/>
        <w:jc w:val="both"/>
      </w:pPr>
      <w:r>
        <w:rPr/>
        <w:t>3、资产独立情况公司资产与股东资产严格分开，权属明确，并完全独立运营，公司目前业务和生产经营必需的机器设 </w:t>
      </w:r>
      <w:r>
        <w:rPr>
          <w:spacing w:val="-2"/>
        </w:rPr>
        <w:t>备、房屋、土地使用权、商标、专利及其他资产的权属完全由公司独立享有，不存在与股东共用的情况。公司对所有资产拥</w:t>
      </w:r>
      <w:r>
        <w:rPr>
          <w:spacing w:val="-68"/>
        </w:rPr>
        <w:t> </w:t>
      </w:r>
      <w:r>
        <w:rPr>
          <w:spacing w:val="-68"/>
        </w:rPr>
      </w:r>
      <w:r>
        <w:rPr>
          <w:spacing w:val="-2"/>
        </w:rPr>
        <w:t>有完全的控制和支配权，不存在资产、资金被股东占用而损害公司利益的情况。公司不存在为股东和其他个人提供担保的情</w:t>
      </w:r>
      <w:r>
        <w:rPr>
          <w:spacing w:val="-66"/>
        </w:rPr>
        <w:t> </w:t>
      </w:r>
      <w:r>
        <w:rPr>
          <w:spacing w:val="-66"/>
        </w:rPr>
      </w:r>
      <w:r>
        <w:rPr/>
        <w:t>形。</w:t>
      </w:r>
    </w:p>
    <w:p>
      <w:pPr>
        <w:pStyle w:val="BodyText"/>
        <w:spacing w:line="319" w:lineRule="auto" w:before="55"/>
        <w:ind w:left="153" w:right="198" w:firstLine="360"/>
        <w:jc w:val="both"/>
      </w:pPr>
      <w:r>
        <w:rPr/>
        <w:t>4、机构独立情况公司设有独立的职能部门，组织结构健全，独立运作，在机构设置上完全分开，不存在与控股股东混 合经营、合署办公等情况。</w:t>
      </w:r>
    </w:p>
    <w:p>
      <w:pPr>
        <w:pStyle w:val="BodyText"/>
        <w:spacing w:line="316" w:lineRule="auto" w:before="56"/>
        <w:ind w:left="153" w:right="188" w:firstLine="360"/>
        <w:jc w:val="both"/>
      </w:pPr>
      <w:r>
        <w:rPr/>
        <w:t>5、财务独立情况公司设立了独立的财务部门，配备了专职财务人员，建立了独立的会计核算体系。公司具有独立作出 </w:t>
      </w:r>
      <w:r>
        <w:rPr>
          <w:spacing w:val="-2"/>
        </w:rPr>
        <w:t>财务决策的能力。公司经营活动和重大资产处置行为的财务会计处理，均以股东大会决议、董事会决议及相关合同文本为依</w:t>
      </w:r>
      <w:r>
        <w:rPr>
          <w:spacing w:val="-66"/>
        </w:rPr>
        <w:t> </w:t>
      </w:r>
      <w:r>
        <w:rPr>
          <w:spacing w:val="-66"/>
        </w:rPr>
      </w:r>
      <w:r>
        <w:rPr>
          <w:spacing w:val="-2"/>
        </w:rPr>
        <w:t>据，未出现股东干预公司财务部门业务开展的情形。公司对所拥有资产有完全控制支配权，不存在股东占用公司资产而损害</w:t>
      </w:r>
    </w:p>
    <w:p>
      <w:pPr>
        <w:spacing w:after="0" w:line="316" w:lineRule="auto"/>
        <w:jc w:val="both"/>
        <w:sectPr>
          <w:pgSz w:w="11910" w:h="16840"/>
          <w:pgMar w:header="877" w:footer="982" w:top="1100" w:bottom="1180" w:left="980" w:right="940"/>
        </w:sectPr>
      </w:pPr>
    </w:p>
    <w:p>
      <w:pPr>
        <w:spacing w:line="240" w:lineRule="auto" w:before="13"/>
        <w:rPr>
          <w:rFonts w:ascii="宋体" w:hAnsi="宋体" w:cs="宋体" w:eastAsia="宋体" w:hint="default"/>
          <w:sz w:val="21"/>
          <w:szCs w:val="21"/>
        </w:rPr>
      </w:pPr>
    </w:p>
    <w:p>
      <w:pPr>
        <w:pStyle w:val="BodyText"/>
        <w:spacing w:line="240" w:lineRule="auto" w:before="44"/>
        <w:ind w:left="153" w:right="1258"/>
        <w:jc w:val="left"/>
      </w:pPr>
      <w:r>
        <w:rPr/>
        <w:t>公司利益的情况。公司独立纳税，独立开设银行账户。</w:t>
      </w:r>
    </w:p>
    <w:p>
      <w:pPr>
        <w:spacing w:line="240" w:lineRule="auto" w:before="13"/>
        <w:rPr>
          <w:rFonts w:ascii="宋体" w:hAnsi="宋体" w:cs="宋体" w:eastAsia="宋体" w:hint="default"/>
          <w:sz w:val="24"/>
          <w:szCs w:val="24"/>
        </w:rPr>
      </w:pPr>
    </w:p>
    <w:p>
      <w:pPr>
        <w:pStyle w:val="Heading2"/>
        <w:spacing w:line="240" w:lineRule="auto"/>
        <w:ind w:right="1258"/>
        <w:jc w:val="left"/>
        <w:rPr>
          <w:b w:val="0"/>
          <w:bCs w:val="0"/>
        </w:rPr>
      </w:pPr>
      <w:r>
        <w:rPr/>
        <w:t>三、同业竞争情况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258"/>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258"/>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381"/>
        <w:gridCol w:w="1418"/>
        <w:gridCol w:w="1700"/>
        <w:gridCol w:w="1559"/>
        <w:gridCol w:w="1912"/>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324"/>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3"/>
              <w:jc w:val="right"/>
              <w:rPr>
                <w:rFonts w:ascii="宋体" w:hAnsi="宋体" w:cs="宋体" w:eastAsia="宋体" w:hint="default"/>
                <w:sz w:val="18"/>
                <w:szCs w:val="18"/>
              </w:rPr>
            </w:pPr>
            <w:r>
              <w:rPr>
                <w:rFonts w:ascii="宋体" w:hAnsi="宋体" w:cs="宋体" w:eastAsia="宋体" w:hint="default"/>
                <w:sz w:val="18"/>
                <w:szCs w:val="18"/>
              </w:rPr>
              <w:t>投资者参与比例</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66"/>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36"/>
              <w:jc w:val="both"/>
              <w:rPr>
                <w:rFonts w:ascii="Times New Roman" w:hAnsi="Times New Roman" w:cs="Times New Roman" w:eastAsia="Times New Roman" w:hint="default"/>
                <w:sz w:val="18"/>
                <w:szCs w:val="18"/>
              </w:rPr>
            </w:pPr>
            <w:hyperlink r:id="rId37">
              <w:r>
                <w:rPr>
                  <w:rFonts w:ascii="Times New Roman"/>
                  <w:sz w:val="18"/>
                </w:rPr>
                <w:t>http://www.cninfo.com.c</w:t>
              </w:r>
            </w:hyperlink>
            <w:r>
              <w:rPr>
                <w:rFonts w:ascii="Times New Roman"/>
                <w:sz w:val="18"/>
              </w:rPr>
              <w:t> n/cninfo-new/disclosure/ szse_sme/bulletin_detail/ true/1203073288?announ ceTime=2017-02-10</w:t>
            </w:r>
          </w:p>
        </w:tc>
      </w:tr>
      <w:tr>
        <w:trPr>
          <w:trHeight w:val="165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66"/>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43"/>
              <w:jc w:val="both"/>
              <w:rPr>
                <w:rFonts w:ascii="Times New Roman" w:hAnsi="Times New Roman" w:cs="Times New Roman" w:eastAsia="Times New Roman" w:hint="default"/>
                <w:sz w:val="18"/>
                <w:szCs w:val="18"/>
              </w:rPr>
            </w:pPr>
            <w:hyperlink r:id="rId37">
              <w:r>
                <w:rPr>
                  <w:rFonts w:ascii="Times New Roman"/>
                  <w:sz w:val="18"/>
                </w:rPr>
                <w:t>http://www.cninfo.com.c</w:t>
              </w:r>
            </w:hyperlink>
            <w:r>
              <w:rPr>
                <w:rFonts w:ascii="Times New Roman"/>
                <w:sz w:val="18"/>
              </w:rPr>
              <w:t> n/cninfo-new/disclosure/ szse_sme/bulletin_detail/ true/1203411857?announ ceTime=2017-04-28</w:t>
            </w:r>
          </w:p>
        </w:tc>
      </w:tr>
      <w:tr>
        <w:trPr>
          <w:trHeight w:val="165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66"/>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36"/>
              <w:jc w:val="both"/>
              <w:rPr>
                <w:rFonts w:ascii="Times New Roman" w:hAnsi="Times New Roman" w:cs="Times New Roman" w:eastAsia="Times New Roman" w:hint="default"/>
                <w:sz w:val="18"/>
                <w:szCs w:val="18"/>
              </w:rPr>
            </w:pPr>
            <w:hyperlink r:id="rId37">
              <w:r>
                <w:rPr>
                  <w:rFonts w:ascii="Times New Roman"/>
                  <w:sz w:val="18"/>
                </w:rPr>
                <w:t>http://www.cninfo.com.c</w:t>
              </w:r>
            </w:hyperlink>
            <w:r>
              <w:rPr>
                <w:rFonts w:ascii="Times New Roman"/>
                <w:sz w:val="18"/>
              </w:rPr>
              <w:t> n/cninfo-new/disclosure/ szse_sme/bulletin_detail/ true/1203968065?announ ceTime=2017-09-13</w:t>
            </w:r>
          </w:p>
        </w:tc>
      </w:tr>
    </w:tbl>
    <w:p>
      <w:pPr>
        <w:spacing w:line="240" w:lineRule="auto" w:before="2"/>
        <w:rPr>
          <w:rFonts w:ascii="宋体" w:hAnsi="宋体" w:cs="宋体" w:eastAsia="宋体" w:hint="default"/>
          <w:b/>
          <w:bCs/>
          <w:sz w:val="19"/>
          <w:szCs w:val="19"/>
        </w:rPr>
      </w:pPr>
    </w:p>
    <w:p>
      <w:pPr>
        <w:pStyle w:val="Heading3"/>
        <w:spacing w:line="240" w:lineRule="auto" w:before="35"/>
        <w:ind w:right="1258"/>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258"/>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258"/>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6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6"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6"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刘微芳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黄旭明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苏小榕</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3"/>
        <w:rPr>
          <w:rFonts w:ascii="宋体" w:hAnsi="宋体" w:cs="宋体" w:eastAsia="宋体" w:hint="default"/>
          <w:b/>
          <w:bCs/>
          <w:sz w:val="21"/>
          <w:szCs w:val="21"/>
        </w:rPr>
      </w:pPr>
    </w:p>
    <w:p>
      <w:pPr>
        <w:pStyle w:val="BodyText"/>
        <w:spacing w:line="240" w:lineRule="auto" w:before="44"/>
        <w:ind w:left="153" w:right="184"/>
        <w:jc w:val="left"/>
      </w:pPr>
      <w:r>
        <w:rPr/>
        <w:t>连续两次未亲自出席董事会的说明</w:t>
      </w:r>
    </w:p>
    <w:p>
      <w:pPr>
        <w:spacing w:line="240" w:lineRule="auto" w:before="10"/>
        <w:rPr>
          <w:rFonts w:ascii="宋体" w:hAnsi="宋体" w:cs="宋体" w:eastAsia="宋体" w:hint="default"/>
          <w:sz w:val="26"/>
          <w:szCs w:val="26"/>
        </w:rPr>
      </w:pPr>
    </w:p>
    <w:p>
      <w:pPr>
        <w:pStyle w:val="Heading3"/>
        <w:spacing w:line="240" w:lineRule="auto"/>
        <w:ind w:right="184"/>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84"/>
        <w:jc w:val="left"/>
      </w:pPr>
      <w:r>
        <w:rPr/>
        <w:t>独立董事对公司有关事项是否提出异议</w:t>
      </w:r>
    </w:p>
    <w:p>
      <w:pPr>
        <w:pStyle w:val="BodyText"/>
        <w:spacing w:line="340" w:lineRule="auto" w:before="116"/>
        <w:ind w:right="60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3"/>
        <w:rPr>
          <w:rFonts w:ascii="宋体" w:hAnsi="宋体" w:cs="宋体" w:eastAsia="宋体" w:hint="default"/>
          <w:sz w:val="20"/>
          <w:szCs w:val="20"/>
        </w:rPr>
      </w:pPr>
    </w:p>
    <w:p>
      <w:pPr>
        <w:pStyle w:val="Heading3"/>
        <w:spacing w:line="240" w:lineRule="auto"/>
        <w:ind w:right="184"/>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84"/>
        <w:jc w:val="left"/>
      </w:pPr>
      <w:r>
        <w:rPr/>
        <w:t>独立董事对公司有关建议是否被采纳</w:t>
      </w:r>
    </w:p>
    <w:p>
      <w:pPr>
        <w:pStyle w:val="BodyText"/>
        <w:spacing w:line="338" w:lineRule="auto" w:before="116"/>
        <w:ind w:right="58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2" w:lineRule="auto" w:before="42"/>
        <w:ind w:right="191" w:firstLine="360"/>
        <w:jc w:val="both"/>
      </w:pPr>
      <w:r>
        <w:rPr>
          <w:spacing w:val="-2"/>
        </w:rPr>
        <w:t>公司独立董事在</w:t>
      </w:r>
      <w:r>
        <w:rPr>
          <w:rFonts w:ascii="Times New Roman" w:hAnsi="Times New Roman" w:cs="Times New Roman" w:eastAsia="Times New Roman" w:hint="default"/>
          <w:spacing w:val="-2"/>
        </w:rPr>
        <w:t>2017</w:t>
      </w:r>
      <w:r>
        <w:rPr>
          <w:spacing w:val="-2"/>
        </w:rPr>
        <w:t>年度勤勉尽责，忠实履行独立董事职务，积极了解公司的生产经营情况和财务状况，详实听取了公</w:t>
      </w:r>
      <w:r>
        <w:rPr/>
        <w:t> </w:t>
      </w:r>
      <w:r>
        <w:rPr>
          <w:spacing w:val="-2"/>
        </w:rPr>
        <w:t>司相关人员的汇报，定期审阅公司提供的信息报告，掌握公司的运行动态；在董事会上发表意见、行使职权，对公司信息披</w:t>
      </w:r>
      <w:r>
        <w:rPr>
          <w:spacing w:val="-66"/>
        </w:rPr>
        <w:t> </w:t>
      </w:r>
      <w:r>
        <w:rPr>
          <w:spacing w:val="-66"/>
        </w:rPr>
      </w:r>
      <w:r>
        <w:rPr>
          <w:spacing w:val="-5"/>
        </w:rPr>
        <w:t>露情况等进行监督和核查，提出了科学有效的建议，出具了独立、公正的独立董事意见，积极有效地履行了独立董事的职责，</w:t>
      </w:r>
      <w:r>
        <w:rPr>
          <w:spacing w:val="-78"/>
        </w:rPr>
        <w:t> </w:t>
      </w:r>
      <w:r>
        <w:rPr>
          <w:spacing w:val="-78"/>
        </w:rPr>
      </w:r>
      <w:r>
        <w:rPr/>
        <w:t>维护了公司和中小股东的合法权益。</w:t>
      </w:r>
    </w:p>
    <w:p>
      <w:pPr>
        <w:spacing w:line="240" w:lineRule="auto" w:before="0"/>
        <w:rPr>
          <w:rFonts w:ascii="宋体" w:hAnsi="宋体" w:cs="宋体" w:eastAsia="宋体" w:hint="default"/>
          <w:sz w:val="21"/>
          <w:szCs w:val="21"/>
        </w:rPr>
      </w:pPr>
    </w:p>
    <w:p>
      <w:pPr>
        <w:pStyle w:val="Heading2"/>
        <w:spacing w:line="240" w:lineRule="auto"/>
        <w:ind w:right="184"/>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2" w:lineRule="auto"/>
        <w:ind w:left="153" w:right="191" w:firstLine="360"/>
        <w:jc w:val="both"/>
      </w:pPr>
      <w:r>
        <w:rPr>
          <w:spacing w:val="-2"/>
        </w:rPr>
        <w:t>公司董事会下设四个专门委员会，分别为审计委员会、提名委员会、战略委员会、薪酬与考核委员会。</w:t>
      </w:r>
      <w:r>
        <w:rPr>
          <w:rFonts w:ascii="Times New Roman" w:hAnsi="Times New Roman" w:cs="Times New Roman" w:eastAsia="Times New Roman" w:hint="default"/>
          <w:spacing w:val="-2"/>
        </w:rPr>
        <w:t>2017</w:t>
      </w:r>
      <w:r>
        <w:rPr>
          <w:spacing w:val="-2"/>
        </w:rPr>
        <w:t>年度各专门</w:t>
      </w:r>
      <w:r>
        <w:rPr/>
        <w:t> 委员会本着勤勉尽责的原则，按照有关法律法规、规范性文件及公司各专门委员会工作细则的有关规定开展相关工作。</w:t>
      </w:r>
    </w:p>
    <w:p>
      <w:pPr>
        <w:pStyle w:val="BodyText"/>
        <w:spacing w:line="338" w:lineRule="auto" w:before="69"/>
        <w:ind w:left="516" w:right="91" w:firstLine="144"/>
        <w:jc w:val="left"/>
      </w:pPr>
      <w:r>
        <w:rPr>
          <w:rFonts w:ascii="Times New Roman" w:hAnsi="Times New Roman" w:cs="Times New Roman" w:eastAsia="Times New Roman" w:hint="default"/>
        </w:rPr>
        <w:t>1</w:t>
      </w:r>
      <w:r>
        <w:rPr/>
        <w:t>、</w:t>
      </w:r>
      <w:r>
        <w:rPr>
          <w:spacing w:val="-18"/>
        </w:rPr>
        <w:t> </w:t>
      </w:r>
      <w:r>
        <w:rPr/>
        <w:t>战略委员会</w:t>
      </w:r>
      <w:r>
        <w:rPr/>
        <w:t> </w:t>
      </w:r>
      <w:r>
        <w:rPr>
          <w:spacing w:val="-4"/>
        </w:rPr>
        <w:t>报告期内，公司董事会战略委员会结合国内外宏观经济环境以及公司所在行业现状，深入分析公司经营现状和发展前景，</w:t>
      </w:r>
    </w:p>
    <w:p>
      <w:pPr>
        <w:pStyle w:val="BodyText"/>
        <w:spacing w:line="240" w:lineRule="auto" w:before="4"/>
        <w:ind w:left="153" w:right="184"/>
        <w:jc w:val="left"/>
      </w:pPr>
      <w:r>
        <w:rPr/>
        <w:t>对公司长期发展战略决策以及重大投资决策进行研究并提出建议。</w:t>
      </w:r>
    </w:p>
    <w:p>
      <w:pPr>
        <w:pStyle w:val="BodyText"/>
        <w:spacing w:line="338" w:lineRule="auto" w:before="116"/>
        <w:ind w:left="516" w:right="184" w:firstLine="216"/>
        <w:jc w:val="left"/>
      </w:pPr>
      <w:r>
        <w:rPr>
          <w:rFonts w:ascii="Times New Roman" w:hAnsi="Times New Roman" w:cs="Times New Roman" w:eastAsia="Times New Roman" w:hint="default"/>
        </w:rPr>
        <w:t>2</w:t>
      </w:r>
      <w:r>
        <w:rPr/>
        <w:t>、</w:t>
      </w:r>
      <w:r>
        <w:rPr>
          <w:spacing w:val="-18"/>
        </w:rPr>
        <w:t> </w:t>
      </w:r>
      <w:r>
        <w:rPr/>
        <w:t>审计委员会</w:t>
      </w:r>
      <w:r>
        <w:rPr/>
        <w:t> </w:t>
      </w:r>
      <w:r>
        <w:rPr>
          <w:spacing w:val="-2"/>
        </w:rPr>
        <w:t>报告期内，公司董事会审计委员会认真审阅了公司定期报告以及审计部门定期提交的的各项内部审计报告，听取了审计</w:t>
      </w:r>
    </w:p>
    <w:p>
      <w:pPr>
        <w:pStyle w:val="BodyText"/>
        <w:spacing w:line="357" w:lineRule="auto" w:before="4"/>
        <w:ind w:left="444" w:right="184" w:hanging="291"/>
        <w:jc w:val="left"/>
      </w:pPr>
      <w:r>
        <w:rPr/>
        <w:t>部门上年度工作总结及本年度工作计划，监督公司内部控制制度的建立健全及执行情况，指导审计部开展各项工作。 </w:t>
      </w:r>
      <w:r>
        <w:rPr>
          <w:spacing w:val="-1"/>
        </w:rPr>
        <w:t>在公司</w:t>
      </w:r>
      <w:r>
        <w:rPr>
          <w:rFonts w:ascii="Times New Roman" w:hAnsi="Times New Roman" w:cs="Times New Roman" w:eastAsia="Times New Roman" w:hint="default"/>
          <w:spacing w:val="-1"/>
        </w:rPr>
        <w:t>2017</w:t>
      </w:r>
      <w:r>
        <w:rPr>
          <w:spacing w:val="-1"/>
        </w:rPr>
        <w:t>年年度审计工作中，审计委员会积极履行职责，在公司年度财务审计机构会计师进场前认真审阅了公司编制</w:t>
      </w:r>
    </w:p>
    <w:p>
      <w:pPr>
        <w:pStyle w:val="BodyText"/>
        <w:spacing w:line="201" w:lineRule="exact"/>
        <w:ind w:left="153" w:right="0"/>
        <w:jc w:val="left"/>
      </w:pPr>
      <w:r>
        <w:rPr/>
        <w:t>的财务会计报表，与会计师进行充分沟通，督促年审会计师按时提交审计报告，并于年审会计师出具初步审计意见后重新审</w:t>
      </w:r>
    </w:p>
    <w:p>
      <w:pPr>
        <w:pStyle w:val="BodyText"/>
        <w:spacing w:line="240" w:lineRule="auto" w:before="77"/>
        <w:ind w:left="153" w:right="184"/>
        <w:jc w:val="left"/>
      </w:pPr>
      <w:r>
        <w:rPr/>
        <w:t>阅公司财务会计报表，与年审注册会计师交流后决议提交公司董事会审议。</w:t>
      </w:r>
    </w:p>
    <w:p>
      <w:pPr>
        <w:pStyle w:val="BodyText"/>
        <w:spacing w:line="338" w:lineRule="auto" w:before="116"/>
        <w:ind w:left="516" w:right="88" w:firstLine="144"/>
        <w:jc w:val="left"/>
      </w:pPr>
      <w:r>
        <w:rPr>
          <w:rFonts w:ascii="Times New Roman" w:hAnsi="Times New Roman" w:cs="Times New Roman" w:eastAsia="Times New Roman" w:hint="default"/>
        </w:rPr>
        <w:t>3</w:t>
      </w:r>
      <w:r>
        <w:rPr/>
        <w:t>、</w:t>
      </w:r>
      <w:r>
        <w:rPr>
          <w:spacing w:val="-18"/>
        </w:rPr>
        <w:t> </w:t>
      </w:r>
      <w:r>
        <w:rPr/>
        <w:t>薪酬与考核委员会</w:t>
      </w:r>
      <w:r>
        <w:rPr/>
        <w:t> 报告期内，公司董事会薪酬与考核委员会根据绩效考核办法对公司董事、监事和高级管理人员进行考核，确认其薪酬、</w:t>
      </w:r>
    </w:p>
    <w:p>
      <w:pPr>
        <w:pStyle w:val="BodyText"/>
        <w:spacing w:line="240" w:lineRule="auto" w:before="4"/>
        <w:ind w:left="153" w:right="184"/>
        <w:jc w:val="left"/>
      </w:pPr>
      <w:r>
        <w:rPr/>
        <w:t>奖金及津贴情况，认为公司董事、监事、高级管理人员薪酬水平合理、合法。</w:t>
      </w:r>
    </w:p>
    <w:p>
      <w:pPr>
        <w:spacing w:line="240" w:lineRule="auto" w:before="1"/>
        <w:rPr>
          <w:rFonts w:ascii="宋体" w:hAnsi="宋体" w:cs="宋体" w:eastAsia="宋体" w:hint="default"/>
          <w:sz w:val="25"/>
          <w:szCs w:val="25"/>
        </w:rPr>
      </w:pPr>
    </w:p>
    <w:p>
      <w:pPr>
        <w:pStyle w:val="Heading2"/>
        <w:spacing w:line="240" w:lineRule="auto"/>
        <w:ind w:right="184"/>
        <w:jc w:val="left"/>
        <w:rPr>
          <w:b w:val="0"/>
          <w:bCs w:val="0"/>
        </w:rPr>
      </w:pP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84"/>
        <w:jc w:val="left"/>
      </w:pPr>
      <w:r>
        <w:rPr/>
        <w:t>监事会在报告期内的监督活动中发现公司是否存在风险</w:t>
      </w:r>
    </w:p>
    <w:p>
      <w:pPr>
        <w:pStyle w:val="BodyText"/>
        <w:spacing w:line="338" w:lineRule="auto" w:before="117"/>
        <w:ind w:right="67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after="0" w:line="338" w:lineRule="auto"/>
        <w:jc w:val="left"/>
        <w:sectPr>
          <w:pgSz w:w="11910" w:h="16840"/>
          <w:pgMar w:header="877" w:footer="982" w:top="1100" w:bottom="1180" w:left="980" w:right="940"/>
        </w:sectPr>
      </w:pPr>
    </w:p>
    <w:p>
      <w:pPr>
        <w:spacing w:line="240" w:lineRule="auto" w:before="8"/>
        <w:rPr>
          <w:rFonts w:ascii="宋体" w:hAnsi="宋体" w:cs="宋体" w:eastAsia="宋体" w:hint="default"/>
          <w:sz w:val="19"/>
          <w:szCs w:val="19"/>
        </w:rPr>
      </w:pPr>
    </w:p>
    <w:p>
      <w:pPr>
        <w:pStyle w:val="Heading2"/>
        <w:spacing w:line="240" w:lineRule="auto" w:before="26"/>
        <w:ind w:right="1258"/>
        <w:jc w:val="left"/>
        <w:rPr>
          <w:b w:val="0"/>
          <w:bCs w:val="0"/>
        </w:rPr>
      </w:pP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公司的高级管理人员依据《公司章程》和岗位职责开展工作。公司董事会薪酬与考核委员会依据董事、监事及高级管理</w:t>
      </w:r>
      <w:r>
        <w:rPr/>
        <w:t> 人员职责履行情况及业绩，对其进行考评，并依据考评结果提出薪酬方案，并提交董事会、股东大会审议。</w:t>
      </w:r>
    </w:p>
    <w:p>
      <w:pPr>
        <w:spacing w:line="240" w:lineRule="auto" w:before="10"/>
        <w:rPr>
          <w:rFonts w:ascii="宋体" w:hAnsi="宋体" w:cs="宋体" w:eastAsia="宋体" w:hint="default"/>
          <w:sz w:val="20"/>
          <w:szCs w:val="20"/>
        </w:rPr>
      </w:pPr>
    </w:p>
    <w:p>
      <w:pPr>
        <w:pStyle w:val="Heading2"/>
        <w:spacing w:line="240" w:lineRule="auto"/>
        <w:ind w:right="1258"/>
        <w:jc w:val="left"/>
        <w:rPr>
          <w:b w:val="0"/>
          <w:bCs w:val="0"/>
        </w:rPr>
      </w:pP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8"/>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5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1258"/>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p>
      <w:pPr>
        <w:pStyle w:val="BodyText"/>
        <w:spacing w:line="240" w:lineRule="auto" w:before="44"/>
        <w:ind w:left="0" w:right="158"/>
        <w:jc w:val="right"/>
      </w:pPr>
      <w:r>
        <w:rPr/>
        <w:pict>
          <v:shape style="position:absolute;margin-left:57.029995pt;margin-top:-21.00799pt;width:478.55pt;height:488.95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7"/>
                    <w:gridCol w:w="3329"/>
                    <w:gridCol w:w="3050"/>
                  </w:tblGrid>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pacing w:val="-1"/>
                            <w:sz w:val="18"/>
                            <w:szCs w:val="18"/>
                          </w:rPr>
                          <w:t>年度内部控制自我评价报告》详见巨潮资讯网（</w:t>
                        </w:r>
                        <w:hyperlink r:id="rId16">
                          <w:r>
                            <w:rPr>
                              <w:rFonts w:ascii="Times New Roman" w:hAnsi="Times New Roman" w:cs="Times New Roman" w:eastAsia="Times New Roman" w:hint="default"/>
                              <w:spacing w:val="-1"/>
                              <w:sz w:val="18"/>
                              <w:szCs w:val="18"/>
                            </w:rPr>
                            <w:t>http://www.cninfo.com.cn</w:t>
                          </w:r>
                        </w:hyperlink>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95"/>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95"/>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58" w:hRule="exact"/>
                    </w:trPr>
                    <w:tc>
                      <w:tcPr>
                        <w:tcW w:w="3177" w:type="dxa"/>
                        <w:vMerge w:val="restart"/>
                        <w:tcBorders>
                          <w:top w:val="single" w:sz="4" w:space="0" w:color="000000"/>
                          <w:left w:val="single" w:sz="4" w:space="0" w:color="000000"/>
                          <w:right w:val="single" w:sz="4" w:space="0" w:color="000000"/>
                        </w:tcBorders>
                        <w:shd w:val="clear" w:color="auto" w:fill="D3D3D3"/>
                      </w:tcPr>
                      <w:p>
                        <w:pPr/>
                      </w:p>
                    </w:tc>
                    <w:tc>
                      <w:tcPr>
                        <w:tcW w:w="33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公司确定的财务报告内部控制缺陷评价的</w:t>
                        </w:r>
                      </w:p>
                    </w:tc>
                    <w:tc>
                      <w:tcPr>
                        <w:tcW w:w="3050"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3177"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定性标准如下：</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、重大缺陷的认定标准</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51"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07" w:hRule="exact"/>
                    </w:trPr>
                    <w:tc>
                      <w:tcPr>
                        <w:tcW w:w="3177"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8" w:right="0"/>
                          <w:jc w:val="left"/>
                          <w:rPr>
                            <w:rFonts w:ascii="宋体" w:hAnsi="宋体" w:cs="宋体" w:eastAsia="宋体" w:hint="default"/>
                            <w:sz w:val="18"/>
                            <w:szCs w:val="18"/>
                          </w:rPr>
                        </w:pPr>
                        <w:r>
                          <w:rPr>
                            <w:rFonts w:ascii="宋体" w:hAnsi="宋体" w:cs="宋体" w:eastAsia="宋体" w:hint="default"/>
                            <w:sz w:val="18"/>
                            <w:szCs w:val="18"/>
                          </w:rPr>
                          <w:t>①公司高级管理人员舞弊；②公司更正已</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77"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公布的财务报告；③注册会计师发现当期</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77"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财务报告存在重大错报，而内部控制在运</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77"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行过程中未能发现该错报；④公司审计委</w:t>
                        </w:r>
                      </w:p>
                    </w:tc>
                    <w:tc>
                      <w:tcPr>
                        <w:tcW w:w="3050" w:type="dxa"/>
                        <w:tcBorders>
                          <w:top w:val="nil" w:sz="6" w:space="0" w:color="auto"/>
                          <w:left w:val="single" w:sz="4" w:space="0" w:color="000000"/>
                          <w:bottom w:val="nil" w:sz="6" w:space="0" w:color="auto"/>
                          <w:right w:val="single" w:sz="4" w:space="0" w:color="000000"/>
                        </w:tcBorders>
                      </w:tcPr>
                      <w:p>
                        <w:pPr/>
                      </w:p>
                    </w:tc>
                  </w:tr>
                  <w:tr>
                    <w:trPr>
                      <w:trHeight w:val="584" w:hRule="exact"/>
                    </w:trPr>
                    <w:tc>
                      <w:tcPr>
                        <w:tcW w:w="3177" w:type="dxa"/>
                        <w:vMerge/>
                        <w:tcBorders>
                          <w:left w:val="single" w:sz="4" w:space="0" w:color="000000"/>
                          <w:bottom w:val="nil" w:sz="6" w:space="0" w:color="auto"/>
                          <w:right w:val="single" w:sz="4" w:space="0" w:color="000000"/>
                        </w:tcBorders>
                        <w:shd w:val="clear" w:color="auto" w:fill="D3D3D3"/>
                      </w:tcPr>
                      <w:p>
                        <w:pPr/>
                      </w:p>
                    </w:tc>
                    <w:tc>
                      <w:tcPr>
                        <w:tcW w:w="3329" w:type="dxa"/>
                        <w:vMerge w:val="restart"/>
                        <w:tcBorders>
                          <w:top w:val="nil" w:sz="6" w:space="0" w:color="auto"/>
                          <w:left w:val="single" w:sz="9" w:space="0" w:color="D3D3D3"/>
                          <w:right w:val="single" w:sz="4" w:space="0" w:color="000000"/>
                        </w:tcBorders>
                      </w:tcPr>
                      <w:p>
                        <w:pPr>
                          <w:pStyle w:val="TableParagraph"/>
                          <w:spacing w:line="314" w:lineRule="auto" w:before="10"/>
                          <w:ind w:left="22" w:right="20"/>
                          <w:jc w:val="both"/>
                          <w:rPr>
                            <w:rFonts w:ascii="宋体" w:hAnsi="宋体" w:cs="宋体" w:eastAsia="宋体" w:hint="default"/>
                            <w:sz w:val="18"/>
                            <w:szCs w:val="18"/>
                          </w:rPr>
                        </w:pPr>
                        <w:r>
                          <w:rPr>
                            <w:rFonts w:ascii="宋体" w:hAnsi="宋体" w:cs="宋体" w:eastAsia="宋体" w:hint="default"/>
                            <w:sz w:val="18"/>
                            <w:szCs w:val="18"/>
                          </w:rPr>
                          <w:t>员会和内部审计机构对内部控制的监督无 </w:t>
                        </w:r>
                        <w:r>
                          <w:rPr>
                            <w:rFonts w:ascii="宋体" w:hAnsi="宋体" w:cs="宋体" w:eastAsia="宋体" w:hint="default"/>
                            <w:spacing w:val="-4"/>
                            <w:sz w:val="18"/>
                            <w:szCs w:val="18"/>
                          </w:rPr>
                          <w:t>效。</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、重要缺陷的认定标准：①未依照公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认会计准则选择和应用会计政策、未建立 反舞弊程序和控制措施；②对于非常规或 特殊交易的账务处理没有建立相应的控制</w:t>
                        </w:r>
                      </w:p>
                    </w:tc>
                    <w:tc>
                      <w:tcPr>
                        <w:tcW w:w="3050" w:type="dxa"/>
                        <w:vMerge w:val="restart"/>
                        <w:tcBorders>
                          <w:top w:val="nil" w:sz="6" w:space="0" w:color="auto"/>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w:t>
                        </w:r>
                        <w:r>
                          <w:rPr>
                            <w:rFonts w:ascii="宋体" w:hAnsi="宋体" w:cs="宋体" w:eastAsia="宋体" w:hint="default"/>
                            <w:spacing w:val="-4"/>
                            <w:sz w:val="18"/>
                            <w:szCs w:val="18"/>
                          </w:rPr>
                          <w:t>评价的定量标准如下：非财务报告内部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控制缺陷评价的定量标准参照财务报 告内部控制缺陷评价的定量标准执行</w:t>
                        </w:r>
                      </w:p>
                    </w:tc>
                  </w:tr>
                  <w:tr>
                    <w:trPr>
                      <w:trHeight w:val="391" w:hRule="exact"/>
                    </w:trPr>
                    <w:tc>
                      <w:tcPr>
                        <w:tcW w:w="317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3D3D3"/>
                          <w:right w:val="single" w:sz="4" w:space="0" w:color="000000"/>
                        </w:tcBorders>
                      </w:tcPr>
                      <w:p>
                        <w:pPr/>
                      </w:p>
                    </w:tc>
                    <w:tc>
                      <w:tcPr>
                        <w:tcW w:w="3050" w:type="dxa"/>
                        <w:vMerge/>
                        <w:tcBorders>
                          <w:left w:val="single" w:sz="4" w:space="0" w:color="000000"/>
                          <w:right w:val="single" w:sz="4" w:space="0" w:color="000000"/>
                        </w:tcBorders>
                      </w:tcPr>
                      <w:p>
                        <w:pPr/>
                      </w:p>
                    </w:tc>
                  </w:tr>
                  <w:tr>
                    <w:trPr>
                      <w:trHeight w:val="585" w:hRule="exact"/>
                    </w:trPr>
                    <w:tc>
                      <w:tcPr>
                        <w:tcW w:w="3177" w:type="dxa"/>
                        <w:vMerge w:val="restart"/>
                        <w:tcBorders>
                          <w:top w:val="nil" w:sz="6" w:space="0" w:color="auto"/>
                          <w:left w:val="single" w:sz="4" w:space="0" w:color="000000"/>
                          <w:right w:val="single" w:sz="4" w:space="0" w:color="000000"/>
                        </w:tcBorders>
                        <w:shd w:val="clear" w:color="auto" w:fill="D3D3D3"/>
                      </w:tcPr>
                      <w:p>
                        <w:pPr/>
                      </w:p>
                    </w:tc>
                    <w:tc>
                      <w:tcPr>
                        <w:tcW w:w="3329" w:type="dxa"/>
                        <w:vMerge/>
                        <w:tcBorders>
                          <w:left w:val="single" w:sz="9" w:space="0" w:color="D3D3D3"/>
                          <w:bottom w:val="nil" w:sz="6" w:space="0" w:color="auto"/>
                          <w:right w:val="single" w:sz="4" w:space="0" w:color="000000"/>
                        </w:tcBorders>
                      </w:tcPr>
                      <w:p>
                        <w:pPr/>
                      </w:p>
                    </w:tc>
                    <w:tc>
                      <w:tcPr>
                        <w:tcW w:w="3050" w:type="dxa"/>
                        <w:vMerge/>
                        <w:tcBorders>
                          <w:left w:val="single" w:sz="4" w:space="0" w:color="000000"/>
                          <w:bottom w:val="nil" w:sz="6" w:space="0" w:color="auto"/>
                          <w:right w:val="single" w:sz="4" w:space="0" w:color="000000"/>
                        </w:tcBorders>
                      </w:tcPr>
                      <w:p>
                        <w:pPr/>
                      </w:p>
                    </w:tc>
                  </w:tr>
                  <w:tr>
                    <w:trPr>
                      <w:trHeight w:val="312" w:hRule="exact"/>
                    </w:trPr>
                    <w:tc>
                      <w:tcPr>
                        <w:tcW w:w="3177"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机制或没有实施且没有相应的补偿性控</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77"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制；③对于期末财务报告过程的控制存在</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77"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一项或多项缺陷且不能合理保证编制的财</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77"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pacing w:val="-4"/>
                            <w:sz w:val="18"/>
                            <w:szCs w:val="18"/>
                          </w:rPr>
                          <w:t>务报表达到真实、准确的目标。</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、财务报</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3177" w:type="dxa"/>
                        <w:vMerge/>
                        <w:tcBorders>
                          <w:left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8" w:right="0"/>
                          <w:jc w:val="left"/>
                          <w:rPr>
                            <w:rFonts w:ascii="宋体" w:hAnsi="宋体" w:cs="宋体" w:eastAsia="宋体" w:hint="default"/>
                            <w:sz w:val="18"/>
                            <w:szCs w:val="18"/>
                          </w:rPr>
                        </w:pPr>
                        <w:r>
                          <w:rPr>
                            <w:rFonts w:ascii="宋体" w:hAnsi="宋体" w:cs="宋体" w:eastAsia="宋体" w:hint="default"/>
                            <w:sz w:val="18"/>
                            <w:szCs w:val="18"/>
                          </w:rPr>
                          <w:t>告一般缺陷是指除上述重大缺陷、重要缺</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3177" w:type="dxa"/>
                        <w:vMerge/>
                        <w:tcBorders>
                          <w:left w:val="single" w:sz="4" w:space="0" w:color="000000"/>
                          <w:bottom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陷之外的其他控制缺陷。</w:t>
                        </w:r>
                      </w:p>
                    </w:tc>
                    <w:tc>
                      <w:tcPr>
                        <w:tcW w:w="3050" w:type="dxa"/>
                        <w:tcBorders>
                          <w:top w:val="nil" w:sz="6" w:space="0" w:color="auto"/>
                          <w:left w:val="single" w:sz="4" w:space="0" w:color="000000"/>
                          <w:bottom w:val="single" w:sz="4" w:space="0" w:color="000000"/>
                          <w:right w:val="single" w:sz="4" w:space="0" w:color="000000"/>
                        </w:tcBorders>
                      </w:tcPr>
                      <w:p>
                        <w:pPr/>
                      </w:p>
                    </w:tc>
                  </w:tr>
                  <w:tr>
                    <w:trPr>
                      <w:trHeight w:val="369" w:hRule="exact"/>
                    </w:trPr>
                    <w:tc>
                      <w:tcPr>
                        <w:tcW w:w="3177" w:type="dxa"/>
                        <w:vMerge w:val="restart"/>
                        <w:tcBorders>
                          <w:top w:val="single" w:sz="4" w:space="0" w:color="000000"/>
                          <w:left w:val="single" w:sz="4" w:space="0" w:color="000000"/>
                          <w:right w:val="single" w:sz="4" w:space="0" w:color="000000"/>
                        </w:tcBorders>
                        <w:shd w:val="clear" w:color="auto" w:fill="D3D3D3"/>
                      </w:tcPr>
                      <w:p>
                        <w:pPr/>
                      </w:p>
                    </w:tc>
                    <w:tc>
                      <w:tcPr>
                        <w:tcW w:w="3329" w:type="dxa"/>
                        <w:tcBorders>
                          <w:top w:val="single" w:sz="4" w:space="0" w:color="000000"/>
                          <w:left w:val="single" w:sz="4" w:space="0" w:color="000000"/>
                          <w:bottom w:val="nil" w:sz="6" w:space="0" w:color="auto"/>
                          <w:right w:val="single" w:sz="9" w:space="0" w:color="FFFFFF"/>
                        </w:tcBorders>
                      </w:tcPr>
                      <w:p>
                        <w:pPr>
                          <w:pStyle w:val="TableParagraph"/>
                          <w:spacing w:line="240" w:lineRule="auto" w:before="71"/>
                          <w:ind w:left="28" w:right="0"/>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公司确定的财务报告内部控制缺陷评价的</w:t>
                        </w:r>
                      </w:p>
                    </w:tc>
                    <w:tc>
                      <w:tcPr>
                        <w:tcW w:w="3050" w:type="dxa"/>
                        <w:tcBorders>
                          <w:top w:val="single" w:sz="4" w:space="0" w:color="000000"/>
                          <w:left w:val="single" w:sz="9" w:space="0" w:color="FFFFFF"/>
                          <w:bottom w:val="nil" w:sz="6" w:space="0" w:color="auto"/>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w:t>
                        </w:r>
                      </w:p>
                    </w:tc>
                  </w:tr>
                  <w:tr>
                    <w:trPr>
                      <w:trHeight w:val="106" w:hRule="exact"/>
                    </w:trPr>
                    <w:tc>
                      <w:tcPr>
                        <w:tcW w:w="3177" w:type="dxa"/>
                        <w:vMerge/>
                        <w:tcBorders>
                          <w:left w:val="single" w:sz="4" w:space="0" w:color="000000"/>
                          <w:bottom w:val="nil" w:sz="6" w:space="0" w:color="auto"/>
                          <w:right w:val="single" w:sz="4" w:space="0" w:color="000000"/>
                        </w:tcBorders>
                        <w:shd w:val="clear" w:color="auto" w:fill="D3D3D3"/>
                      </w:tcPr>
                      <w:p>
                        <w:pPr/>
                      </w:p>
                    </w:tc>
                    <w:tc>
                      <w:tcPr>
                        <w:tcW w:w="3329" w:type="dxa"/>
                        <w:vMerge w:val="restart"/>
                        <w:tcBorders>
                          <w:top w:val="nil" w:sz="6" w:space="0" w:color="auto"/>
                          <w:left w:val="single" w:sz="13" w:space="0" w:color="D3D3D3"/>
                          <w:right w:val="single" w:sz="9" w:space="0" w:color="FFFFFF"/>
                        </w:tcBorders>
                      </w:tcPr>
                      <w:p>
                        <w:pPr>
                          <w:pStyle w:val="TableParagraph"/>
                          <w:spacing w:line="240" w:lineRule="auto" w:before="20"/>
                          <w:ind w:left="16" w:right="0"/>
                          <w:jc w:val="left"/>
                          <w:rPr>
                            <w:rFonts w:ascii="宋体" w:hAnsi="宋体" w:cs="宋体" w:eastAsia="宋体" w:hint="default"/>
                            <w:sz w:val="18"/>
                            <w:szCs w:val="18"/>
                          </w:rPr>
                        </w:pPr>
                        <w:r>
                          <w:rPr>
                            <w:rFonts w:ascii="宋体" w:hAnsi="宋体" w:cs="宋体" w:eastAsia="宋体" w:hint="default"/>
                            <w:sz w:val="18"/>
                            <w:szCs w:val="18"/>
                          </w:rPr>
                          <w:t>定量标准如下：</w:t>
                        </w:r>
                        <w:r>
                          <w:rPr>
                            <w:rFonts w:ascii="Times New Roman" w:hAnsi="Times New Roman" w:cs="Times New Roman" w:eastAsia="Times New Roman" w:hint="default"/>
                            <w:sz w:val="18"/>
                            <w:szCs w:val="18"/>
                          </w:rPr>
                          <w:t>1</w:t>
                        </w:r>
                        <w:r>
                          <w:rPr>
                            <w:rFonts w:ascii="宋体" w:hAnsi="宋体" w:cs="宋体" w:eastAsia="宋体" w:hint="default"/>
                            <w:sz w:val="18"/>
                            <w:szCs w:val="18"/>
                          </w:rPr>
                          <w:t>、以资产总额指标衡量</w:t>
                        </w:r>
                      </w:p>
                    </w:tc>
                    <w:tc>
                      <w:tcPr>
                        <w:tcW w:w="3050" w:type="dxa"/>
                        <w:vMerge w:val="restart"/>
                        <w:tcBorders>
                          <w:top w:val="nil" w:sz="6" w:space="0" w:color="auto"/>
                          <w:left w:val="single" w:sz="9" w:space="0" w:color="FFFFFF"/>
                          <w:right w:val="single" w:sz="4" w:space="0" w:color="000000"/>
                        </w:tcBorders>
                      </w:tcPr>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position w:val="2"/>
                            <w:sz w:val="18"/>
                            <w:szCs w:val="18"/>
                          </w:rPr>
                          <w:t>评价的定性标准如下：</w:t>
                        </w:r>
                        <w:r>
                          <w:rPr>
                            <w:rFonts w:ascii="宋体" w:hAnsi="宋体" w:cs="宋体" w:eastAsia="宋体" w:hint="default"/>
                            <w:sz w:val="18"/>
                            <w:szCs w:val="18"/>
                          </w:rPr>
                        </w:r>
                      </w:p>
                    </w:tc>
                  </w:tr>
                  <w:tr>
                    <w:trPr>
                      <w:trHeight w:val="221" w:hRule="exact"/>
                    </w:trPr>
                    <w:tc>
                      <w:tcPr>
                        <w:tcW w:w="317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13" w:space="0" w:color="D3D3D3"/>
                          <w:bottom w:val="nil" w:sz="6" w:space="0" w:color="auto"/>
                          <w:right w:val="single" w:sz="9" w:space="0" w:color="FFFFFF"/>
                        </w:tcBorders>
                      </w:tcPr>
                      <w:p>
                        <w:pPr/>
                      </w:p>
                    </w:tc>
                    <w:tc>
                      <w:tcPr>
                        <w:tcW w:w="3050" w:type="dxa"/>
                        <w:vMerge/>
                        <w:tcBorders>
                          <w:left w:val="single" w:sz="9" w:space="0" w:color="FFFFFF"/>
                          <w:bottom w:val="nil" w:sz="6" w:space="0" w:color="auto"/>
                          <w:right w:val="single" w:sz="4" w:space="0" w:color="000000"/>
                        </w:tcBorders>
                      </w:tcPr>
                      <w:p>
                        <w:pPr/>
                      </w:p>
                    </w:tc>
                  </w:tr>
                  <w:tr>
                    <w:trPr>
                      <w:trHeight w:val="170" w:hRule="exact"/>
                    </w:trPr>
                    <w:tc>
                      <w:tcPr>
                        <w:tcW w:w="3177" w:type="dxa"/>
                        <w:vMerge/>
                        <w:tcBorders>
                          <w:left w:val="single" w:sz="4" w:space="0" w:color="000000"/>
                          <w:bottom w:val="nil" w:sz="6" w:space="0" w:color="auto"/>
                          <w:right w:val="single" w:sz="4" w:space="0" w:color="000000"/>
                        </w:tcBorders>
                        <w:shd w:val="clear" w:color="auto" w:fill="D3D3D3"/>
                      </w:tcPr>
                      <w:p>
                        <w:pPr/>
                      </w:p>
                    </w:tc>
                    <w:tc>
                      <w:tcPr>
                        <w:tcW w:w="3329" w:type="dxa"/>
                        <w:vMerge w:val="restart"/>
                        <w:tcBorders>
                          <w:top w:val="nil" w:sz="6" w:space="0" w:color="auto"/>
                          <w:left w:val="single" w:sz="13" w:space="0" w:color="D3D3D3"/>
                          <w:right w:val="single" w:sz="9" w:space="0" w:color="FFFFFF"/>
                        </w:tcBorders>
                      </w:tcPr>
                      <w:p>
                        <w:pPr>
                          <w:pStyle w:val="TableParagraph"/>
                          <w:spacing w:line="240" w:lineRule="auto" w:before="5"/>
                          <w:ind w:left="16" w:right="0"/>
                          <w:jc w:val="left"/>
                          <w:rPr>
                            <w:rFonts w:ascii="宋体" w:hAnsi="宋体" w:cs="宋体" w:eastAsia="宋体" w:hint="default"/>
                            <w:sz w:val="18"/>
                            <w:szCs w:val="18"/>
                          </w:rPr>
                        </w:pPr>
                        <w:r>
                          <w:rPr>
                            <w:rFonts w:ascii="宋体" w:hAnsi="宋体" w:cs="宋体" w:eastAsia="宋体" w:hint="default"/>
                            <w:sz w:val="18"/>
                            <w:szCs w:val="18"/>
                          </w:rPr>
                          <w:t>如果该缺陷单独或连同其他缺陷可能导致</w:t>
                        </w:r>
                      </w:p>
                    </w:tc>
                    <w:tc>
                      <w:tcPr>
                        <w:tcW w:w="3050" w:type="dxa"/>
                        <w:vMerge w:val="restart"/>
                        <w:tcBorders>
                          <w:top w:val="nil" w:sz="6" w:space="0" w:color="auto"/>
                          <w:left w:val="single" w:sz="9" w:space="0" w:color="FFFFFF"/>
                          <w:right w:val="single" w:sz="4" w:space="0" w:color="000000"/>
                        </w:tcBorders>
                      </w:tcPr>
                      <w:p>
                        <w:pPr>
                          <w:pStyle w:val="TableParagraph"/>
                          <w:spacing w:line="240" w:lineRule="auto" w:before="24"/>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、重大缺陷的认定标准：①公司经营</w:t>
                        </w:r>
                      </w:p>
                    </w:tc>
                  </w:tr>
                  <w:tr>
                    <w:trPr>
                      <w:trHeight w:val="152" w:hRule="exact"/>
                    </w:trPr>
                    <w:tc>
                      <w:tcPr>
                        <w:tcW w:w="3177" w:type="dxa"/>
                        <w:vMerge w:val="restart"/>
                        <w:tcBorders>
                          <w:top w:val="nil" w:sz="6" w:space="0" w:color="auto"/>
                          <w:left w:val="single" w:sz="4" w:space="0" w:color="000000"/>
                          <w:right w:val="single" w:sz="4" w:space="0" w:color="000000"/>
                        </w:tcBorders>
                        <w:shd w:val="clear" w:color="auto" w:fill="D3D3D3"/>
                      </w:tcPr>
                      <w:p>
                        <w:pPr/>
                      </w:p>
                    </w:tc>
                    <w:tc>
                      <w:tcPr>
                        <w:tcW w:w="3329" w:type="dxa"/>
                        <w:vMerge/>
                        <w:tcBorders>
                          <w:left w:val="single" w:sz="13" w:space="0" w:color="D3D3D3"/>
                          <w:bottom w:val="nil" w:sz="6" w:space="0" w:color="auto"/>
                          <w:right w:val="single" w:sz="9" w:space="0" w:color="FFFFFF"/>
                        </w:tcBorders>
                      </w:tcPr>
                      <w:p>
                        <w:pPr/>
                      </w:p>
                    </w:tc>
                    <w:tc>
                      <w:tcPr>
                        <w:tcW w:w="3050" w:type="dxa"/>
                        <w:vMerge/>
                        <w:tcBorders>
                          <w:left w:val="single" w:sz="9" w:space="0" w:color="FFFFFF"/>
                          <w:bottom w:val="nil" w:sz="6" w:space="0" w:color="auto"/>
                          <w:right w:val="single" w:sz="4" w:space="0" w:color="000000"/>
                        </w:tcBorders>
                      </w:tcPr>
                      <w:p>
                        <w:pPr/>
                      </w:p>
                    </w:tc>
                  </w:tr>
                  <w:tr>
                    <w:trPr>
                      <w:trHeight w:val="323" w:hRule="exact"/>
                    </w:trPr>
                    <w:tc>
                      <w:tcPr>
                        <w:tcW w:w="3177" w:type="dxa"/>
                        <w:vMerge/>
                        <w:tcBorders>
                          <w:left w:val="single" w:sz="4" w:space="0" w:color="000000"/>
                          <w:bottom w:val="single" w:sz="4" w:space="0" w:color="000000"/>
                          <w:right w:val="single" w:sz="4" w:space="0" w:color="000000"/>
                        </w:tcBorders>
                        <w:shd w:val="clear" w:color="auto" w:fill="D3D3D3"/>
                      </w:tcPr>
                      <w:p>
                        <w:pPr/>
                      </w:p>
                    </w:tc>
                    <w:tc>
                      <w:tcPr>
                        <w:tcW w:w="3329" w:type="dxa"/>
                        <w:tcBorders>
                          <w:top w:val="nil" w:sz="6" w:space="0" w:color="auto"/>
                          <w:left w:val="single" w:sz="4" w:space="0" w:color="000000"/>
                          <w:bottom w:val="single" w:sz="4" w:space="0" w:color="000000"/>
                          <w:right w:val="single" w:sz="9" w:space="0" w:color="FFFFFF"/>
                        </w:tcBorders>
                      </w:tcPr>
                      <w:p>
                        <w:pPr>
                          <w:pStyle w:val="TableParagraph"/>
                          <w:spacing w:line="245" w:lineRule="exact"/>
                          <w:ind w:left="28" w:right="-17"/>
                          <w:jc w:val="left"/>
                          <w:rPr>
                            <w:rFonts w:ascii="宋体" w:hAnsi="宋体" w:cs="宋体" w:eastAsia="宋体" w:hint="default"/>
                            <w:sz w:val="18"/>
                            <w:szCs w:val="18"/>
                          </w:rPr>
                        </w:pPr>
                        <w:r>
                          <w:rPr>
                            <w:rFonts w:ascii="宋体" w:hAnsi="宋体" w:cs="宋体" w:eastAsia="宋体" w:hint="default"/>
                            <w:sz w:val="18"/>
                            <w:szCs w:val="18"/>
                          </w:rPr>
                          <w:t>财务报告错报金额小于资产总额的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c>
                      <w:tcPr>
                        <w:tcW w:w="3050" w:type="dxa"/>
                        <w:tcBorders>
                          <w:top w:val="nil" w:sz="6" w:space="0" w:color="auto"/>
                          <w:left w:val="single" w:sz="9" w:space="0" w:color="FFFFFF"/>
                          <w:bottom w:val="single" w:sz="4" w:space="0" w:color="000000"/>
                          <w:right w:val="single" w:sz="4" w:space="0" w:color="000000"/>
                        </w:tcBorders>
                      </w:tcPr>
                      <w:p>
                        <w:pPr>
                          <w:pStyle w:val="TableParagraph"/>
                          <w:spacing w:line="240" w:lineRule="auto" w:before="15"/>
                          <w:ind w:left="16" w:right="0"/>
                          <w:jc w:val="left"/>
                          <w:rPr>
                            <w:rFonts w:ascii="宋体" w:hAnsi="宋体" w:cs="宋体" w:eastAsia="宋体" w:hint="default"/>
                            <w:sz w:val="18"/>
                            <w:szCs w:val="18"/>
                          </w:rPr>
                        </w:pPr>
                        <w:r>
                          <w:rPr>
                            <w:rFonts w:ascii="宋体" w:hAnsi="宋体" w:cs="宋体" w:eastAsia="宋体" w:hint="default"/>
                            <w:spacing w:val="-4"/>
                            <w:sz w:val="18"/>
                            <w:szCs w:val="18"/>
                          </w:rPr>
                          <w:t>活动严重违反国家法律法规；②媒体负</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line="2028" w:lineRule="exact"/>
        <w:ind w:left="6676" w:right="0" w:firstLine="0"/>
        <w:rPr>
          <w:rFonts w:ascii="宋体" w:hAnsi="宋体" w:cs="宋体" w:eastAsia="宋体" w:hint="default"/>
          <w:sz w:val="20"/>
          <w:szCs w:val="20"/>
        </w:rPr>
      </w:pPr>
      <w:r>
        <w:rPr>
          <w:rFonts w:ascii="宋体" w:hAnsi="宋体" w:cs="宋体" w:eastAsia="宋体" w:hint="default"/>
          <w:position w:val="-40"/>
          <w:sz w:val="20"/>
          <w:szCs w:val="20"/>
        </w:rPr>
        <w:pict>
          <v:group style="width:152.050pt;height:101.4pt;mso-position-horizontal-relative:char;mso-position-vertical-relative:line" coordorigin="0,0" coordsize="3041,2028">
            <v:group style="position:absolute;left:0;top:0;width:3041;height:2028" coordorigin="0,0" coordsize="3041,2028">
              <v:shape style="position:absolute;left:0;top:0;width:3041;height:2028" coordorigin="0,0" coordsize="3041,2028" path="m0,2028l3041,2028,3041,0,0,0,0,2028xe" filled="true" fillcolor="#ffffff" stroked="false">
                <v:path arrowok="t"/>
                <v:fill type="solid"/>
              </v:shape>
            </v:group>
          </v:group>
        </w:pict>
      </w:r>
      <w:r>
        <w:rPr>
          <w:rFonts w:ascii="宋体" w:hAnsi="宋体" w:cs="宋体" w:eastAsia="宋体" w:hint="default"/>
          <w:position w:val="-40"/>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ind w:left="0" w:right="183"/>
        <w:jc w:val="right"/>
      </w:pPr>
      <w:r>
        <w:rPr/>
        <w:t>。</w:t>
      </w:r>
    </w:p>
    <w:p>
      <w:pPr>
        <w:spacing w:after="0" w:line="240" w:lineRule="auto"/>
        <w:jc w:val="right"/>
        <w:sectPr>
          <w:pgSz w:w="11910" w:h="16840"/>
          <w:pgMar w:header="877" w:footer="982" w:top="1100" w:bottom="1180" w:left="980" w:right="980"/>
        </w:sectPr>
      </w:pPr>
    </w:p>
    <w:p>
      <w:pPr>
        <w:spacing w:line="240" w:lineRule="auto" w:before="6"/>
        <w:rPr>
          <w:rFonts w:ascii="宋体" w:hAnsi="宋体" w:cs="宋体" w:eastAsia="宋体" w:hint="default"/>
          <w:sz w:val="24"/>
          <w:szCs w:val="24"/>
        </w:rPr>
      </w:pPr>
      <w:r>
        <w:rPr/>
        <w:pict>
          <v:group style="position:absolute;margin-left:383.940002pt;margin-top:168.119995pt;width:149.8pt;height:15.6pt;mso-position-horizontal-relative:page;mso-position-vertical-relative:page;z-index:-1147984" coordorigin="7679,3362" coordsize="2996,312">
            <v:shape style="position:absolute;left:7679;top:3362;width:2996;height:312" coordorigin="7679,3362" coordsize="2996,312" path="m7679,3674l10674,3674,10674,3362,7679,3362,7679,3674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3194"/>
        <w:gridCol w:w="3335"/>
        <w:gridCol w:w="3039"/>
      </w:tblGrid>
      <w:tr>
        <w:trPr>
          <w:trHeight w:val="317" w:hRule="exact"/>
        </w:trPr>
        <w:tc>
          <w:tcPr>
            <w:tcW w:w="3194" w:type="dxa"/>
            <w:vMerge w:val="restart"/>
            <w:tcBorders>
              <w:top w:val="single" w:sz="4" w:space="0" w:color="000000"/>
              <w:left w:val="single" w:sz="4" w:space="0" w:color="000000"/>
              <w:right w:val="single" w:sz="4" w:space="0" w:color="000000"/>
            </w:tcBorders>
            <w:shd w:val="clear" w:color="auto" w:fill="D3D3D3"/>
          </w:tcPr>
          <w:p>
            <w:pPr/>
          </w:p>
        </w:tc>
        <w:tc>
          <w:tcPr>
            <w:tcW w:w="3335" w:type="dxa"/>
            <w:tcBorders>
              <w:top w:val="single" w:sz="4" w:space="0" w:color="000000"/>
              <w:left w:val="single" w:sz="4" w:space="0" w:color="000000"/>
              <w:bottom w:val="nil" w:sz="6" w:space="0" w:color="auto"/>
              <w:right w:val="single" w:sz="9" w:space="0" w:color="FFFFF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则认定为一般缺陷；如果超过资产总额的</w:t>
            </w:r>
          </w:p>
        </w:tc>
        <w:tc>
          <w:tcPr>
            <w:tcW w:w="3039" w:type="dxa"/>
            <w:tcBorders>
              <w:top w:val="single" w:sz="4" w:space="0" w:color="000000"/>
              <w:left w:val="single" w:sz="9" w:space="0" w:color="FFFFFF"/>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4"/>
                <w:sz w:val="18"/>
                <w:szCs w:val="18"/>
              </w:rPr>
              <w:t>面新闻频频曝光，对公司声誉造成重大</w:t>
            </w:r>
          </w:p>
        </w:tc>
      </w:tr>
      <w:tr>
        <w:trPr>
          <w:trHeight w:val="317" w:hRule="exact"/>
        </w:trPr>
        <w:tc>
          <w:tcPr>
            <w:tcW w:w="3194" w:type="dxa"/>
            <w:vMerge/>
            <w:tcBorders>
              <w:left w:val="single" w:sz="4" w:space="0" w:color="000000"/>
              <w:right w:val="single" w:sz="4" w:space="0" w:color="000000"/>
            </w:tcBorders>
            <w:shd w:val="clear" w:color="auto" w:fill="D3D3D3"/>
          </w:tcPr>
          <w:p>
            <w:pPr/>
          </w:p>
        </w:tc>
        <w:tc>
          <w:tcPr>
            <w:tcW w:w="3335" w:type="dxa"/>
            <w:tcBorders>
              <w:top w:val="nil" w:sz="6" w:space="0" w:color="auto"/>
              <w:left w:val="single" w:sz="4" w:space="0" w:color="000000"/>
              <w:bottom w:val="nil" w:sz="6" w:space="0" w:color="auto"/>
              <w:right w:val="single" w:sz="9" w:space="0" w:color="FFFFFF"/>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，则认定为重要缺陷；如</w:t>
            </w:r>
          </w:p>
        </w:tc>
        <w:tc>
          <w:tcPr>
            <w:tcW w:w="3039" w:type="dxa"/>
            <w:tcBorders>
              <w:top w:val="nil" w:sz="6" w:space="0" w:color="auto"/>
              <w:left w:val="single" w:sz="9" w:space="0" w:color="FFFFFF"/>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4"/>
                <w:sz w:val="18"/>
                <w:szCs w:val="18"/>
              </w:rPr>
              <w:t>损害；③中高级管理人员和高级技术人</w:t>
            </w: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3335" w:type="dxa"/>
            <w:tcBorders>
              <w:top w:val="nil" w:sz="6" w:space="0" w:color="auto"/>
              <w:left w:val="single" w:sz="4" w:space="0" w:color="000000"/>
              <w:bottom w:val="nil" w:sz="6" w:space="0" w:color="auto"/>
              <w:right w:val="single" w:sz="9" w:space="0" w:color="FFFFFF"/>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果超过资产总额的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w:t>
            </w:r>
          </w:p>
        </w:tc>
        <w:tc>
          <w:tcPr>
            <w:tcW w:w="3039" w:type="dxa"/>
            <w:tcBorders>
              <w:top w:val="nil" w:sz="6" w:space="0" w:color="auto"/>
              <w:left w:val="single" w:sz="9" w:space="0" w:color="FFFFFF"/>
              <w:bottom w:val="nil" w:sz="6" w:space="0" w:color="auto"/>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pacing w:val="-4"/>
                <w:sz w:val="18"/>
                <w:szCs w:val="18"/>
              </w:rPr>
              <w:t>员严重流失；④重要业务缺乏制度控制</w:t>
            </w: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3335" w:type="dxa"/>
            <w:tcBorders>
              <w:top w:val="nil" w:sz="6" w:space="0" w:color="auto"/>
              <w:left w:val="single" w:sz="4" w:space="0" w:color="000000"/>
              <w:bottom w:val="nil" w:sz="6" w:space="0" w:color="auto"/>
              <w:right w:val="single" w:sz="9" w:space="0" w:color="FFFFFF"/>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4"/>
                <w:sz w:val="18"/>
                <w:szCs w:val="18"/>
              </w:rPr>
              <w:t>陷。</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、以营业收入指标衡量。如果该缺陷</w:t>
            </w:r>
          </w:p>
        </w:tc>
        <w:tc>
          <w:tcPr>
            <w:tcW w:w="3039" w:type="dxa"/>
            <w:tcBorders>
              <w:top w:val="nil" w:sz="6" w:space="0" w:color="auto"/>
              <w:left w:val="single" w:sz="9" w:space="0" w:color="FFFFFF"/>
              <w:bottom w:val="nil" w:sz="6" w:space="0" w:color="auto"/>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pacing w:val="-4"/>
                <w:sz w:val="18"/>
                <w:szCs w:val="18"/>
              </w:rPr>
              <w:t>或制度系统性失效；⑤内部控制评价的</w:t>
            </w:r>
          </w:p>
        </w:tc>
      </w:tr>
      <w:tr>
        <w:trPr>
          <w:trHeight w:val="307" w:hRule="exact"/>
        </w:trPr>
        <w:tc>
          <w:tcPr>
            <w:tcW w:w="3194" w:type="dxa"/>
            <w:vMerge/>
            <w:tcBorders>
              <w:left w:val="single" w:sz="4" w:space="0" w:color="000000"/>
              <w:right w:val="single" w:sz="4" w:space="0" w:color="000000"/>
            </w:tcBorders>
            <w:shd w:val="clear" w:color="auto" w:fill="D3D3D3"/>
          </w:tcPr>
          <w:p>
            <w:pPr/>
          </w:p>
        </w:tc>
        <w:tc>
          <w:tcPr>
            <w:tcW w:w="3335" w:type="dxa"/>
            <w:tcBorders>
              <w:top w:val="nil" w:sz="6" w:space="0" w:color="auto"/>
              <w:left w:val="single" w:sz="4" w:space="0" w:color="000000"/>
              <w:bottom w:val="nil" w:sz="6" w:space="0" w:color="auto"/>
              <w:right w:val="single" w:sz="9" w:space="0" w:color="FFFFFF"/>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单独或连同其他缺陷可能导致财务报告错</w:t>
            </w:r>
          </w:p>
        </w:tc>
        <w:tc>
          <w:tcPr>
            <w:tcW w:w="3039" w:type="dxa"/>
            <w:tcBorders>
              <w:top w:val="nil" w:sz="6" w:space="0" w:color="auto"/>
              <w:left w:val="single" w:sz="9" w:space="0" w:color="FFFFFF"/>
              <w:bottom w:val="nil" w:sz="6" w:space="0" w:color="auto"/>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结果特别是重大缺陷或重要缺陷未得</w:t>
            </w:r>
          </w:p>
        </w:tc>
      </w:tr>
      <w:tr>
        <w:trPr>
          <w:trHeight w:val="317" w:hRule="exact"/>
        </w:trPr>
        <w:tc>
          <w:tcPr>
            <w:tcW w:w="3194" w:type="dxa"/>
            <w:vMerge/>
            <w:tcBorders>
              <w:left w:val="single" w:sz="4" w:space="0" w:color="000000"/>
              <w:right w:val="single" w:sz="4" w:space="0" w:color="000000"/>
            </w:tcBorders>
            <w:shd w:val="clear" w:color="auto" w:fill="D3D3D3"/>
          </w:tcPr>
          <w:p>
            <w:pPr/>
          </w:p>
        </w:tc>
        <w:tc>
          <w:tcPr>
            <w:tcW w:w="3335" w:type="dxa"/>
            <w:tcBorders>
              <w:top w:val="nil" w:sz="6" w:space="0" w:color="auto"/>
              <w:left w:val="single" w:sz="4" w:space="0" w:color="000000"/>
              <w:bottom w:val="nil" w:sz="6" w:space="0" w:color="auto"/>
              <w:right w:val="single" w:sz="9" w:space="0" w:color="FFFFF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报金额小于营业收入的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pacing w:val="-78"/>
                <w:sz w:val="18"/>
                <w:szCs w:val="18"/>
              </w:rPr>
              <w:t>，</w:t>
            </w:r>
            <w:r>
              <w:rPr>
                <w:rFonts w:ascii="宋体" w:hAnsi="宋体" w:cs="宋体" w:eastAsia="宋体" w:hint="default"/>
                <w:sz w:val="18"/>
                <w:szCs w:val="18"/>
              </w:rPr>
              <w:t>则认定为一般</w:t>
            </w:r>
          </w:p>
        </w:tc>
        <w:tc>
          <w:tcPr>
            <w:tcW w:w="3039" w:type="dxa"/>
            <w:tcBorders>
              <w:top w:val="nil" w:sz="6" w:space="0" w:color="auto"/>
              <w:left w:val="single" w:sz="9" w:space="0" w:color="FFFFFF"/>
              <w:bottom w:val="nil" w:sz="6" w:space="0" w:color="auto"/>
              <w:right w:val="single" w:sz="4"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到整改。</w:t>
            </w:r>
          </w:p>
        </w:tc>
      </w:tr>
      <w:tr>
        <w:trPr>
          <w:trHeight w:val="332" w:hRule="exact"/>
        </w:trPr>
        <w:tc>
          <w:tcPr>
            <w:tcW w:w="3194" w:type="dxa"/>
            <w:vMerge/>
            <w:tcBorders>
              <w:left w:val="single" w:sz="4" w:space="0" w:color="000000"/>
              <w:right w:val="single" w:sz="4" w:space="0" w:color="000000"/>
            </w:tcBorders>
            <w:shd w:val="clear" w:color="auto" w:fill="D3D3D3"/>
          </w:tcPr>
          <w:p>
            <w:pPr/>
          </w:p>
        </w:tc>
        <w:tc>
          <w:tcPr>
            <w:tcW w:w="3335" w:type="dxa"/>
            <w:tcBorders>
              <w:top w:val="nil" w:sz="6" w:space="0" w:color="auto"/>
              <w:left w:val="single" w:sz="4" w:space="0" w:color="000000"/>
              <w:bottom w:val="nil" w:sz="6" w:space="0" w:color="auto"/>
              <w:right w:val="single" w:sz="9" w:space="0" w:color="FFFFFF"/>
            </w:tcBorders>
          </w:tcPr>
          <w:p>
            <w:pPr>
              <w:pStyle w:val="TableParagraph"/>
              <w:spacing w:line="240" w:lineRule="auto" w:before="5"/>
              <w:ind w:left="23" w:right="-28"/>
              <w:jc w:val="left"/>
              <w:rPr>
                <w:rFonts w:ascii="宋体" w:hAnsi="宋体" w:cs="宋体" w:eastAsia="宋体" w:hint="default"/>
                <w:sz w:val="18"/>
                <w:szCs w:val="18"/>
              </w:rPr>
            </w:pPr>
            <w:r>
              <w:rPr>
                <w:rFonts w:ascii="宋体" w:hAnsi="宋体" w:cs="宋体" w:eastAsia="宋体" w:hint="default"/>
                <w:sz w:val="18"/>
                <w:szCs w:val="18"/>
              </w:rPr>
              <w:t>缺陷</w:t>
            </w:r>
            <w:r>
              <w:rPr>
                <w:rFonts w:ascii="宋体" w:hAnsi="宋体" w:cs="宋体" w:eastAsia="宋体" w:hint="default"/>
                <w:spacing w:val="-90"/>
                <w:sz w:val="18"/>
                <w:szCs w:val="18"/>
              </w:rPr>
              <w:t>；</w:t>
            </w:r>
            <w:r>
              <w:rPr>
                <w:rFonts w:ascii="宋体" w:hAnsi="宋体" w:cs="宋体" w:eastAsia="宋体" w:hint="default"/>
                <w:sz w:val="18"/>
                <w:szCs w:val="18"/>
              </w:rPr>
              <w:t>如果超过营业收入的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pacing w:val="-34"/>
                <w:sz w:val="18"/>
                <w:szCs w:val="18"/>
              </w:rPr>
              <w:t>，</w:t>
            </w:r>
            <w:r>
              <w:rPr>
                <w:rFonts w:ascii="宋体" w:hAnsi="宋体" w:cs="宋体" w:eastAsia="宋体" w:hint="default"/>
                <w:sz w:val="18"/>
                <w:szCs w:val="18"/>
              </w:rPr>
            </w:r>
          </w:p>
        </w:tc>
        <w:tc>
          <w:tcPr>
            <w:tcW w:w="3039" w:type="dxa"/>
            <w:tcBorders>
              <w:top w:val="nil" w:sz="6" w:space="0" w:color="auto"/>
              <w:left w:val="single" w:sz="9" w:space="0" w:color="FFFFFF"/>
              <w:bottom w:val="nil" w:sz="6" w:space="0" w:color="auto"/>
              <w:right w:val="single" w:sz="4" w:space="0" w:color="000000"/>
            </w:tcBorders>
          </w:tcPr>
          <w:p>
            <w:pPr>
              <w:pStyle w:val="TableParagraph"/>
              <w:spacing w:line="240" w:lineRule="auto" w:before="4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、重要缺陷的认定标准：①公司违反</w:t>
            </w:r>
          </w:p>
        </w:tc>
      </w:tr>
      <w:tr>
        <w:trPr>
          <w:trHeight w:val="307" w:hRule="exact"/>
        </w:trPr>
        <w:tc>
          <w:tcPr>
            <w:tcW w:w="3194" w:type="dxa"/>
            <w:vMerge/>
            <w:tcBorders>
              <w:left w:val="single" w:sz="4" w:space="0" w:color="000000"/>
              <w:right w:val="single" w:sz="4" w:space="0" w:color="000000"/>
            </w:tcBorders>
            <w:shd w:val="clear" w:color="auto" w:fill="D3D3D3"/>
          </w:tcPr>
          <w:p>
            <w:pPr/>
          </w:p>
        </w:tc>
        <w:tc>
          <w:tcPr>
            <w:tcW w:w="3335" w:type="dxa"/>
            <w:tcBorders>
              <w:top w:val="nil" w:sz="6" w:space="0" w:color="auto"/>
              <w:left w:val="single" w:sz="4" w:space="0" w:color="000000"/>
              <w:bottom w:val="nil" w:sz="6" w:space="0" w:color="auto"/>
              <w:right w:val="single" w:sz="9" w:space="0" w:color="FFFFFF"/>
            </w:tcBorders>
          </w:tcPr>
          <w:p>
            <w:pPr>
              <w:pStyle w:val="TableParagraph"/>
              <w:spacing w:line="221" w:lineRule="exact"/>
              <w:ind w:left="23" w:right="0"/>
              <w:jc w:val="left"/>
              <w:rPr>
                <w:rFonts w:ascii="宋体" w:hAnsi="宋体" w:cs="宋体" w:eastAsia="宋体" w:hint="default"/>
                <w:sz w:val="18"/>
                <w:szCs w:val="18"/>
              </w:rPr>
            </w:pPr>
            <w:r>
              <w:rPr>
                <w:rFonts w:ascii="宋体" w:hAnsi="宋体" w:cs="宋体" w:eastAsia="宋体" w:hint="default"/>
                <w:sz w:val="18"/>
                <w:szCs w:val="18"/>
              </w:rPr>
              <w:t>则认定为重要缺陷；如果超过营业收入的</w:t>
            </w:r>
          </w:p>
        </w:tc>
        <w:tc>
          <w:tcPr>
            <w:tcW w:w="3039" w:type="dxa"/>
            <w:tcBorders>
              <w:top w:val="nil" w:sz="6" w:space="0" w:color="auto"/>
              <w:left w:val="single" w:sz="9" w:space="0" w:color="FFFFFF"/>
              <w:bottom w:val="nil" w:sz="6" w:space="0" w:color="auto"/>
              <w:right w:val="single" w:sz="4" w:space="0" w:color="000000"/>
            </w:tcBorders>
          </w:tcPr>
          <w:p>
            <w:pPr>
              <w:pStyle w:val="TableParagraph"/>
              <w:spacing w:line="240" w:lineRule="auto" w:before="26"/>
              <w:ind w:left="4" w:right="0"/>
              <w:jc w:val="left"/>
              <w:rPr>
                <w:rFonts w:ascii="宋体" w:hAnsi="宋体" w:cs="宋体" w:eastAsia="宋体" w:hint="default"/>
                <w:sz w:val="18"/>
                <w:szCs w:val="18"/>
              </w:rPr>
            </w:pPr>
            <w:r>
              <w:rPr>
                <w:rFonts w:ascii="宋体" w:hAnsi="宋体" w:cs="宋体" w:eastAsia="宋体" w:hint="default"/>
                <w:spacing w:val="-4"/>
                <w:sz w:val="18"/>
                <w:szCs w:val="18"/>
              </w:rPr>
              <w:t>国家法律法规受到轻微处罚；②关键岗</w:t>
            </w: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3335" w:type="dxa"/>
            <w:tcBorders>
              <w:top w:val="nil" w:sz="6" w:space="0" w:color="auto"/>
              <w:left w:val="single" w:sz="4" w:space="0" w:color="000000"/>
              <w:bottom w:val="nil" w:sz="6" w:space="0" w:color="auto"/>
              <w:right w:val="single" w:sz="9" w:space="0" w:color="FFFFFF"/>
            </w:tcBorders>
          </w:tcPr>
          <w:p>
            <w:pPr>
              <w:pStyle w:val="TableParagraph"/>
              <w:spacing w:line="23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，则认定为重大缺陷。</w:t>
            </w:r>
            <w:r>
              <w:rPr>
                <w:rFonts w:ascii="Times New Roman" w:hAnsi="Times New Roman" w:cs="Times New Roman" w:eastAsia="Times New Roman" w:hint="default"/>
                <w:sz w:val="18"/>
                <w:szCs w:val="18"/>
              </w:rPr>
              <w:t>3</w:t>
            </w:r>
            <w:r>
              <w:rPr>
                <w:rFonts w:ascii="宋体" w:hAnsi="宋体" w:cs="宋体" w:eastAsia="宋体" w:hint="default"/>
                <w:sz w:val="18"/>
                <w:szCs w:val="18"/>
              </w:rPr>
              <w:t>、以利润总额</w:t>
            </w:r>
          </w:p>
        </w:tc>
        <w:tc>
          <w:tcPr>
            <w:tcW w:w="3039" w:type="dxa"/>
            <w:tcBorders>
              <w:top w:val="nil" w:sz="6" w:space="0" w:color="auto"/>
              <w:left w:val="single" w:sz="9" w:space="0" w:color="FFFFFF"/>
              <w:bottom w:val="nil" w:sz="6" w:space="0" w:color="auto"/>
              <w:right w:val="single" w:sz="4" w:space="0" w:color="000000"/>
            </w:tcBorders>
          </w:tcPr>
          <w:p>
            <w:pPr>
              <w:pStyle w:val="TableParagraph"/>
              <w:spacing w:line="240" w:lineRule="auto" w:before="31"/>
              <w:ind w:left="4" w:right="0"/>
              <w:jc w:val="left"/>
              <w:rPr>
                <w:rFonts w:ascii="宋体" w:hAnsi="宋体" w:cs="宋体" w:eastAsia="宋体" w:hint="default"/>
                <w:sz w:val="18"/>
                <w:szCs w:val="18"/>
              </w:rPr>
            </w:pPr>
            <w:r>
              <w:rPr>
                <w:rFonts w:ascii="宋体" w:hAnsi="宋体" w:cs="宋体" w:eastAsia="宋体" w:hint="default"/>
                <w:spacing w:val="-4"/>
                <w:sz w:val="18"/>
                <w:szCs w:val="18"/>
              </w:rPr>
              <w:t>位业务人员流失严重；③媒体出现负面</w:t>
            </w:r>
          </w:p>
        </w:tc>
      </w:tr>
      <w:tr>
        <w:trPr>
          <w:trHeight w:val="313" w:hRule="exact"/>
        </w:trPr>
        <w:tc>
          <w:tcPr>
            <w:tcW w:w="3194" w:type="dxa"/>
            <w:vMerge/>
            <w:tcBorders>
              <w:left w:val="single" w:sz="4" w:space="0" w:color="000000"/>
              <w:right w:val="single" w:sz="4" w:space="0" w:color="000000"/>
            </w:tcBorders>
            <w:shd w:val="clear" w:color="auto" w:fill="D3D3D3"/>
          </w:tcPr>
          <w:p>
            <w:pPr/>
          </w:p>
        </w:tc>
        <w:tc>
          <w:tcPr>
            <w:tcW w:w="3335" w:type="dxa"/>
            <w:tcBorders>
              <w:top w:val="nil" w:sz="6" w:space="0" w:color="auto"/>
              <w:left w:val="single" w:sz="4" w:space="0" w:color="000000"/>
              <w:bottom w:val="nil" w:sz="6" w:space="0" w:color="auto"/>
              <w:right w:val="single" w:sz="9" w:space="0" w:color="FFFFFF"/>
            </w:tcBorders>
          </w:tcPr>
          <w:p>
            <w:pPr>
              <w:pStyle w:val="TableParagraph"/>
              <w:spacing w:line="226" w:lineRule="exact"/>
              <w:ind w:left="23" w:right="0"/>
              <w:jc w:val="left"/>
              <w:rPr>
                <w:rFonts w:ascii="宋体" w:hAnsi="宋体" w:cs="宋体" w:eastAsia="宋体" w:hint="default"/>
                <w:sz w:val="18"/>
                <w:szCs w:val="18"/>
              </w:rPr>
            </w:pPr>
            <w:r>
              <w:rPr>
                <w:rFonts w:ascii="宋体" w:hAnsi="宋体" w:cs="宋体" w:eastAsia="宋体" w:hint="default"/>
                <w:sz w:val="18"/>
                <w:szCs w:val="18"/>
              </w:rPr>
              <w:t>指标衡量。如果该缺陷单独或连同其他缺</w:t>
            </w:r>
          </w:p>
        </w:tc>
        <w:tc>
          <w:tcPr>
            <w:tcW w:w="3039" w:type="dxa"/>
            <w:tcBorders>
              <w:top w:val="nil" w:sz="6" w:space="0" w:color="auto"/>
              <w:left w:val="single" w:sz="9" w:space="0" w:color="FFFFFF"/>
              <w:bottom w:val="nil" w:sz="6" w:space="0" w:color="auto"/>
              <w:right w:val="single" w:sz="4" w:space="0" w:color="000000"/>
            </w:tcBorders>
          </w:tcPr>
          <w:p>
            <w:pPr>
              <w:pStyle w:val="TableParagraph"/>
              <w:spacing w:line="240" w:lineRule="auto" w:before="32"/>
              <w:ind w:left="4" w:right="0"/>
              <w:jc w:val="left"/>
              <w:rPr>
                <w:rFonts w:ascii="宋体" w:hAnsi="宋体" w:cs="宋体" w:eastAsia="宋体" w:hint="default"/>
                <w:sz w:val="18"/>
                <w:szCs w:val="18"/>
              </w:rPr>
            </w:pPr>
            <w:r>
              <w:rPr>
                <w:rFonts w:ascii="宋体" w:hAnsi="宋体" w:cs="宋体" w:eastAsia="宋体" w:hint="default"/>
                <w:sz w:val="18"/>
                <w:szCs w:val="18"/>
              </w:rPr>
              <w:t>新</w:t>
            </w:r>
          </w:p>
        </w:tc>
      </w:tr>
      <w:tr>
        <w:trPr>
          <w:trHeight w:val="291" w:hRule="exact"/>
        </w:trPr>
        <w:tc>
          <w:tcPr>
            <w:tcW w:w="3194" w:type="dxa"/>
            <w:vMerge/>
            <w:tcBorders>
              <w:left w:val="single" w:sz="4" w:space="0" w:color="000000"/>
              <w:right w:val="single" w:sz="4" w:space="0" w:color="000000"/>
            </w:tcBorders>
            <w:shd w:val="clear" w:color="auto" w:fill="D3D3D3"/>
          </w:tcPr>
          <w:p>
            <w:pPr/>
          </w:p>
        </w:tc>
        <w:tc>
          <w:tcPr>
            <w:tcW w:w="3335" w:type="dxa"/>
            <w:tcBorders>
              <w:top w:val="nil" w:sz="6" w:space="0" w:color="auto"/>
              <w:left w:val="single" w:sz="4" w:space="0" w:color="000000"/>
              <w:bottom w:val="nil" w:sz="6" w:space="0" w:color="auto"/>
              <w:right w:val="single" w:sz="9" w:space="0" w:color="FFFFFF"/>
            </w:tcBorders>
          </w:tcPr>
          <w:p>
            <w:pPr>
              <w:pStyle w:val="TableParagraph"/>
              <w:spacing w:line="225" w:lineRule="exact"/>
              <w:ind w:left="23" w:right="0"/>
              <w:jc w:val="left"/>
              <w:rPr>
                <w:rFonts w:ascii="宋体" w:hAnsi="宋体" w:cs="宋体" w:eastAsia="宋体" w:hint="default"/>
                <w:sz w:val="18"/>
                <w:szCs w:val="18"/>
              </w:rPr>
            </w:pPr>
            <w:r>
              <w:rPr>
                <w:rFonts w:ascii="宋体" w:hAnsi="宋体" w:cs="宋体" w:eastAsia="宋体" w:hint="default"/>
                <w:sz w:val="18"/>
                <w:szCs w:val="18"/>
              </w:rPr>
              <w:t>陷可能导致财务报告错报金额小于利润总</w:t>
            </w:r>
          </w:p>
        </w:tc>
        <w:tc>
          <w:tcPr>
            <w:tcW w:w="3039" w:type="dxa"/>
            <w:tcBorders>
              <w:top w:val="nil" w:sz="6" w:space="0" w:color="auto"/>
              <w:left w:val="single" w:sz="9" w:space="0" w:color="FFFFFF"/>
              <w:bottom w:val="nil" w:sz="6" w:space="0" w:color="auto"/>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3D3D3"/>
          </w:tcPr>
          <w:p>
            <w:pPr/>
          </w:p>
        </w:tc>
        <w:tc>
          <w:tcPr>
            <w:tcW w:w="33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额的</w:t>
            </w:r>
            <w:r>
              <w:rPr>
                <w:rFonts w:ascii="宋体" w:hAnsi="宋体" w:cs="宋体" w:eastAsia="宋体" w:hint="default"/>
                <w:spacing w:val="-40"/>
                <w:sz w:val="18"/>
                <w:szCs w:val="18"/>
              </w:rPr>
              <w:t> </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，则认定为一般缺陷；如果超过利</w:t>
            </w:r>
          </w:p>
        </w:tc>
        <w:tc>
          <w:tcPr>
            <w:tcW w:w="303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33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润总额的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但小于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，则认定为重要缺</w:t>
            </w:r>
          </w:p>
        </w:tc>
        <w:tc>
          <w:tcPr>
            <w:tcW w:w="303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3194" w:type="dxa"/>
            <w:vMerge/>
            <w:tcBorders>
              <w:left w:val="single" w:sz="4" w:space="0" w:color="000000"/>
              <w:right w:val="single" w:sz="4" w:space="0" w:color="000000"/>
            </w:tcBorders>
            <w:shd w:val="clear" w:color="auto" w:fill="D3D3D3"/>
          </w:tcPr>
          <w:p>
            <w:pPr/>
          </w:p>
        </w:tc>
        <w:tc>
          <w:tcPr>
            <w:tcW w:w="333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4"/>
                <w:sz w:val="18"/>
                <w:szCs w:val="18"/>
              </w:rPr>
              <w:t>陷；如果超过利润总额的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，则认定为重</w:t>
            </w:r>
          </w:p>
        </w:tc>
        <w:tc>
          <w:tcPr>
            <w:tcW w:w="3039"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3194" w:type="dxa"/>
            <w:vMerge/>
            <w:tcBorders>
              <w:left w:val="single" w:sz="4" w:space="0" w:color="000000"/>
              <w:bottom w:val="single" w:sz="4" w:space="0" w:color="000000"/>
              <w:right w:val="single" w:sz="4" w:space="0" w:color="000000"/>
            </w:tcBorders>
            <w:shd w:val="clear" w:color="auto" w:fill="D3D3D3"/>
          </w:tcPr>
          <w:p>
            <w:pPr/>
          </w:p>
        </w:tc>
        <w:tc>
          <w:tcPr>
            <w:tcW w:w="33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大缺陷。</w:t>
            </w:r>
          </w:p>
        </w:tc>
        <w:tc>
          <w:tcPr>
            <w:tcW w:w="3039"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right="1258"/>
        <w:jc w:val="left"/>
        <w:rPr>
          <w:b w:val="0"/>
          <w:bCs w:val="0"/>
        </w:rPr>
      </w:pP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258"/>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34"/>
        <w:gridCol w:w="6934"/>
      </w:tblGrid>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4"/>
              <w:jc w:val="left"/>
              <w:rPr>
                <w:rFonts w:ascii="宋体" w:hAnsi="宋体" w:cs="宋体" w:eastAsia="宋体" w:hint="default"/>
                <w:sz w:val="18"/>
                <w:szCs w:val="18"/>
              </w:rPr>
            </w:pPr>
            <w:r>
              <w:rPr>
                <w:rFonts w:ascii="宋体" w:hAnsi="宋体" w:cs="宋体" w:eastAsia="宋体" w:hint="default"/>
                <w:sz w:val="18"/>
                <w:szCs w:val="18"/>
              </w:rPr>
              <w:t>我们认为，榕基软件公司于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日在所有重大方面有效地保持了按照《企业内部控制基本规范》建立的与财 务报表相关的内部控制。</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40"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40" w:right="0"/>
              <w:jc w:val="left"/>
              <w:rPr>
                <w:rFonts w:ascii="宋体" w:hAnsi="宋体" w:cs="宋体" w:eastAsia="宋体" w:hint="default"/>
                <w:sz w:val="18"/>
                <w:szCs w:val="18"/>
              </w:rPr>
            </w:pPr>
            <w:r>
              <w:rPr>
                <w:rFonts w:ascii="宋体" w:hAnsi="宋体" w:cs="宋体" w:eastAsia="宋体" w:hint="default"/>
                <w:sz w:val="18"/>
                <w:szCs w:val="18"/>
              </w:rPr>
              <w:t>《内部控制鉴证报告》详见巨潮资讯网（</w:t>
            </w:r>
            <w:hyperlink r:id="rId16">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40" w:right="0"/>
              <w:jc w:val="left"/>
              <w:rPr>
                <w:rFonts w:ascii="宋体" w:hAnsi="宋体" w:cs="宋体" w:eastAsia="宋体" w:hint="default"/>
                <w:sz w:val="18"/>
                <w:szCs w:val="18"/>
              </w:rPr>
            </w:pPr>
            <w:r>
              <w:rPr>
                <w:rFonts w:ascii="宋体" w:hAnsi="宋体" w:cs="宋体" w:eastAsia="宋体" w:hint="default"/>
                <w:sz w:val="18"/>
                <w:szCs w:val="18"/>
              </w:rPr>
              <w:t>无保留意见</w:t>
            </w:r>
          </w:p>
        </w:tc>
      </w:tr>
      <w:tr>
        <w:trPr>
          <w:trHeight w:val="403"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4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1258"/>
        <w:jc w:val="left"/>
      </w:pPr>
      <w:r>
        <w:rPr/>
        <w:t>会计师事务所是否出具非标准意见的内部控制鉴证报告</w:t>
      </w:r>
    </w:p>
    <w:p>
      <w:pPr>
        <w:pStyle w:val="BodyText"/>
        <w:spacing w:line="340" w:lineRule="auto" w:before="116"/>
        <w:ind w:right="36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0"/>
        <w:ind w:right="125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126" w:right="1258"/>
        <w:jc w:val="left"/>
        <w:rPr>
          <w:b w:val="0"/>
          <w:bCs w:val="0"/>
        </w:rPr>
      </w:pPr>
      <w:bookmarkStart w:name="_TOC_250002" w:id="10"/>
      <w:r>
        <w:rPr/>
        <w:t>第十节</w:t>
      </w:r>
      <w:r>
        <w:rPr>
          <w:spacing w:val="-9"/>
        </w:rPr>
        <w:t> </w:t>
      </w:r>
      <w:r>
        <w:rPr/>
        <w:t>公司债券相关情况</w:t>
      </w:r>
      <w:bookmarkEnd w:id="10"/>
      <w:r>
        <w:rPr>
          <w:b w:val="0"/>
          <w:bCs w:val="0"/>
        </w:rPr>
      </w:r>
    </w:p>
    <w:p>
      <w:pPr>
        <w:spacing w:line="240" w:lineRule="auto" w:before="8"/>
        <w:rPr>
          <w:rFonts w:ascii="宋体" w:hAnsi="宋体" w:cs="宋体" w:eastAsia="宋体" w:hint="default"/>
          <w:b/>
          <w:bCs/>
          <w:sz w:val="42"/>
          <w:szCs w:val="42"/>
        </w:rPr>
      </w:pPr>
    </w:p>
    <w:p>
      <w:pPr>
        <w:pStyle w:val="BodyText"/>
        <w:spacing w:line="357" w:lineRule="auto"/>
        <w:ind w:left="153" w:right="1131"/>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494"/>
        <w:jc w:val="center"/>
        <w:rPr>
          <w:b w:val="0"/>
          <w:bCs w:val="0"/>
        </w:rPr>
      </w:pPr>
      <w:bookmarkStart w:name="_TOC_250001" w:id="11"/>
      <w:r>
        <w:rPr/>
        <w:t>第十一节</w:t>
      </w:r>
      <w:r>
        <w:rPr>
          <w:spacing w:val="-7"/>
        </w:rPr>
        <w:t> </w:t>
      </w:r>
      <w:r>
        <w:rPr/>
        <w:t>财务报告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258"/>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致同审字（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351ZA0032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林庆瑜、杨莹</w:t>
            </w:r>
          </w:p>
        </w:tc>
      </w:tr>
    </w:tbl>
    <w:p>
      <w:pPr>
        <w:pStyle w:val="BodyText"/>
        <w:spacing w:line="240" w:lineRule="auto" w:before="51"/>
        <w:ind w:left="495" w:right="493"/>
        <w:jc w:val="center"/>
      </w:pPr>
      <w:r>
        <w:rPr/>
        <w:t>审计报告正文</w:t>
      </w:r>
    </w:p>
    <w:p>
      <w:pPr>
        <w:spacing w:line="240" w:lineRule="auto" w:before="7"/>
        <w:rPr>
          <w:rFonts w:ascii="宋体" w:hAnsi="宋体" w:cs="宋体" w:eastAsia="宋体" w:hint="default"/>
          <w:sz w:val="11"/>
          <w:szCs w:val="11"/>
        </w:rPr>
      </w:pPr>
    </w:p>
    <w:p>
      <w:pPr>
        <w:pStyle w:val="Heading5"/>
        <w:spacing w:line="439" w:lineRule="auto"/>
        <w:ind w:right="6699"/>
        <w:jc w:val="left"/>
        <w:rPr>
          <w:b w:val="0"/>
          <w:bCs w:val="0"/>
        </w:rPr>
      </w:pPr>
      <w:r>
        <w:rPr/>
        <w:t>福建榕基软件股份有限公司全体股东：</w:t>
      </w:r>
      <w:r>
        <w:rPr>
          <w:spacing w:val="1"/>
          <w:w w:val="99"/>
        </w:rPr>
        <w:t> </w:t>
      </w:r>
      <w:r>
        <w:rPr/>
        <w:t>1、审计意见</w:t>
      </w:r>
      <w:r>
        <w:rPr>
          <w:b w:val="0"/>
          <w:bCs w:val="0"/>
        </w:rPr>
      </w:r>
    </w:p>
    <w:p>
      <w:pPr>
        <w:pStyle w:val="BodyText"/>
        <w:spacing w:line="316" w:lineRule="auto" w:before="47"/>
        <w:ind w:right="151" w:firstLine="480"/>
        <w:jc w:val="both"/>
      </w:pPr>
      <w:r>
        <w:rPr>
          <w:spacing w:val="-1"/>
        </w:rPr>
        <w:t>我们审计了福建榕基软件股份有限公司（以下简称榕基软件公司）财务报表，包括2017年12月31日的合并及公司资产</w:t>
      </w:r>
      <w:r>
        <w:rPr/>
        <w:t> 负债表，2017年度的合并及公司利润表、合并及公司现金流量表、合并及公司股东权益变动表以及相关财务报表附注。</w:t>
      </w:r>
    </w:p>
    <w:p>
      <w:pPr>
        <w:pStyle w:val="BodyText"/>
        <w:spacing w:line="316" w:lineRule="auto" w:before="139"/>
        <w:ind w:right="151" w:firstLine="480"/>
        <w:jc w:val="both"/>
      </w:pPr>
      <w:r>
        <w:rPr>
          <w:spacing w:val="-1"/>
        </w:rPr>
        <w:t>我们认为，后附的财务报表在所有重大方面按照企业会计准则的规定编制，公允反映了榕基软件公司2017年12月31日</w:t>
      </w:r>
      <w:r>
        <w:rPr/>
        <w:t> 的合并及公司财务状况以及2017年度的合并及公司的经营成果和现金流量。</w:t>
      </w:r>
    </w:p>
    <w:p>
      <w:pPr>
        <w:pStyle w:val="BodyText"/>
        <w:spacing w:line="432" w:lineRule="exact" w:before="3"/>
        <w:ind w:left="649" w:right="146" w:hanging="14"/>
        <w:jc w:val="left"/>
      </w:pPr>
      <w:r>
        <w:rPr>
          <w:rFonts w:ascii="宋体" w:hAnsi="宋体" w:cs="宋体" w:eastAsia="宋体" w:hint="default"/>
          <w:b/>
          <w:bCs/>
        </w:rPr>
        <w:t>2、形成审计意见的基础</w:t>
      </w:r>
      <w:r>
        <w:rPr>
          <w:rFonts w:ascii="宋体" w:hAnsi="宋体" w:cs="宋体" w:eastAsia="宋体" w:hint="default"/>
          <w:b/>
          <w:bCs/>
          <w:w w:val="99"/>
        </w:rPr>
        <w:t> </w:t>
      </w:r>
      <w:r>
        <w:rPr>
          <w:spacing w:val="-1"/>
        </w:rPr>
        <w:t>我们按照中国注册会计师审计准则的规定执行了审计工作。审计报告的“注册会计师对财务报表审计的责任”部分进</w:t>
      </w:r>
    </w:p>
    <w:p>
      <w:pPr>
        <w:pStyle w:val="BodyText"/>
        <w:spacing w:line="316" w:lineRule="auto" w:before="15"/>
        <w:ind w:right="0"/>
        <w:jc w:val="left"/>
      </w:pPr>
      <w:r>
        <w:rPr>
          <w:spacing w:val="-2"/>
        </w:rPr>
        <w:t>一步阐述了我们在这些准则下的责任。按照中国注册会计师职业道德守则，我们独立于榕基软件公司，并履行了职业道德方</w:t>
      </w:r>
      <w:r>
        <w:rPr>
          <w:spacing w:val="-66"/>
        </w:rPr>
        <w:t> </w:t>
      </w:r>
      <w:r>
        <w:rPr>
          <w:spacing w:val="-66"/>
        </w:rPr>
      </w:r>
      <w:r>
        <w:rPr/>
        <w:t>面的其他责任。我们相信，我们获取的审计证据是充分、适当的，为发表审计意见提供了基础。</w:t>
      </w:r>
    </w:p>
    <w:p>
      <w:pPr>
        <w:pStyle w:val="BodyText"/>
        <w:spacing w:line="432" w:lineRule="exact" w:before="3"/>
        <w:ind w:left="649" w:right="146" w:hanging="14"/>
        <w:jc w:val="left"/>
      </w:pPr>
      <w:r>
        <w:rPr>
          <w:rFonts w:ascii="宋体" w:hAnsi="宋体" w:cs="宋体" w:eastAsia="宋体" w:hint="default"/>
          <w:b/>
          <w:bCs/>
        </w:rPr>
        <w:t>3、关键审计事项</w:t>
      </w:r>
      <w:r>
        <w:rPr>
          <w:rFonts w:ascii="宋体" w:hAnsi="宋体" w:cs="宋体" w:eastAsia="宋体" w:hint="default"/>
          <w:b/>
          <w:bCs/>
          <w:w w:val="99"/>
        </w:rPr>
        <w:t> </w:t>
      </w:r>
      <w:r>
        <w:rPr>
          <w:spacing w:val="-1"/>
        </w:rPr>
        <w:t>关键审计事项是我们根据职业判断，认为对本期财务报表审计最为重要的事项。这些事项的应对以对财务报表整体进</w:t>
      </w:r>
    </w:p>
    <w:p>
      <w:pPr>
        <w:pStyle w:val="BodyText"/>
        <w:spacing w:line="240" w:lineRule="auto" w:before="15"/>
        <w:ind w:right="1258"/>
        <w:jc w:val="left"/>
      </w:pPr>
      <w:r>
        <w:rPr/>
        <w:t>行审计并形成审计意见为背景，我们不对这些事项单独发表意见。</w:t>
      </w:r>
    </w:p>
    <w:p>
      <w:pPr>
        <w:spacing w:line="240" w:lineRule="auto" w:before="0"/>
        <w:rPr>
          <w:rFonts w:ascii="宋体" w:hAnsi="宋体" w:cs="宋体" w:eastAsia="宋体" w:hint="default"/>
          <w:sz w:val="15"/>
          <w:szCs w:val="15"/>
        </w:rPr>
      </w:pPr>
    </w:p>
    <w:p>
      <w:pPr>
        <w:pStyle w:val="BodyText"/>
        <w:spacing w:line="439" w:lineRule="auto"/>
        <w:ind w:left="649" w:right="4955"/>
        <w:jc w:val="left"/>
      </w:pPr>
      <w:r>
        <w:rPr/>
        <w:t>（一）开发支出资本化 相关信息披露详见财务报表附注三之19及附注五之16。</w:t>
      </w:r>
    </w:p>
    <w:p>
      <w:pPr>
        <w:pStyle w:val="BodyText"/>
        <w:spacing w:line="240" w:lineRule="auto" w:before="47"/>
        <w:ind w:left="649" w:right="1258"/>
        <w:jc w:val="left"/>
      </w:pPr>
      <w:r>
        <w:rPr/>
        <w:t>（1）事项描述</w:t>
      </w:r>
    </w:p>
    <w:p>
      <w:pPr>
        <w:spacing w:line="240" w:lineRule="auto" w:before="0"/>
        <w:rPr>
          <w:rFonts w:ascii="宋体" w:hAnsi="宋体" w:cs="宋体" w:eastAsia="宋体" w:hint="default"/>
          <w:sz w:val="15"/>
          <w:szCs w:val="15"/>
        </w:rPr>
      </w:pPr>
    </w:p>
    <w:p>
      <w:pPr>
        <w:pStyle w:val="BodyText"/>
        <w:spacing w:line="316" w:lineRule="auto"/>
        <w:ind w:right="150" w:firstLine="495"/>
        <w:jc w:val="both"/>
      </w:pPr>
      <w:r>
        <w:rPr/>
        <w:t>榕基软件公司2017年度开发支出总额11,105.74万元，其中4,739.91万元予以资本化计入“开发支出”项目，占开发 </w:t>
      </w:r>
      <w:r>
        <w:rPr>
          <w:spacing w:val="-2"/>
        </w:rPr>
        <w:t>支出总额的42.68%。开发支出只有在同时满足财务报表附注三之19中所列的所有资本化条件时才能予以资本化。鉴于确定开</w:t>
      </w:r>
      <w:r>
        <w:rPr>
          <w:spacing w:val="-56"/>
        </w:rPr>
        <w:t> </w:t>
      </w:r>
      <w:r>
        <w:rPr>
          <w:spacing w:val="-56"/>
        </w:rPr>
      </w:r>
      <w:r>
        <w:rPr>
          <w:spacing w:val="-2"/>
        </w:rPr>
        <w:t>发支出是否满足所有资本化条件需要管理层进行重大会计判断和估计，该事项对于我们的审计而言是重要的，因此我们将开</w:t>
      </w:r>
      <w:r>
        <w:rPr>
          <w:spacing w:val="-64"/>
        </w:rPr>
        <w:t> </w:t>
      </w:r>
      <w:r>
        <w:rPr>
          <w:spacing w:val="-64"/>
        </w:rPr>
      </w:r>
      <w:r>
        <w:rPr/>
        <w:t>发支出资本化确定为关键审计事项。</w:t>
      </w:r>
    </w:p>
    <w:p>
      <w:pPr>
        <w:pStyle w:val="BodyText"/>
        <w:spacing w:line="439" w:lineRule="auto" w:before="139"/>
        <w:ind w:left="649" w:right="3695"/>
        <w:jc w:val="left"/>
      </w:pPr>
      <w:r>
        <w:rPr/>
        <w:t>（2）审计应对 我们针对开发支出资本化这一关键审计事项实施的审计程序主要包括：</w:t>
      </w:r>
    </w:p>
    <w:p>
      <w:pPr>
        <w:pStyle w:val="BodyText"/>
        <w:spacing w:line="316" w:lineRule="auto" w:before="47"/>
        <w:ind w:right="150" w:firstLine="495"/>
        <w:jc w:val="both"/>
      </w:pPr>
      <w:r>
        <w:rPr/>
        <w:t>1）了解及评价研发支出资本化的内部控制设计的有效性，并测试了关键控制运行的有效性，包括可行性研究、项目 立项、项目验收以及资本化的复核和审批等。</w:t>
      </w:r>
    </w:p>
    <w:p>
      <w:pPr>
        <w:spacing w:after="0" w:line="316" w:lineRule="auto"/>
        <w:jc w:val="both"/>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pStyle w:val="BodyText"/>
        <w:spacing w:line="316" w:lineRule="auto" w:before="44"/>
        <w:ind w:right="93" w:firstLine="495"/>
        <w:jc w:val="left"/>
      </w:pPr>
      <w:r>
        <w:rPr/>
        <w:t>2）评价管理层确定的研发支出资本化的相关会计政策和会计估计是否符合企业会计准则的规定，并采用一致的会计 处理方法。</w:t>
      </w:r>
    </w:p>
    <w:p>
      <w:pPr>
        <w:pStyle w:val="BodyText"/>
        <w:spacing w:line="240" w:lineRule="auto" w:before="139"/>
        <w:ind w:left="649" w:right="93"/>
        <w:jc w:val="left"/>
      </w:pPr>
      <w:r>
        <w:rPr/>
        <w:t>3）获取项目立项书等文件，检查企业研发活动的立项情况，确定研发项目处于研究阶段还是开发阶段。</w:t>
      </w:r>
    </w:p>
    <w:p>
      <w:pPr>
        <w:spacing w:line="240" w:lineRule="auto" w:before="0"/>
        <w:rPr>
          <w:rFonts w:ascii="宋体" w:hAnsi="宋体" w:cs="宋体" w:eastAsia="宋体" w:hint="default"/>
          <w:sz w:val="15"/>
          <w:szCs w:val="15"/>
        </w:rPr>
      </w:pPr>
    </w:p>
    <w:p>
      <w:pPr>
        <w:pStyle w:val="BodyText"/>
        <w:spacing w:line="316" w:lineRule="auto"/>
        <w:ind w:right="93" w:firstLine="495"/>
        <w:jc w:val="left"/>
      </w:pPr>
      <w:r>
        <w:rPr/>
        <w:t>4）选取项目检查资本化的条件和依据是否合理，包括研究阶段和开发阶段界定时点是否合理，开发完成的时点的界 定是否合理；检查资本化支出范围是否合理等。</w:t>
      </w:r>
    </w:p>
    <w:p>
      <w:pPr>
        <w:pStyle w:val="BodyText"/>
        <w:spacing w:line="240" w:lineRule="auto" w:before="139"/>
        <w:ind w:left="649" w:right="93"/>
        <w:jc w:val="left"/>
      </w:pPr>
      <w:r>
        <w:rPr/>
        <w:t>5）检查开发支出资本化披露的充分性。</w:t>
      </w:r>
    </w:p>
    <w:p>
      <w:pPr>
        <w:spacing w:line="240" w:lineRule="auto" w:before="0"/>
        <w:rPr>
          <w:rFonts w:ascii="宋体" w:hAnsi="宋体" w:cs="宋体" w:eastAsia="宋体" w:hint="default"/>
          <w:sz w:val="15"/>
          <w:szCs w:val="15"/>
        </w:rPr>
      </w:pPr>
    </w:p>
    <w:p>
      <w:pPr>
        <w:pStyle w:val="BodyText"/>
        <w:spacing w:line="439" w:lineRule="auto"/>
        <w:ind w:left="649" w:right="5095"/>
        <w:jc w:val="left"/>
      </w:pPr>
      <w:r>
        <w:rPr/>
        <w:t>（二）收入确认 相关信息披露详见财务报表附注三之23及附注五之37。</w:t>
      </w:r>
    </w:p>
    <w:p>
      <w:pPr>
        <w:pStyle w:val="BodyText"/>
        <w:spacing w:line="240" w:lineRule="auto" w:before="47"/>
        <w:ind w:left="649" w:right="93"/>
        <w:jc w:val="left"/>
      </w:pPr>
      <w:r>
        <w:rPr/>
        <w:t>（1）事项描述</w:t>
      </w:r>
    </w:p>
    <w:p>
      <w:pPr>
        <w:spacing w:line="240" w:lineRule="auto" w:before="0"/>
        <w:rPr>
          <w:rFonts w:ascii="宋体" w:hAnsi="宋体" w:cs="宋体" w:eastAsia="宋体" w:hint="default"/>
          <w:sz w:val="15"/>
          <w:szCs w:val="15"/>
        </w:rPr>
      </w:pPr>
    </w:p>
    <w:p>
      <w:pPr>
        <w:pStyle w:val="BodyText"/>
        <w:spacing w:line="316" w:lineRule="auto"/>
        <w:ind w:right="93" w:firstLine="495"/>
        <w:jc w:val="left"/>
      </w:pPr>
      <w:r>
        <w:rPr>
          <w:spacing w:val="-2"/>
        </w:rPr>
        <w:t>榕基软件公司2017年度系统集成、软件产品及服务收入为人民币74,056.05万元，占2017年度营业收入的比例为99.81%。</w:t>
      </w:r>
      <w:r>
        <w:rPr/>
        <w:t> 鉴于该部分收入金额重大且为关键业绩指标，可能存在管理层为了达到特定目标或期望而操纵收入确认时点的固有风险，因 此我们将收入确认确定为关键审计事项。</w:t>
      </w:r>
    </w:p>
    <w:p>
      <w:pPr>
        <w:pStyle w:val="BodyText"/>
        <w:spacing w:line="439" w:lineRule="auto" w:before="139"/>
        <w:ind w:left="649" w:right="4375"/>
        <w:jc w:val="left"/>
      </w:pPr>
      <w:r>
        <w:rPr/>
        <w:t>（2）审计应对 我们针对收入确认这一关键审计事项实施的审计程序主要包括：</w:t>
      </w:r>
    </w:p>
    <w:p>
      <w:pPr>
        <w:pStyle w:val="BodyText"/>
        <w:spacing w:line="240" w:lineRule="auto" w:before="47"/>
        <w:ind w:left="649" w:right="93"/>
        <w:jc w:val="left"/>
      </w:pPr>
      <w:r>
        <w:rPr/>
        <w:t>1）了解及评价与收入确认有关的内部控制设计的有效性，并测试了关键控制运行的有效性。</w:t>
      </w:r>
    </w:p>
    <w:p>
      <w:pPr>
        <w:spacing w:line="240" w:lineRule="auto" w:before="0"/>
        <w:rPr>
          <w:rFonts w:ascii="宋体" w:hAnsi="宋体" w:cs="宋体" w:eastAsia="宋体" w:hint="default"/>
          <w:sz w:val="15"/>
          <w:szCs w:val="15"/>
        </w:rPr>
      </w:pPr>
    </w:p>
    <w:p>
      <w:pPr>
        <w:pStyle w:val="BodyText"/>
        <w:spacing w:line="316" w:lineRule="auto"/>
        <w:ind w:right="93" w:firstLine="495"/>
        <w:jc w:val="left"/>
      </w:pPr>
      <w:r>
        <w:rPr/>
        <w:t>2）选取样本检查销售合同及对管理层进行访谈，对与收入确认有关的重大风险及报酬转移时点进行了分析评价，进 而评价公司的收入确认政策是否符合企业会计准则的规定，并采用一致的会计处理方法。</w:t>
      </w:r>
    </w:p>
    <w:p>
      <w:pPr>
        <w:pStyle w:val="BodyText"/>
        <w:spacing w:line="240" w:lineRule="auto" w:before="139"/>
        <w:ind w:left="649" w:right="93"/>
        <w:jc w:val="left"/>
      </w:pPr>
      <w:r>
        <w:rPr/>
        <w:t>3）选取样本检查与收入确认相关的支持性文件，包括销售合同、发票、客户验收单据等。</w:t>
      </w:r>
    </w:p>
    <w:p>
      <w:pPr>
        <w:spacing w:line="240" w:lineRule="auto" w:before="8"/>
        <w:rPr>
          <w:rFonts w:ascii="宋体" w:hAnsi="宋体" w:cs="宋体" w:eastAsia="宋体" w:hint="default"/>
          <w:sz w:val="11"/>
          <w:szCs w:val="11"/>
        </w:rPr>
      </w:pPr>
    </w:p>
    <w:p>
      <w:pPr>
        <w:pStyle w:val="BodyText"/>
        <w:spacing w:line="240" w:lineRule="auto" w:before="44"/>
        <w:ind w:left="649" w:right="93"/>
        <w:jc w:val="left"/>
      </w:pPr>
      <w:r>
        <w:rPr/>
        <w:t>4）针对资产负债表日前后确认的销售收入核对至客户验收单据等支持性文件，以评价销售收入是否在恰当的期间确</w:t>
      </w:r>
    </w:p>
    <w:p>
      <w:pPr>
        <w:pStyle w:val="BodyText"/>
        <w:spacing w:line="240" w:lineRule="auto" w:before="76"/>
        <w:ind w:right="93"/>
        <w:jc w:val="left"/>
      </w:pPr>
      <w:r>
        <w:rPr/>
        <w:t>认。</w:t>
      </w:r>
    </w:p>
    <w:p>
      <w:pPr>
        <w:spacing w:line="240" w:lineRule="auto" w:before="8"/>
        <w:rPr>
          <w:rFonts w:ascii="宋体" w:hAnsi="宋体" w:cs="宋体" w:eastAsia="宋体" w:hint="default"/>
          <w:sz w:val="11"/>
          <w:szCs w:val="11"/>
        </w:rPr>
      </w:pPr>
    </w:p>
    <w:p>
      <w:pPr>
        <w:pStyle w:val="BodyText"/>
        <w:spacing w:line="316" w:lineRule="auto" w:before="44"/>
        <w:ind w:right="93" w:firstLine="495"/>
        <w:jc w:val="left"/>
      </w:pPr>
      <w:r>
        <w:rPr/>
        <w:t>5）对重大、新增主要客户和与关联方的业务发生情况实施函证程序，并对这些客户进行背景调查等，检查相关业务 的真实性及交易的合理性。</w:t>
      </w:r>
    </w:p>
    <w:p>
      <w:pPr>
        <w:pStyle w:val="BodyText"/>
        <w:spacing w:line="432" w:lineRule="exact" w:before="3"/>
        <w:ind w:left="649" w:right="288" w:hanging="14"/>
        <w:jc w:val="left"/>
      </w:pPr>
      <w:r>
        <w:rPr>
          <w:rFonts w:ascii="宋体" w:hAnsi="宋体" w:cs="宋体" w:eastAsia="宋体" w:hint="default"/>
          <w:b/>
          <w:bCs/>
        </w:rPr>
        <w:t>4、其他信息</w:t>
      </w:r>
      <w:r>
        <w:rPr>
          <w:rFonts w:ascii="宋体" w:hAnsi="宋体" w:cs="宋体" w:eastAsia="宋体" w:hint="default"/>
          <w:b/>
          <w:bCs/>
          <w:w w:val="99"/>
        </w:rPr>
        <w:t> </w:t>
      </w:r>
      <w:r>
        <w:rPr>
          <w:spacing w:val="-1"/>
        </w:rPr>
        <w:t>榕基软件公司管理层对其他信息负责。其他信息包括榕基软件公司2017年年度报告中涵盖的信息，但不包括财务报表</w:t>
      </w:r>
    </w:p>
    <w:p>
      <w:pPr>
        <w:pStyle w:val="BodyText"/>
        <w:spacing w:line="240" w:lineRule="auto" w:before="15"/>
        <w:ind w:right="93"/>
        <w:jc w:val="left"/>
      </w:pPr>
      <w:r>
        <w:rPr/>
        <w:t>和我们的审计报告。</w:t>
      </w:r>
    </w:p>
    <w:p>
      <w:pPr>
        <w:pStyle w:val="BodyText"/>
        <w:spacing w:line="430" w:lineRule="atLeast" w:before="2"/>
        <w:ind w:left="649" w:right="286"/>
        <w:jc w:val="left"/>
      </w:pPr>
      <w:r>
        <w:rPr/>
        <w:t>我们对财务报表发表的审计意见不涵盖其他信息，我们也不对其他信息发表任何形式的鉴证结论。 </w:t>
      </w:r>
      <w:r>
        <w:rPr>
          <w:spacing w:val="-1"/>
        </w:rPr>
        <w:t>结合我们对财务报表的审计，我们的责任是阅读其他信息，在此过程中，考虑其他信息是否与财务报表或我们在审计</w:t>
      </w:r>
    </w:p>
    <w:p>
      <w:pPr>
        <w:pStyle w:val="BodyText"/>
        <w:spacing w:line="240" w:lineRule="auto" w:before="76"/>
        <w:ind w:right="93"/>
        <w:jc w:val="left"/>
      </w:pPr>
      <w:r>
        <w:rPr/>
        <w:t>过程中了解到的情况存在重大不一致或者似乎存在重大错报。</w:t>
      </w:r>
    </w:p>
    <w:p>
      <w:pPr>
        <w:spacing w:line="240" w:lineRule="auto" w:before="0"/>
        <w:rPr>
          <w:rFonts w:ascii="宋体" w:hAnsi="宋体" w:cs="宋体" w:eastAsia="宋体" w:hint="default"/>
          <w:sz w:val="15"/>
          <w:szCs w:val="15"/>
        </w:rPr>
      </w:pPr>
    </w:p>
    <w:p>
      <w:pPr>
        <w:pStyle w:val="BodyText"/>
        <w:spacing w:line="316" w:lineRule="auto"/>
        <w:ind w:right="286" w:firstLine="495"/>
        <w:jc w:val="left"/>
      </w:pPr>
      <w:r>
        <w:rPr>
          <w:spacing w:val="-1"/>
        </w:rPr>
        <w:t>基于我们已执行的工作，如果我们确定其他信息存在重大错报，我们应当报告该事实。在这方面，我们无任何事项需</w:t>
      </w:r>
      <w:r>
        <w:rPr/>
        <w:t> 要报告。</w:t>
      </w:r>
    </w:p>
    <w:p>
      <w:pPr>
        <w:spacing w:line="432" w:lineRule="exact" w:before="3"/>
        <w:ind w:left="649" w:right="286" w:hanging="14"/>
        <w:jc w:val="left"/>
        <w:rPr>
          <w:rFonts w:ascii="宋体" w:hAnsi="宋体" w:cs="宋体" w:eastAsia="宋体" w:hint="default"/>
          <w:sz w:val="18"/>
          <w:szCs w:val="18"/>
        </w:rPr>
      </w:pPr>
      <w:r>
        <w:rPr>
          <w:rFonts w:ascii="宋体" w:hAnsi="宋体" w:cs="宋体" w:eastAsia="宋体" w:hint="default"/>
          <w:b/>
          <w:bCs/>
          <w:sz w:val="18"/>
          <w:szCs w:val="18"/>
        </w:rPr>
        <w:t>5、管理层和治理层对财务报表的责任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1"/>
          <w:sz w:val="18"/>
          <w:szCs w:val="18"/>
        </w:rPr>
        <w:t>榕基软件公司管理层负责按照企业会计准则的规定编制财务报表，使其实现公允反映，并设计、执行和维护必要的内</w:t>
      </w:r>
    </w:p>
    <w:p>
      <w:pPr>
        <w:pStyle w:val="BodyText"/>
        <w:spacing w:line="240" w:lineRule="auto" w:before="15"/>
        <w:ind w:right="93"/>
        <w:jc w:val="left"/>
      </w:pPr>
      <w:r>
        <w:rPr/>
        <w:t>部控制，以使财务报表不存在由于舞弊或错误导致的重大错报。</w:t>
      </w:r>
    </w:p>
    <w:p>
      <w:pPr>
        <w:spacing w:line="240" w:lineRule="auto" w:before="0"/>
        <w:rPr>
          <w:rFonts w:ascii="宋体" w:hAnsi="宋体" w:cs="宋体" w:eastAsia="宋体" w:hint="default"/>
          <w:sz w:val="15"/>
          <w:szCs w:val="15"/>
        </w:rPr>
      </w:pPr>
    </w:p>
    <w:p>
      <w:pPr>
        <w:pStyle w:val="BodyText"/>
        <w:spacing w:line="316" w:lineRule="auto"/>
        <w:ind w:right="286" w:firstLine="495"/>
        <w:jc w:val="left"/>
      </w:pPr>
      <w:r>
        <w:rPr>
          <w:spacing w:val="-1"/>
        </w:rPr>
        <w:t>在编制财务报表时，管理层负责评估榕基软件公司的持续经营能力，披露与持续经营相关的事项（如适用），并运用</w:t>
      </w:r>
      <w:r>
        <w:rPr/>
        <w:t> 持续经营假设，除非管理层计划清算榕基软件公司、终止运营或别无其他现实的选择。</w:t>
      </w:r>
    </w:p>
    <w:p>
      <w:pPr>
        <w:pStyle w:val="BodyText"/>
        <w:spacing w:line="240" w:lineRule="auto" w:before="139"/>
        <w:ind w:left="649" w:right="93"/>
        <w:jc w:val="left"/>
      </w:pPr>
      <w:r>
        <w:rPr/>
        <w:t>治理层负责监督榕基软件公司的财务报告过程。</w:t>
      </w:r>
    </w:p>
    <w:p>
      <w:pPr>
        <w:spacing w:after="0" w:line="240" w:lineRule="auto"/>
        <w:jc w:val="left"/>
        <w:sectPr>
          <w:pgSz w:w="11910" w:h="16840"/>
          <w:pgMar w:header="877" w:footer="982" w:top="1100" w:bottom="1180" w:left="980" w:right="840"/>
        </w:sectPr>
      </w:pPr>
    </w:p>
    <w:p>
      <w:pPr>
        <w:spacing w:line="240" w:lineRule="auto" w:before="12"/>
        <w:rPr>
          <w:rFonts w:ascii="宋体" w:hAnsi="宋体" w:cs="宋体" w:eastAsia="宋体" w:hint="default"/>
          <w:sz w:val="21"/>
          <w:szCs w:val="21"/>
        </w:rPr>
      </w:pPr>
    </w:p>
    <w:p>
      <w:pPr>
        <w:pStyle w:val="Heading5"/>
        <w:spacing w:line="240" w:lineRule="auto"/>
        <w:ind w:right="184" w:firstLine="0"/>
        <w:jc w:val="left"/>
        <w:rPr>
          <w:b w:val="0"/>
          <w:bCs w:val="0"/>
        </w:rPr>
      </w:pPr>
      <w:r>
        <w:rPr/>
        <w:t>6、注册会计师对财务报表审计的责任</w:t>
      </w:r>
      <w:r>
        <w:rPr>
          <w:b w:val="0"/>
          <w:bCs w:val="0"/>
        </w:rPr>
      </w:r>
    </w:p>
    <w:p>
      <w:pPr>
        <w:spacing w:line="240" w:lineRule="auto" w:before="0"/>
        <w:rPr>
          <w:rFonts w:ascii="宋体" w:hAnsi="宋体" w:cs="宋体" w:eastAsia="宋体" w:hint="default"/>
          <w:b/>
          <w:bCs/>
          <w:sz w:val="15"/>
          <w:szCs w:val="15"/>
        </w:rPr>
      </w:pPr>
    </w:p>
    <w:p>
      <w:pPr>
        <w:pStyle w:val="BodyText"/>
        <w:spacing w:line="316" w:lineRule="auto"/>
        <w:ind w:left="153" w:right="190" w:firstLine="495"/>
        <w:jc w:val="both"/>
      </w:pPr>
      <w:r>
        <w:rPr>
          <w:spacing w:val="-1"/>
        </w:rPr>
        <w:t>我们的目标是对财务报表整体是否不存在由于舞弊或错误导致的重大错报获取合理保证，并出具包含审计意见的审计</w:t>
      </w:r>
      <w:r>
        <w:rPr/>
        <w:t> </w:t>
      </w:r>
      <w:r>
        <w:rPr>
          <w:spacing w:val="-2"/>
        </w:rPr>
        <w:t>报告。合理保证是高水平的保证，但并不能保证按照审计准则执行的审计在某一重大错报存在时总能发现。错报可能由于舞</w:t>
      </w:r>
      <w:r>
        <w:rPr>
          <w:spacing w:val="-66"/>
        </w:rPr>
        <w:t> </w:t>
      </w:r>
      <w:r>
        <w:rPr>
          <w:spacing w:val="-66"/>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pStyle w:val="BodyText"/>
        <w:spacing w:line="240" w:lineRule="auto" w:before="139"/>
        <w:ind w:left="649" w:right="184"/>
        <w:jc w:val="left"/>
      </w:pPr>
      <w:r>
        <w:rPr/>
        <w:t>在按照审计准则执行审计工作的过程中，我们运用职业判断，并保持职业怀疑。同时，我们也执行以下工作：</w:t>
      </w:r>
    </w:p>
    <w:p>
      <w:pPr>
        <w:spacing w:line="240" w:lineRule="auto" w:before="0"/>
        <w:rPr>
          <w:rFonts w:ascii="宋体" w:hAnsi="宋体" w:cs="宋体" w:eastAsia="宋体" w:hint="default"/>
          <w:sz w:val="15"/>
          <w:szCs w:val="15"/>
        </w:rPr>
      </w:pPr>
    </w:p>
    <w:p>
      <w:pPr>
        <w:pStyle w:val="BodyText"/>
        <w:spacing w:line="316" w:lineRule="auto"/>
        <w:ind w:left="153" w:right="91" w:firstLine="495"/>
        <w:jc w:val="left"/>
      </w:pPr>
      <w:r>
        <w:rPr>
          <w:spacing w:val="-5"/>
        </w:rPr>
        <w:t>（一）识别和评估由于舞弊或错误导致的财务报表重大错报风险，设计和实施审计程序以应对这些风险，并获取充分、</w:t>
      </w:r>
      <w:r>
        <w:rPr/>
        <w:t> 适当的审计证据，作为发表审计意见的基础。由于舞弊可能涉及串通、伪造、故意遗漏、虚假陈述或凌驾于内部控制之上，</w:t>
      </w:r>
      <w:r>
        <w:rPr>
          <w:spacing w:val="-85"/>
        </w:rPr>
        <w:t> </w:t>
      </w:r>
      <w:r>
        <w:rPr>
          <w:spacing w:val="-85"/>
        </w:rPr>
      </w:r>
      <w:r>
        <w:rPr/>
        <w:t>未能发现由于舞弊导致的重大错报的风险高于未能发现由于错误导致的重大错报的风险。</w:t>
      </w:r>
    </w:p>
    <w:p>
      <w:pPr>
        <w:pStyle w:val="BodyText"/>
        <w:spacing w:line="240" w:lineRule="auto" w:before="139"/>
        <w:ind w:left="649" w:right="184"/>
        <w:jc w:val="left"/>
      </w:pPr>
      <w:r>
        <w:rPr/>
        <w:t>（二）解与审计相关的内部控制，以设计恰当的审计程序。</w:t>
      </w:r>
    </w:p>
    <w:p>
      <w:pPr>
        <w:spacing w:line="240" w:lineRule="auto" w:before="0"/>
        <w:rPr>
          <w:rFonts w:ascii="宋体" w:hAnsi="宋体" w:cs="宋体" w:eastAsia="宋体" w:hint="default"/>
          <w:sz w:val="15"/>
          <w:szCs w:val="15"/>
        </w:rPr>
      </w:pPr>
    </w:p>
    <w:p>
      <w:pPr>
        <w:pStyle w:val="BodyText"/>
        <w:spacing w:line="240" w:lineRule="auto"/>
        <w:ind w:left="649" w:right="184"/>
        <w:jc w:val="left"/>
      </w:pPr>
      <w:r>
        <w:rPr/>
        <w:t>（三）评价管理层选用会计政策的恰当性和作出会计估计及相关披露的合理性。</w:t>
      </w:r>
    </w:p>
    <w:p>
      <w:pPr>
        <w:spacing w:line="240" w:lineRule="auto" w:before="0"/>
        <w:rPr>
          <w:rFonts w:ascii="宋体" w:hAnsi="宋体" w:cs="宋体" w:eastAsia="宋体" w:hint="default"/>
          <w:sz w:val="15"/>
          <w:szCs w:val="15"/>
        </w:rPr>
      </w:pPr>
    </w:p>
    <w:p>
      <w:pPr>
        <w:pStyle w:val="BodyText"/>
        <w:spacing w:line="316" w:lineRule="auto"/>
        <w:ind w:left="153" w:right="190" w:firstLine="495"/>
        <w:jc w:val="both"/>
      </w:pPr>
      <w:r>
        <w:rPr>
          <w:spacing w:val="-1"/>
        </w:rPr>
        <w:t>（四）管理层使用持续经营假设的恰当性得出结论。同时，根据获取的审计证据，就可能导致对榕基软件公司的持续</w:t>
      </w:r>
      <w:r>
        <w:rPr/>
        <w:t> </w:t>
      </w:r>
      <w:r>
        <w:rPr>
          <w:spacing w:val="-2"/>
        </w:rPr>
        <w:t>经营能力产生重大疑虑的事项或情况是否存在重大不确定性得出结论。如果我们得出结论认为存在重大不确定性，审计准则</w:t>
      </w:r>
      <w:r>
        <w:rPr>
          <w:spacing w:val="-64"/>
        </w:rPr>
        <w:t> </w:t>
      </w:r>
      <w:r>
        <w:rPr>
          <w:spacing w:val="-64"/>
        </w:rPr>
      </w:r>
      <w:r>
        <w:rPr>
          <w:spacing w:val="-2"/>
        </w:rPr>
        <w:t>要求我们在审计报告中提请报表使用者注意财务报表中的相关披露；如果披露不充分，我们应当发表非无保留意见。我们的</w:t>
      </w:r>
      <w:r>
        <w:rPr>
          <w:spacing w:val="-66"/>
        </w:rPr>
        <w:t> </w:t>
      </w:r>
      <w:r>
        <w:rPr>
          <w:spacing w:val="-66"/>
        </w:rPr>
      </w:r>
      <w:r>
        <w:rPr/>
        <w:t>结论基于截至审计报告日可获得的信息。然而，未来的事项或情况可能导致榕基软件公司不能持续经营。</w:t>
      </w:r>
    </w:p>
    <w:p>
      <w:pPr>
        <w:pStyle w:val="BodyText"/>
        <w:spacing w:line="240" w:lineRule="auto" w:before="139"/>
        <w:ind w:left="649" w:right="184"/>
        <w:jc w:val="left"/>
      </w:pPr>
      <w:r>
        <w:rPr/>
        <w:t>（五）评价财务报表的总体列报、结构和内容（包括披露），并评价财务报表是否公允反映相关交易和事项。</w:t>
      </w:r>
    </w:p>
    <w:p>
      <w:pPr>
        <w:spacing w:line="240" w:lineRule="auto" w:before="0"/>
        <w:rPr>
          <w:rFonts w:ascii="宋体" w:hAnsi="宋体" w:cs="宋体" w:eastAsia="宋体" w:hint="default"/>
          <w:sz w:val="15"/>
          <w:szCs w:val="15"/>
        </w:rPr>
      </w:pPr>
    </w:p>
    <w:p>
      <w:pPr>
        <w:pStyle w:val="BodyText"/>
        <w:spacing w:line="316" w:lineRule="auto"/>
        <w:ind w:left="153" w:right="191" w:firstLine="495"/>
        <w:jc w:val="both"/>
      </w:pPr>
      <w:r>
        <w:rPr>
          <w:spacing w:val="-1"/>
        </w:rPr>
        <w:t>（六）就榕基软件公司中实体或业务活动的财务信息获取充分、适当的审计证据，以对财务报表发表意见。我们负责</w:t>
      </w:r>
      <w:r>
        <w:rPr/>
        <w:t> 指导、监督和执行集团审计，并对审计意见承担全部责任。</w:t>
      </w:r>
    </w:p>
    <w:p>
      <w:pPr>
        <w:pStyle w:val="BodyText"/>
        <w:spacing w:line="316" w:lineRule="auto" w:before="139"/>
        <w:ind w:left="153" w:right="191" w:firstLine="495"/>
        <w:jc w:val="both"/>
      </w:pPr>
      <w:r>
        <w:rPr>
          <w:spacing w:val="-1"/>
        </w:rPr>
        <w:t>我们与治理层就计划的审计范围、时间安排和重大审计发现等事项进行沟通，包括沟通我们在审计中识别出的值得关</w:t>
      </w:r>
      <w:r>
        <w:rPr/>
        <w:t> 注的内部控制缺陷。</w:t>
      </w:r>
    </w:p>
    <w:p>
      <w:pPr>
        <w:pStyle w:val="BodyText"/>
        <w:spacing w:line="316" w:lineRule="auto" w:before="139"/>
        <w:ind w:left="153" w:right="191" w:firstLine="495"/>
        <w:jc w:val="both"/>
      </w:pPr>
      <w:r>
        <w:rPr>
          <w:spacing w:val="-1"/>
        </w:rPr>
        <w:t>我们还就已遵守与独立性相关的职业道德要求向治理层提供声明，并与治理层沟通可能被合理认为影响我们独立性的</w:t>
      </w:r>
      <w:r>
        <w:rPr/>
        <w:t> 所有关系和其他事项，以及相关的防范措施（如适用）。</w:t>
      </w:r>
    </w:p>
    <w:p>
      <w:pPr>
        <w:pStyle w:val="BodyText"/>
        <w:spacing w:line="316" w:lineRule="auto" w:before="139"/>
        <w:ind w:left="153" w:right="191" w:firstLine="495"/>
        <w:jc w:val="both"/>
      </w:pPr>
      <w:r>
        <w:rPr>
          <w:spacing w:val="-1"/>
        </w:rPr>
        <w:t>从与治理层沟通过的事项中，我们确定哪些事项对本期财务报表审计最为重要，因而构成关键审计事项。我们在审计</w:t>
      </w:r>
      <w:r>
        <w:rPr/>
        <w:t> </w:t>
      </w:r>
      <w:r>
        <w:rPr>
          <w:spacing w:val="-2"/>
        </w:rPr>
        <w:t>报告中描述这些事项，除非法律法规禁止公开披露这些事项，或在极少数情形下，如果合理预期在审计报告中沟通某事项造</w:t>
      </w:r>
      <w:r>
        <w:rPr>
          <w:spacing w:val="-66"/>
        </w:rPr>
        <w:t> </w:t>
      </w:r>
      <w:r>
        <w:rPr>
          <w:spacing w:val="-66"/>
        </w:rPr>
      </w:r>
      <w:r>
        <w:rPr/>
        <w:t>成的负面后果超过在公众利益方面产生的益处，我们确定不应在审计报告中沟通该事项。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980" w:right="940"/>
        </w:sectPr>
      </w:pPr>
    </w:p>
    <w:p>
      <w:pPr>
        <w:spacing w:line="240" w:lineRule="auto" w:before="3"/>
        <w:rPr>
          <w:rFonts w:ascii="宋体" w:hAnsi="宋体" w:cs="宋体" w:eastAsia="宋体" w:hint="default"/>
          <w:sz w:val="14"/>
          <w:szCs w:val="14"/>
        </w:rPr>
      </w:pPr>
    </w:p>
    <w:p>
      <w:pPr>
        <w:pStyle w:val="BodyText"/>
        <w:spacing w:line="240" w:lineRule="auto"/>
        <w:ind w:left="708" w:right="-20"/>
        <w:jc w:val="left"/>
      </w:pPr>
      <w:r>
        <w:rPr/>
        <w:t>致同会计师事务所</w:t>
      </w:r>
    </w:p>
    <w:p>
      <w:pPr>
        <w:pStyle w:val="BodyText"/>
        <w:spacing w:line="240" w:lineRule="auto" w:before="76"/>
        <w:ind w:left="708" w:right="-20"/>
        <w:jc w:val="left"/>
      </w:pPr>
      <w:r>
        <w:rPr/>
        <w:t>（特殊普通合伙）</w:t>
      </w:r>
    </w:p>
    <w:p>
      <w:pPr>
        <w:spacing w:line="240" w:lineRule="auto" w:before="3"/>
        <w:rPr>
          <w:rFonts w:ascii="宋体" w:hAnsi="宋体" w:cs="宋体" w:eastAsia="宋体" w:hint="default"/>
          <w:sz w:val="14"/>
          <w:szCs w:val="14"/>
        </w:rPr>
      </w:pPr>
      <w:r>
        <w:rPr/>
        <w:br w:type="column"/>
      </w:r>
      <w:r>
        <w:rPr>
          <w:rFonts w:ascii="宋体"/>
          <w:sz w:val="14"/>
        </w:rPr>
      </w:r>
    </w:p>
    <w:p>
      <w:pPr>
        <w:pStyle w:val="BodyText"/>
        <w:spacing w:line="240" w:lineRule="auto"/>
        <w:ind w:left="708" w:right="0"/>
        <w:jc w:val="left"/>
      </w:pPr>
      <w:r>
        <w:rPr/>
        <w:t>中国注册会计师</w:t>
      </w:r>
    </w:p>
    <w:p>
      <w:pPr>
        <w:pStyle w:val="BodyText"/>
        <w:spacing w:line="240" w:lineRule="auto" w:before="76"/>
        <w:ind w:left="708" w:right="0"/>
        <w:jc w:val="left"/>
      </w:pPr>
      <w:r>
        <w:rPr/>
        <w:t>（项目合伙人）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240" w:lineRule="auto"/>
        <w:ind w:left="708" w:right="0"/>
        <w:jc w:val="left"/>
      </w:pPr>
      <w:r>
        <w:rPr/>
        <w:t>中国注册会计师</w:t>
      </w:r>
    </w:p>
    <w:p>
      <w:pPr>
        <w:spacing w:after="0" w:line="240" w:lineRule="auto"/>
        <w:jc w:val="left"/>
        <w:sectPr>
          <w:type w:val="continuous"/>
          <w:pgSz w:w="11910" w:h="16840"/>
          <w:pgMar w:top="1060" w:bottom="1180" w:left="980" w:right="940"/>
          <w:cols w:num="2" w:equalWidth="0">
            <w:col w:w="2149" w:space="2916"/>
            <w:col w:w="492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5136" w:val="left" w:leader="none"/>
        </w:tabs>
        <w:spacing w:line="240" w:lineRule="auto"/>
        <w:ind w:left="708" w:right="184"/>
        <w:jc w:val="left"/>
      </w:pPr>
      <w:r>
        <w:rPr/>
        <w:t>中国·北京</w:t>
        <w:tab/>
        <w:t>二Ｏ一八年 四 月二日</w:t>
      </w:r>
    </w:p>
    <w:p>
      <w:pPr>
        <w:spacing w:after="0" w:line="240" w:lineRule="auto"/>
        <w:jc w:val="left"/>
        <w:sectPr>
          <w:type w:val="continuous"/>
          <w:pgSz w:w="11910" w:h="16840"/>
          <w:pgMar w:top="1060" w:bottom="1180" w:left="980" w:right="940"/>
        </w:sectPr>
      </w:pPr>
    </w:p>
    <w:p>
      <w:pPr>
        <w:spacing w:line="240" w:lineRule="auto" w:before="9"/>
        <w:rPr>
          <w:rFonts w:ascii="宋体" w:hAnsi="宋体" w:cs="宋体" w:eastAsia="宋体" w:hint="default"/>
          <w:sz w:val="19"/>
          <w:szCs w:val="19"/>
        </w:rPr>
      </w:pPr>
    </w:p>
    <w:p>
      <w:pPr>
        <w:pStyle w:val="Heading2"/>
        <w:spacing w:line="240" w:lineRule="auto" w:before="26"/>
        <w:ind w:right="1258"/>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258"/>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980" w:right="980"/>
        </w:sectPr>
      </w:pPr>
    </w:p>
    <w:p>
      <w:pPr>
        <w:pStyle w:val="BodyText"/>
        <w:spacing w:line="240" w:lineRule="auto" w:before="44"/>
        <w:ind w:right="-20"/>
        <w:jc w:val="left"/>
      </w:pPr>
      <w:r>
        <w:rPr/>
        <w:t>编制单位：福建榕基软件股份有限公司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980"/>
          <w:cols w:num="3" w:equalWidth="0">
            <w:col w:w="3215" w:space="862"/>
            <w:col w:w="1639" w:space="3203"/>
            <w:col w:w="103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207,736,984.65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552,975,440.22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1,945,500.00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2,017,874.00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119,355,006.60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116,052,904.46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10,498,805.02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11,725,236.82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172,951.90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1,185,696.85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17,787,365.92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45,531,489.43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43,770,725.08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772,316,481.37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757,809,363.78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826,604,021.18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239,671,609.37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1,999,766,240.15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1,742,996,216.50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43,400,000.00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114,685,687.77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94,658,748.16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38,048,635.97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15,624,406.21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36,571,761.90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35,336,841.64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148,040,779.90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11,037,952.52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127,930,377.34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125,518,799.57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47,199,410.07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35,457,783.41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330,849.13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595,528.33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22,876,446.39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20,239,503.76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9,607,320.10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10,330,340.10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593,191,268.57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392,199,903.70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2,592,957,508.72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2,135,196,120.20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114,000,000.00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23,211,091.00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10,683,069.00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273,149,723.79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216,063,719.53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225,356,038.20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215,035,250.57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19,214,168.58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17,347,240.51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9,671,054.69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4,044,560.71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541,031.25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204,328.13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39"/>
        <w:gridCol w:w="3317"/>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28,474,903.42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15,174,135.13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3,694,721.14</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20,431,377.14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18,310,356.54</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1,095,049,388.07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614,557,381.26</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48,000,000.00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63,352,018.49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59,682,078.50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63,352,018.49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107,682,078.50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1,158,401,406.56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722,239,459.76</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622,200,000.00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369,358,612.29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369,358,612.29</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3,222,576.52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9,251,708.77</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62,544,866.36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57,964,134.03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39"/>
        <w:gridCol w:w="3329"/>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366,831,675.06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344,871,182.51</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1,424,157,730.23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1,403,645,637.60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10,398,371.93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9,311,022.84</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1,434,556,102.16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1,412,956,660.44</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2,592,957,508.72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2,135,196,120.20</w:t>
            </w:r>
          </w:p>
        </w:tc>
      </w:tr>
    </w:tbl>
    <w:p>
      <w:pPr>
        <w:spacing w:line="240" w:lineRule="auto" w:before="3"/>
        <w:rPr>
          <w:rFonts w:ascii="Times New Roman" w:hAnsi="Times New Roman" w:cs="Times New Roman" w:eastAsia="Times New Roman" w:hint="default"/>
          <w:sz w:val="23"/>
          <w:szCs w:val="23"/>
        </w:rPr>
      </w:pPr>
    </w:p>
    <w:p>
      <w:pPr>
        <w:pStyle w:val="BodyText"/>
        <w:tabs>
          <w:tab w:pos="3419" w:val="left" w:leader="none"/>
          <w:tab w:pos="7559" w:val="left" w:leader="none"/>
        </w:tabs>
        <w:spacing w:line="240" w:lineRule="auto" w:before="44"/>
        <w:ind w:left="0" w:right="248"/>
        <w:jc w:val="right"/>
      </w:pPr>
      <w:r>
        <w:rPr/>
        <w:t>法定代表人：鲁峰</w:t>
        <w:tab/>
        <w:t>主管会计工作负责人：侯伟</w:t>
        <w:tab/>
        <w:t>会计机构负责人：镇千金</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66,774,607.08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161,875,793.70</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88,278,569.36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80,319,865.14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10,726,787.63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14,940,793.31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12,857.46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953,061.54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2,182,365.92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639,570,255.37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543,440,451.03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178,002,585.74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209,029,935.87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688,181,160.27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233,654,348.19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1,671,546,822.91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1,246,796,614.70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43,400,000.00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690,243,266.07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701,981,887.17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24,051,361.83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23,998,662.25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1,732,108.91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39"/>
        <w:gridCol w:w="3317"/>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32,049,009.43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35,357,918.49</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21,589,161.92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26,919,947.08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2,871,050.90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1,984,347.27</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814,203,850.15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835,374,871.17</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2,485,750,673.06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2,082,171,485.87</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114,000,000.00</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12,773,155.00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10,683,069.00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155,755,492.56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136,154,192.90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181,285,041.27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198,481,811.15</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7,658,071.71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7,283,695.01</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6,292,755.74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912,512.08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541,031.25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204,328.13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151,516,222.90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130,850,026.87</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2,488,717.90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13,124,076.70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12,563,630.20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1,023,945,847.13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613,621,983.24</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48,000,000.00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4,048,333.35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2,378,333.36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4,048,333.35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50,378,333.36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1,027,994,180.48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664,000,316.60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622,200,000.00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364,193,237.65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364,193,237.65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62,544,866.36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57,964,134.03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408,818,388.57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373,813,797.59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1,457,756,492.58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1,418,171,169.27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2,485,750,673.06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2,082,171,485.87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258"/>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742,004,732.30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702,592,311.90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742,004,732.30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702,592,311.90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748,622,108.82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716,197,918.24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496,785,937.98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474,390,511.41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r>
        <w:rPr/>
        <w:pict>
          <v:group style="position:absolute;margin-left:210.960007pt;margin-top:400.109985pt;width:158.85pt;height:20.8pt;mso-position-horizontal-relative:page;mso-position-vertical-relative:page;z-index:-1147960" coordorigin="4219,8002" coordsize="3177,416">
            <v:group style="position:absolute;left:4231;top:8014;width:2;height:393" coordorigin="4231,8014" coordsize="2,393">
              <v:shape style="position:absolute;left:4231;top:8014;width:2;height:393" coordorigin="4231,8014" coordsize="0,393" path="m4231,8014l4231,8406e" filled="false" stroked="true" strokeweight="1.140pt" strokecolor="#ffffff">
                <v:path arrowok="t"/>
              </v:shape>
            </v:group>
            <v:group style="position:absolute;left:4242;top:8014;width:3154;height:393" coordorigin="4242,8014" coordsize="3154,393">
              <v:shape style="position:absolute;left:4242;top:8014;width:3154;height:393" coordorigin="4242,8014" coordsize="3154,393" path="m4242,8406l7396,8406,7396,8014,4242,8014,4242,8406xe" filled="true" fillcolor="#ffffff" stroked="false">
                <v:path arrowok="t"/>
                <v:fill type="solid"/>
              </v:shape>
            </v:group>
            <w10:wrap type="none"/>
          </v:group>
        </w:pict>
      </w:r>
      <w:r>
        <w:rPr/>
        <w:pict>
          <v:group style="position:absolute;margin-left:210.960007pt;margin-top:536.309998pt;width:158.85pt;height:20.8pt;mso-position-horizontal-relative:page;mso-position-vertical-relative:page;z-index:-1147936" coordorigin="4219,10726" coordsize="3177,416">
            <v:group style="position:absolute;left:4231;top:10738;width:2;height:393" coordorigin="4231,10738" coordsize="2,393">
              <v:shape style="position:absolute;left:4231;top:10738;width:2;height:393" coordorigin="4231,10738" coordsize="0,393" path="m4231,10738l4231,11130e" filled="false" stroked="true" strokeweight="1.140pt" strokecolor="#ffffff">
                <v:path arrowok="t"/>
              </v:shape>
            </v:group>
            <v:group style="position:absolute;left:4242;top:10738;width:3154;height:393" coordorigin="4242,10738" coordsize="3154,393">
              <v:shape style="position:absolute;left:4242;top:10738;width:3154;height:393" coordorigin="4242,10738" coordsize="3154,393" path="m4242,11130l7396,11130,7396,10738,4242,10738,4242,11130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052"/>
        <w:gridCol w:w="3239"/>
        <w:gridCol w:w="3277"/>
      </w:tblGrid>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39"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39"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39"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37"/>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39"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39"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39"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4,928,042.24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4,866,258.17</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42,344,621.61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46,012,793.69</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183,934,746.37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180,912,113.26</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10,373,399.01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5,447,921.17</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10,255,361.61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4,568,320.54</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39"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29,991,290.76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26,341,941.71</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20,026,939.61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15,832,878.17</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7"/>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5"/>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-101,944.42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-127,534.48</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9,491,019.24</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32,762,989.06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12,608,800.89</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20,573.82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9,275,646.93</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512,374.39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448,451.32</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3239" w:type="dxa"/>
            <w:tcBorders>
              <w:top w:val="single" w:sz="4" w:space="0" w:color="000000"/>
              <w:left w:val="single" w:sz="13" w:space="0" w:color="D3D3D3"/>
              <w:bottom w:val="single" w:sz="4" w:space="0" w:color="000000"/>
              <w:right w:val="single" w:sz="4" w:space="0" w:color="000000"/>
            </w:tcBorders>
          </w:tcPr>
          <w:p>
            <w:pPr>
              <w:pStyle w:val="TableParagraph"/>
              <w:tabs>
                <w:tab w:pos="2158" w:val="left" w:leader="none"/>
              </w:tabs>
              <w:spacing w:line="240" w:lineRule="auto" w:before="51"/>
              <w:ind w:left="-1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32,271,188.49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21,435,996.50</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870,614.52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-3,541,174.62</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31,400,573.97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24,977,171.12</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0" w:right="-5"/>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31,400,573.97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24,977,171.12</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0" w:right="-5"/>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39"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32,763,224.88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24,845,319.23</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-1,362,650.91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131,851.89</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-6,029,132.25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5,788,711.05</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3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-6,029,132.25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5,788,711.05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-6,029,132.25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5,788,711.05</w:t>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22"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-6,029,132.25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5,788,711.05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5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25,371,441.72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30,765,882.17</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55"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26,734,092.63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30,634,030.28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-1,362,650.91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131,851.89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0.0527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0.0399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0.0527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0.0399</w:t>
            </w:r>
          </w:p>
        </w:tc>
      </w:tr>
    </w:tbl>
    <w:p>
      <w:pPr>
        <w:pStyle w:val="BodyText"/>
        <w:tabs>
          <w:tab w:pos="3573" w:val="left" w:leader="none"/>
          <w:tab w:pos="7713" w:val="left" w:leader="none"/>
        </w:tabs>
        <w:spacing w:line="624" w:lineRule="auto" w:before="51"/>
        <w:ind w:left="153" w:right="248"/>
        <w:jc w:val="left"/>
      </w:pPr>
      <w:r>
        <w:rPr/>
        <w:t>本期发生同一控制下企业合并的，被合并方在合并前实现的净利润为：元，上期被合并方实现的净利润为：元。 法定代表人：鲁峰</w:t>
        <w:tab/>
        <w:t>主管会计工作负责人：侯伟</w:t>
        <w:tab/>
        <w:t>会计机构负责人：镇千金</w:t>
      </w:r>
    </w:p>
    <w:p>
      <w:pPr>
        <w:pStyle w:val="Heading3"/>
        <w:spacing w:line="240" w:lineRule="auto" w:before="63"/>
        <w:ind w:right="1258"/>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6"/>
        <w:gridCol w:w="3301"/>
        <w:gridCol w:w="3300"/>
      </w:tblGrid>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130" w:right="0"/>
              <w:jc w:val="left"/>
              <w:rPr>
                <w:rFonts w:ascii="Times New Roman" w:hAnsi="Times New Roman" w:cs="Times New Roman" w:eastAsia="Times New Roman" w:hint="default"/>
                <w:sz w:val="18"/>
                <w:szCs w:val="18"/>
              </w:rPr>
            </w:pPr>
            <w:r>
              <w:rPr>
                <w:rFonts w:ascii="Times New Roman"/>
                <w:sz w:val="18"/>
              </w:rPr>
              <w:t>480,042,761.82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477,391,339.51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294,743,813.97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322,335,224.69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1,805,209.06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1,554,652.49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18,843,442.55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19,513,874.07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109,236,809.95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105,454,162.34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12,450,394.94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6,973,675.90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7,685,754.32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3,898,401.13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9,305,767.49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7,792,003.91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711,378.90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105,349.88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-425,334.96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-101,794.23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3,787,060.63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47,944,830.19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25,351,558.57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959.10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6,318,905.36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468,024.39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408,701.25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47,477,764.90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31,261,762.68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1,670,441.59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-1,076,425.33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45,807,323.31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32,338,188.01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45,807,323.31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32,338,188.01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67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11" w:right="41"/>
              <w:jc w:val="left"/>
              <w:rPr>
                <w:rFonts w:ascii="宋体" w:hAnsi="宋体" w:cs="宋体" w:eastAsia="宋体" w:hint="default"/>
                <w:sz w:val="18"/>
                <w:szCs w:val="18"/>
              </w:rPr>
            </w:pPr>
            <w:r>
              <w:rPr>
                <w:rFonts w:ascii="宋体" w:hAnsi="宋体" w:cs="宋体" w:eastAsia="宋体" w:hint="default"/>
                <w:sz w:val="18"/>
                <w:szCs w:val="18"/>
              </w:rPr>
              <w:t>以后将重分类进损益的其他综合收益 中享有的份额</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45,807,323.31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32,338,188.01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258"/>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4"/>
        <w:gridCol w:w="3302"/>
        <w:gridCol w:w="3300"/>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825,974,651.23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810,368,593.52</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1,910,985.29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2,660,652.70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13,218,640.29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11,221,118.25</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841,104,276.81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824,250,364.47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38"/>
        <w:gridCol w:w="3318"/>
        <w:gridCol w:w="3300"/>
      </w:tblGrid>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551,576,048.63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553,509,274.21</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86,409,016.35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84,304,788.81</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14,455,711.04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11,893,651.56</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102,697,698.55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117,367,740.93</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755,138,474.57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767,075,455.51</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85,965,802.24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57,174,908.96</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1,207,501,322.00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1,816,816,400.00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14,645,449.29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10,881,298.93</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208,275.89</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1,222,329,971.29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1,827,905,974.82</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166,679,340.50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144,420,759.48</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1,844,147,702.00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1,664,793,600.00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2,010,827,042.50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1,809,214,359.48</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-788,497,071.21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18,691,615.34</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38"/>
        <w:gridCol w:w="3330"/>
        <w:gridCol w:w="3300"/>
      </w:tblGrid>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28,000,000.00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621,120,000.00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302,000,000.00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233,000,000.00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19,102,849.08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11,073,113.93</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303,102,849.08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249,073,113.93</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318,017,150.92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52,926,886.07</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-5,372,025.39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5,780,065.53</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-389,886,143.44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134,573,475.90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481,810,159.46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347,236,683.56</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91,924,016.02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481,810,159.46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258"/>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494,938,984.14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547,424,317.26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1,652,882.72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2,302,011.69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24,109,942.22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54,750,953.05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520,701,809.08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604,477,282.00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268,265,168.42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395,680,647.68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33,532,470.10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31,261,074.77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8,328,229.42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7,528,570.64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150,616,476.85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198,999,989.17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460,742,344.79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633,470,282.26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59,959,464.29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-28,993,000.26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793,009,400.00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12,565,214.28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5,504,288.11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479,990.00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207,275.89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806,054,604.28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990,711,564.00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28,751,175.39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20,938,297.08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1,235,550,000.00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968,500,000.00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1,264,301,175.39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989,438,297.08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-458,246,571.11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1,273,266.92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19,102,849.08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11,073,113.93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303,102,849.08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244,073,113.93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311,897,150.92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29,926,886.07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-41,196.65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5,091.40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-86,431,152.55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2,212,244.13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140,889,923.00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138,677,678.87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54,458,770.45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140,889,923.00</w:t>
            </w: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258"/>
        <w:jc w:val="left"/>
      </w:pPr>
      <w:r>
        <w:rPr/>
        <w:t>本期金额</w:t>
      </w:r>
    </w:p>
    <w:p>
      <w:pPr>
        <w:pStyle w:val="BodyText"/>
        <w:spacing w:line="240" w:lineRule="auto" w:before="117"/>
        <w:ind w:left="0" w:right="151"/>
        <w:jc w:val="right"/>
      </w:pPr>
      <w:r>
        <w:rPr/>
        <w:t>单位：元</w:t>
      </w:r>
    </w:p>
    <w:p>
      <w:pPr>
        <w:spacing w:after="0" w:line="240" w:lineRule="auto"/>
        <w:jc w:val="right"/>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1426"/>
        <w:gridCol w:w="563"/>
        <w:gridCol w:w="530"/>
        <w:gridCol w:w="532"/>
        <w:gridCol w:w="530"/>
        <w:gridCol w:w="665"/>
        <w:gridCol w:w="665"/>
        <w:gridCol w:w="665"/>
        <w:gridCol w:w="665"/>
        <w:gridCol w:w="664"/>
        <w:gridCol w:w="666"/>
        <w:gridCol w:w="665"/>
        <w:gridCol w:w="665"/>
        <w:gridCol w:w="659"/>
      </w:tblGrid>
      <w:tr>
        <w:trPr>
          <w:trHeight w:val="402" w:hRule="exact"/>
        </w:trPr>
        <w:tc>
          <w:tcPr>
            <w:tcW w:w="1426" w:type="dxa"/>
            <w:vMerge w:val="restart"/>
            <w:tcBorders>
              <w:top w:val="single" w:sz="4" w:space="0" w:color="000000"/>
              <w:left w:val="single" w:sz="4" w:space="0" w:color="000000"/>
              <w:right w:val="single" w:sz="4" w:space="0" w:color="000000"/>
            </w:tcBorders>
            <w:shd w:val="clear" w:color="auto" w:fill="D3D3D3"/>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6" w:type="dxa"/>
            <w:vMerge/>
            <w:tcBorders>
              <w:left w:val="single" w:sz="4" w:space="0" w:color="000000"/>
              <w:right w:val="single" w:sz="4" w:space="0" w:color="000000"/>
            </w:tcBorders>
            <w:shd w:val="clear" w:color="auto" w:fill="D3D3D3"/>
          </w:tcPr>
          <w:p>
            <w:pPr/>
          </w:p>
        </w:tc>
        <w:tc>
          <w:tcPr>
            <w:tcW w:w="6809" w:type="dxa"/>
            <w:gridSpan w:val="11"/>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3D3D3"/>
          </w:tcPr>
          <w:p>
            <w:pPr/>
          </w:p>
        </w:tc>
        <w:tc>
          <w:tcPr>
            <w:tcW w:w="65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3D3D3"/>
          </w:tcPr>
          <w:p>
            <w:pPr/>
          </w:p>
        </w:tc>
        <w:tc>
          <w:tcPr>
            <w:tcW w:w="6809" w:type="dxa"/>
            <w:gridSpan w:val="11"/>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59"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7" w:hRule="exact"/>
        </w:trPr>
        <w:tc>
          <w:tcPr>
            <w:tcW w:w="14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3D3D3"/>
          </w:tcPr>
          <w:p>
            <w:pPr/>
          </w:p>
        </w:tc>
        <w:tc>
          <w:tcPr>
            <w:tcW w:w="159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4" w:type="dxa"/>
            <w:tcBorders>
              <w:top w:val="single" w:sz="4" w:space="0" w:color="000000"/>
              <w:left w:val="single" w:sz="4" w:space="0" w:color="000000"/>
              <w:bottom w:val="nil" w:sz="6" w:space="0" w:color="auto"/>
              <w:right w:val="single" w:sz="4" w:space="0" w:color="000000"/>
            </w:tcBorders>
            <w:shd w:val="clear" w:color="auto" w:fill="D3D3D3"/>
          </w:tcPr>
          <w:p>
            <w:pPr/>
          </w:p>
        </w:tc>
        <w:tc>
          <w:tcPr>
            <w:tcW w:w="666"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3D3D3"/>
          </w:tcPr>
          <w:p>
            <w:pPr/>
          </w:p>
        </w:tc>
      </w:tr>
      <w:tr>
        <w:trPr>
          <w:trHeight w:val="172" w:hRule="exact"/>
        </w:trPr>
        <w:tc>
          <w:tcPr>
            <w:tcW w:w="1426" w:type="dxa"/>
            <w:vMerge/>
            <w:tcBorders>
              <w:left w:val="single" w:sz="4" w:space="0" w:color="000000"/>
              <w:bottom w:val="nil" w:sz="6" w:space="0" w:color="auto"/>
              <w:right w:val="single" w:sz="4" w:space="0" w:color="000000"/>
            </w:tcBorders>
            <w:shd w:val="clear" w:color="auto" w:fill="D3D3D3"/>
          </w:tcPr>
          <w:p>
            <w:pPr/>
          </w:p>
        </w:tc>
        <w:tc>
          <w:tcPr>
            <w:tcW w:w="563" w:type="dxa"/>
            <w:vMerge/>
            <w:tcBorders>
              <w:left w:val="single" w:sz="4" w:space="0" w:color="000000"/>
              <w:bottom w:val="nil" w:sz="6" w:space="0" w:color="auto"/>
              <w:right w:val="single" w:sz="4" w:space="0" w:color="000000"/>
            </w:tcBorders>
            <w:shd w:val="clear" w:color="auto" w:fill="D3D3D3"/>
          </w:tcPr>
          <w:p>
            <w:pPr/>
          </w:p>
        </w:tc>
        <w:tc>
          <w:tcPr>
            <w:tcW w:w="1592" w:type="dxa"/>
            <w:gridSpan w:val="3"/>
            <w:vMerge/>
            <w:tcBorders>
              <w:left w:val="single" w:sz="4" w:space="0" w:color="000000"/>
              <w:bottom w:val="single" w:sz="4" w:space="0" w:color="000000"/>
              <w:right w:val="single" w:sz="4" w:space="0" w:color="000000"/>
            </w:tcBorders>
            <w:shd w:val="clear" w:color="auto" w:fill="D3D3D3"/>
          </w:tcPr>
          <w:p>
            <w:pP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236" w:right="5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3D3D3"/>
          </w:tcPr>
          <w:p>
            <w:pPr/>
          </w:p>
        </w:tc>
        <w:tc>
          <w:tcPr>
            <w:tcW w:w="56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4" w:type="dxa"/>
            <w:vMerge/>
            <w:tcBorders>
              <w:left w:val="single" w:sz="4" w:space="0" w:color="000000"/>
              <w:right w:val="single" w:sz="4" w:space="0" w:color="000000"/>
            </w:tcBorders>
            <w:shd w:val="clear" w:color="auto" w:fill="D3D3D3"/>
          </w:tcPr>
          <w:p>
            <w:pPr/>
          </w:p>
        </w:tc>
        <w:tc>
          <w:tcPr>
            <w:tcW w:w="666"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68" w:hRule="exact"/>
        </w:trPr>
        <w:tc>
          <w:tcPr>
            <w:tcW w:w="1426" w:type="dxa"/>
            <w:vMerge/>
            <w:tcBorders>
              <w:left w:val="single" w:sz="4" w:space="0" w:color="000000"/>
              <w:right w:val="single" w:sz="4" w:space="0" w:color="000000"/>
            </w:tcBorders>
            <w:shd w:val="clear" w:color="auto" w:fill="D3D3D3"/>
          </w:tcPr>
          <w:p>
            <w:pPr/>
          </w:p>
        </w:tc>
        <w:tc>
          <w:tcPr>
            <w:tcW w:w="563" w:type="dxa"/>
            <w:vMerge/>
            <w:tcBorders>
              <w:left w:val="single" w:sz="4" w:space="0" w:color="000000"/>
              <w:bottom w:val="nil" w:sz="6" w:space="0" w:color="auto"/>
              <w:right w:val="single" w:sz="4" w:space="0" w:color="000000"/>
            </w:tcBorders>
            <w:shd w:val="clear" w:color="auto" w:fill="D3D3D3"/>
          </w:tcPr>
          <w:p>
            <w:pPr/>
          </w:p>
        </w:tc>
        <w:tc>
          <w:tcPr>
            <w:tcW w:w="530" w:type="dxa"/>
            <w:vMerge/>
            <w:tcBorders>
              <w:left w:val="single" w:sz="4" w:space="0" w:color="000000"/>
              <w:right w:val="single" w:sz="4" w:space="0" w:color="000000"/>
            </w:tcBorders>
            <w:shd w:val="clear" w:color="auto" w:fill="D3D3D3"/>
          </w:tcPr>
          <w:p>
            <w:pPr/>
          </w:p>
        </w:tc>
        <w:tc>
          <w:tcPr>
            <w:tcW w:w="532" w:type="dxa"/>
            <w:vMerge/>
            <w:tcBorders>
              <w:left w:val="single" w:sz="4" w:space="0" w:color="000000"/>
              <w:right w:val="single" w:sz="4" w:space="0" w:color="000000"/>
            </w:tcBorders>
            <w:shd w:val="clear" w:color="auto" w:fill="D3D3D3"/>
          </w:tcPr>
          <w:p>
            <w:pPr/>
          </w:p>
        </w:tc>
        <w:tc>
          <w:tcPr>
            <w:tcW w:w="5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4" w:type="dxa"/>
            <w:vMerge/>
            <w:tcBorders>
              <w:left w:val="single" w:sz="4" w:space="0" w:color="000000"/>
              <w:right w:val="single" w:sz="4" w:space="0" w:color="000000"/>
            </w:tcBorders>
            <w:shd w:val="clear" w:color="auto" w:fill="D3D3D3"/>
          </w:tcPr>
          <w:p>
            <w:pPr/>
          </w:p>
        </w:tc>
        <w:tc>
          <w:tcPr>
            <w:tcW w:w="666"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56" w:hRule="exact"/>
        </w:trPr>
        <w:tc>
          <w:tcPr>
            <w:tcW w:w="1426" w:type="dxa"/>
            <w:vMerge/>
            <w:tcBorders>
              <w:left w:val="single" w:sz="4" w:space="0" w:color="000000"/>
              <w:right w:val="single" w:sz="4" w:space="0" w:color="000000"/>
            </w:tcBorders>
            <w:shd w:val="clear" w:color="auto" w:fill="D3D3D3"/>
          </w:tcPr>
          <w:p>
            <w:pPr/>
          </w:p>
        </w:tc>
        <w:tc>
          <w:tcPr>
            <w:tcW w:w="563" w:type="dxa"/>
            <w:vMerge w:val="restart"/>
            <w:tcBorders>
              <w:top w:val="nil" w:sz="6" w:space="0" w:color="auto"/>
              <w:left w:val="single" w:sz="4" w:space="0" w:color="000000"/>
              <w:right w:val="single" w:sz="4" w:space="0" w:color="000000"/>
            </w:tcBorders>
            <w:shd w:val="clear" w:color="auto" w:fill="D3D3D3"/>
          </w:tcPr>
          <w:p>
            <w:pPr/>
          </w:p>
        </w:tc>
        <w:tc>
          <w:tcPr>
            <w:tcW w:w="530" w:type="dxa"/>
            <w:vMerge/>
            <w:tcBorders>
              <w:left w:val="single" w:sz="4" w:space="0" w:color="000000"/>
              <w:right w:val="single" w:sz="4" w:space="0" w:color="000000"/>
            </w:tcBorders>
            <w:shd w:val="clear" w:color="auto" w:fill="D3D3D3"/>
          </w:tcPr>
          <w:p>
            <w:pPr/>
          </w:p>
        </w:tc>
        <w:tc>
          <w:tcPr>
            <w:tcW w:w="532" w:type="dxa"/>
            <w:vMerge/>
            <w:tcBorders>
              <w:left w:val="single" w:sz="4" w:space="0" w:color="000000"/>
              <w:right w:val="single" w:sz="4" w:space="0" w:color="000000"/>
            </w:tcBorders>
            <w:shd w:val="clear" w:color="auto" w:fill="D3D3D3"/>
          </w:tcPr>
          <w:p>
            <w:pPr/>
          </w:p>
        </w:tc>
        <w:tc>
          <w:tcPr>
            <w:tcW w:w="530"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4" w:type="dxa"/>
            <w:vMerge/>
            <w:tcBorders>
              <w:left w:val="single" w:sz="4" w:space="0" w:color="000000"/>
              <w:bottom w:val="nil" w:sz="6" w:space="0" w:color="auto"/>
              <w:right w:val="single" w:sz="4" w:space="0" w:color="000000"/>
            </w:tcBorders>
            <w:shd w:val="clear" w:color="auto" w:fill="D3D3D3"/>
          </w:tcPr>
          <w:p>
            <w:pPr/>
          </w:p>
        </w:tc>
        <w:tc>
          <w:tcPr>
            <w:tcW w:w="666"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val="restart"/>
            <w:tcBorders>
              <w:top w:val="nil" w:sz="6" w:space="0" w:color="auto"/>
              <w:left w:val="single" w:sz="4" w:space="0" w:color="000000"/>
              <w:right w:val="single" w:sz="4" w:space="0" w:color="000000"/>
            </w:tcBorders>
            <w:shd w:val="clear" w:color="auto" w:fill="D3D3D3"/>
          </w:tcPr>
          <w:p>
            <w:pPr/>
          </w:p>
        </w:tc>
        <w:tc>
          <w:tcPr>
            <w:tcW w:w="659" w:type="dxa"/>
            <w:vMerge/>
            <w:tcBorders>
              <w:left w:val="single" w:sz="4" w:space="0" w:color="000000"/>
              <w:bottom w:val="nil" w:sz="6" w:space="0" w:color="auto"/>
              <w:right w:val="single" w:sz="4" w:space="0" w:color="000000"/>
            </w:tcBorders>
            <w:shd w:val="clear" w:color="auto" w:fill="D3D3D3"/>
          </w:tcPr>
          <w:p>
            <w:pPr/>
          </w:p>
        </w:tc>
      </w:tr>
      <w:tr>
        <w:trPr>
          <w:trHeight w:val="229" w:hRule="exact"/>
        </w:trPr>
        <w:tc>
          <w:tcPr>
            <w:tcW w:w="1426" w:type="dxa"/>
            <w:vMerge/>
            <w:tcBorders>
              <w:left w:val="single" w:sz="4" w:space="0" w:color="000000"/>
              <w:bottom w:val="single" w:sz="4" w:space="0" w:color="000000"/>
              <w:right w:val="single" w:sz="4" w:space="0" w:color="000000"/>
            </w:tcBorders>
            <w:shd w:val="clear" w:color="auto" w:fill="D3D3D3"/>
          </w:tcPr>
          <w:p>
            <w:pPr/>
          </w:p>
        </w:tc>
        <w:tc>
          <w:tcPr>
            <w:tcW w:w="563" w:type="dxa"/>
            <w:vMerge/>
            <w:tcBorders>
              <w:left w:val="single" w:sz="4" w:space="0" w:color="000000"/>
              <w:bottom w:val="single" w:sz="4" w:space="0" w:color="000000"/>
              <w:right w:val="single" w:sz="4" w:space="0" w:color="000000"/>
            </w:tcBorders>
            <w:shd w:val="clear" w:color="auto" w:fill="D3D3D3"/>
          </w:tcPr>
          <w:p>
            <w:pPr/>
          </w:p>
        </w:tc>
        <w:tc>
          <w:tcPr>
            <w:tcW w:w="530" w:type="dxa"/>
            <w:vMerge/>
            <w:tcBorders>
              <w:left w:val="single" w:sz="4" w:space="0" w:color="000000"/>
              <w:bottom w:val="single" w:sz="4" w:space="0" w:color="000000"/>
              <w:right w:val="single" w:sz="4" w:space="0" w:color="000000"/>
            </w:tcBorders>
            <w:shd w:val="clear" w:color="auto" w:fill="D3D3D3"/>
          </w:tcPr>
          <w:p>
            <w:pPr/>
          </w:p>
        </w:tc>
        <w:tc>
          <w:tcPr>
            <w:tcW w:w="532"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4" w:type="dxa"/>
            <w:tcBorders>
              <w:top w:val="nil" w:sz="6" w:space="0" w:color="auto"/>
              <w:left w:val="single" w:sz="4" w:space="0" w:color="000000"/>
              <w:bottom w:val="single" w:sz="4" w:space="0" w:color="000000"/>
              <w:right w:val="single" w:sz="4" w:space="0" w:color="000000"/>
            </w:tcBorders>
            <w:shd w:val="clear" w:color="auto" w:fill="D3D3D3"/>
          </w:tcPr>
          <w:p>
            <w:pPr/>
          </w:p>
        </w:tc>
        <w:tc>
          <w:tcPr>
            <w:tcW w:w="666"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5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3D3D3"/>
          </w:tcPr>
          <w:p>
            <w:pPr/>
          </w:p>
        </w:tc>
        <w:tc>
          <w:tcPr>
            <w:tcW w:w="563" w:type="dxa"/>
            <w:vMerge w:val="restart"/>
            <w:tcBorders>
              <w:top w:val="single" w:sz="4" w:space="0" w:color="000000"/>
              <w:left w:val="single" w:sz="9" w:space="0" w:color="D3D3D3"/>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622,20</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369,358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,612.29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9,251,7</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08.77</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57,964,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134.03</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344,871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,182.51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9,311,0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22.84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56,660.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44</w:t>
            </w: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3D3D3"/>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3D3D3"/>
          </w:tcPr>
          <w:p>
            <w:pPr/>
          </w:p>
        </w:tc>
        <w:tc>
          <w:tcPr>
            <w:tcW w:w="563" w:type="dxa"/>
            <w:vMerge/>
            <w:tcBorders>
              <w:left w:val="single" w:sz="9" w:space="0" w:color="D3D3D3"/>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3D3D3"/>
          </w:tcPr>
          <w:p>
            <w:pPr/>
          </w:p>
        </w:tc>
        <w:tc>
          <w:tcPr>
            <w:tcW w:w="563" w:type="dxa"/>
            <w:vMerge w:val="restart"/>
            <w:tcBorders>
              <w:top w:val="single" w:sz="4" w:space="0" w:color="000000"/>
              <w:left w:val="single" w:sz="9" w:space="0" w:color="D3D3D3"/>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622,20</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369,358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,612.29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9,251,7</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08.77</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57,964,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134.03</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344,871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,182.51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9,311,0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22.84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56,660.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44</w:t>
            </w: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3D3D3"/>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3D3D3"/>
          </w:tcPr>
          <w:p>
            <w:pPr/>
          </w:p>
        </w:tc>
        <w:tc>
          <w:tcPr>
            <w:tcW w:w="563" w:type="dxa"/>
            <w:vMerge/>
            <w:tcBorders>
              <w:left w:val="single" w:sz="9" w:space="0" w:color="D3D3D3"/>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1" w:right="2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-6,029,1</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32.25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4,580,7</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32.33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21,960,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492.55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1,087,3</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49.09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21,599,</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441.72</w:t>
            </w: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-6,029,1</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32.25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32,763,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224.88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-1,362,6</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50.91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25,371,</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441.72</w:t>
            </w: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2,450,0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2,450,0</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2,450,0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2,450,0</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6" w:type="dxa"/>
            <w:tcBorders>
              <w:top w:val="single" w:sz="4" w:space="0" w:color="000000"/>
              <w:left w:val="single" w:sz="4" w:space="0" w:color="000000"/>
              <w:bottom w:val="nil" w:sz="6" w:space="0" w:color="auto"/>
              <w:right w:val="single" w:sz="4" w:space="0" w:color="000000"/>
            </w:tcBorders>
            <w:shd w:val="clear" w:color="auto" w:fill="D3D3D3"/>
          </w:tcPr>
          <w:p>
            <w:pPr/>
          </w:p>
        </w:tc>
        <w:tc>
          <w:tcPr>
            <w:tcW w:w="563" w:type="dxa"/>
            <w:vMerge w:val="restart"/>
            <w:tcBorders>
              <w:top w:val="single" w:sz="4" w:space="0" w:color="000000"/>
              <w:left w:val="single" w:sz="9" w:space="0" w:color="D3D3D3"/>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4,580,7</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32.33</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-10,802,</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732.33</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-6,222,0</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00.00</w:t>
            </w: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vMerge/>
            <w:tcBorders>
              <w:left w:val="single" w:sz="9" w:space="0" w:color="D3D3D3"/>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3D3D3"/>
          </w:tcPr>
          <w:p>
            <w:pPr/>
          </w:p>
        </w:tc>
        <w:tc>
          <w:tcPr>
            <w:tcW w:w="563" w:type="dxa"/>
            <w:vMerge/>
            <w:tcBorders>
              <w:left w:val="single" w:sz="9" w:space="0" w:color="D3D3D3"/>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26" w:type="dxa"/>
            <w:tcBorders>
              <w:top w:val="single" w:sz="4" w:space="0" w:color="000000"/>
              <w:left w:val="single" w:sz="4" w:space="0" w:color="000000"/>
              <w:bottom w:val="nil" w:sz="6" w:space="0" w:color="auto"/>
              <w:right w:val="single" w:sz="4" w:space="0" w:color="000000"/>
            </w:tcBorders>
            <w:shd w:val="clear" w:color="auto" w:fill="D3D3D3"/>
          </w:tcPr>
          <w:p>
            <w:pPr/>
          </w:p>
        </w:tc>
        <w:tc>
          <w:tcPr>
            <w:tcW w:w="563" w:type="dxa"/>
            <w:vMerge w:val="restart"/>
            <w:tcBorders>
              <w:top w:val="single" w:sz="4" w:space="0" w:color="000000"/>
              <w:left w:val="single" w:sz="9" w:space="0" w:color="D3D3D3"/>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4,580,7</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32.33</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-4,580,7</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32.33</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vMerge/>
            <w:tcBorders>
              <w:left w:val="single" w:sz="9" w:space="0" w:color="D3D3D3"/>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3D3D3"/>
          </w:tcPr>
          <w:p>
            <w:pPr/>
          </w:p>
        </w:tc>
        <w:tc>
          <w:tcPr>
            <w:tcW w:w="563" w:type="dxa"/>
            <w:vMerge/>
            <w:tcBorders>
              <w:left w:val="single" w:sz="9" w:space="0" w:color="D3D3D3"/>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w:t>
            </w:r>
          </w:p>
        </w:tc>
        <w:tc>
          <w:tcPr>
            <w:tcW w:w="563"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-6,222,0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-6,222,0</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622,20</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369,358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,612.29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3,222,5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76.52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62,544,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866.36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366,831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,675.06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10,398,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371.93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1,434,5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56,102.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16</w:t>
            </w:r>
          </w:p>
        </w:tc>
      </w:tr>
    </w:tbl>
    <w:p>
      <w:pPr>
        <w:pStyle w:val="BodyText"/>
        <w:spacing w:line="240" w:lineRule="auto" w:before="51"/>
        <w:ind w:right="1258"/>
        <w:jc w:val="left"/>
      </w:pPr>
      <w:r>
        <w:rPr/>
        <w:t>上期金额</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26"/>
        <w:gridCol w:w="574"/>
        <w:gridCol w:w="530"/>
        <w:gridCol w:w="532"/>
        <w:gridCol w:w="530"/>
        <w:gridCol w:w="665"/>
        <w:gridCol w:w="665"/>
        <w:gridCol w:w="665"/>
        <w:gridCol w:w="665"/>
        <w:gridCol w:w="665"/>
        <w:gridCol w:w="665"/>
        <w:gridCol w:w="678"/>
        <w:gridCol w:w="652"/>
        <w:gridCol w:w="659"/>
      </w:tblGrid>
      <w:tr>
        <w:trPr>
          <w:trHeight w:val="402" w:hRule="exact"/>
        </w:trPr>
        <w:tc>
          <w:tcPr>
            <w:tcW w:w="1426" w:type="dxa"/>
            <w:vMerge w:val="restart"/>
            <w:tcBorders>
              <w:top w:val="single" w:sz="4" w:space="0" w:color="000000"/>
              <w:left w:val="single" w:sz="4" w:space="0" w:color="000000"/>
              <w:right w:val="single" w:sz="4" w:space="0" w:color="000000"/>
            </w:tcBorders>
            <w:shd w:val="clear" w:color="auto" w:fill="D3D3D3"/>
          </w:tcPr>
          <w:p>
            <w:pPr/>
          </w:p>
        </w:tc>
        <w:tc>
          <w:tcPr>
            <w:tcW w:w="8143"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6" w:type="dxa"/>
            <w:vMerge/>
            <w:tcBorders>
              <w:left w:val="single" w:sz="4" w:space="0" w:color="000000"/>
              <w:right w:val="single" w:sz="4" w:space="0" w:color="000000"/>
            </w:tcBorders>
            <w:shd w:val="clear" w:color="auto" w:fill="D3D3D3"/>
          </w:tcPr>
          <w:p>
            <w:pPr/>
          </w:p>
        </w:tc>
        <w:tc>
          <w:tcPr>
            <w:tcW w:w="6833" w:type="dxa"/>
            <w:gridSpan w:val="11"/>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3D3D3"/>
          </w:tcPr>
          <w:p>
            <w:pPr/>
          </w:p>
        </w:tc>
        <w:tc>
          <w:tcPr>
            <w:tcW w:w="65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3D3D3"/>
          </w:tcPr>
          <w:p>
            <w:pPr/>
          </w:p>
        </w:tc>
        <w:tc>
          <w:tcPr>
            <w:tcW w:w="6833" w:type="dxa"/>
            <w:gridSpan w:val="11"/>
            <w:vMerge/>
            <w:tcBorders>
              <w:left w:val="single" w:sz="4" w:space="0" w:color="000000"/>
              <w:bottom w:val="single" w:sz="4" w:space="0" w:color="000000"/>
              <w:right w:val="single" w:sz="4" w:space="0" w:color="000000"/>
            </w:tcBorders>
            <w:shd w:val="clear" w:color="auto" w:fill="D3D3D3"/>
          </w:tcPr>
          <w:p>
            <w:pPr/>
          </w:p>
        </w:tc>
        <w:tc>
          <w:tcPr>
            <w:tcW w:w="652" w:type="dxa"/>
            <w:vMerge/>
            <w:tcBorders>
              <w:left w:val="single" w:sz="4" w:space="0" w:color="000000"/>
              <w:bottom w:val="nil" w:sz="6" w:space="0" w:color="auto"/>
              <w:right w:val="single" w:sz="4" w:space="0" w:color="000000"/>
            </w:tcBorders>
            <w:shd w:val="clear" w:color="auto" w:fill="D3D3D3"/>
          </w:tcPr>
          <w:p>
            <w:pPr/>
          </w:p>
        </w:tc>
        <w:tc>
          <w:tcPr>
            <w:tcW w:w="659"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7" w:hRule="exact"/>
        </w:trPr>
        <w:tc>
          <w:tcPr>
            <w:tcW w:w="14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3D3D3"/>
          </w:tcPr>
          <w:p>
            <w:pPr/>
          </w:p>
        </w:tc>
        <w:tc>
          <w:tcPr>
            <w:tcW w:w="159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78" w:type="dxa"/>
            <w:tcBorders>
              <w:top w:val="single" w:sz="4" w:space="0" w:color="000000"/>
              <w:left w:val="single" w:sz="4" w:space="0" w:color="000000"/>
              <w:bottom w:val="nil" w:sz="6" w:space="0" w:color="auto"/>
              <w:right w:val="single" w:sz="4" w:space="0" w:color="000000"/>
            </w:tcBorders>
            <w:shd w:val="clear" w:color="auto" w:fill="D3D3D3"/>
          </w:tcPr>
          <w:p>
            <w:pPr/>
          </w:p>
        </w:tc>
        <w:tc>
          <w:tcPr>
            <w:tcW w:w="652"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3D3D3"/>
          </w:tcPr>
          <w:p>
            <w:pPr/>
          </w:p>
        </w:tc>
      </w:tr>
      <w:tr>
        <w:trPr>
          <w:trHeight w:val="172" w:hRule="exact"/>
        </w:trPr>
        <w:tc>
          <w:tcPr>
            <w:tcW w:w="1426" w:type="dxa"/>
            <w:vMerge/>
            <w:tcBorders>
              <w:left w:val="single" w:sz="4" w:space="0" w:color="000000"/>
              <w:bottom w:val="nil" w:sz="6" w:space="0" w:color="auto"/>
              <w:right w:val="single" w:sz="4" w:space="0" w:color="000000"/>
            </w:tcBorders>
            <w:shd w:val="clear" w:color="auto" w:fill="D3D3D3"/>
          </w:tcPr>
          <w:p>
            <w:pPr/>
          </w:p>
        </w:tc>
        <w:tc>
          <w:tcPr>
            <w:tcW w:w="574" w:type="dxa"/>
            <w:vMerge/>
            <w:tcBorders>
              <w:left w:val="single" w:sz="4" w:space="0" w:color="000000"/>
              <w:bottom w:val="nil" w:sz="6" w:space="0" w:color="auto"/>
              <w:right w:val="single" w:sz="4" w:space="0" w:color="000000"/>
            </w:tcBorders>
            <w:shd w:val="clear" w:color="auto" w:fill="D3D3D3"/>
          </w:tcPr>
          <w:p>
            <w:pPr/>
          </w:p>
        </w:tc>
        <w:tc>
          <w:tcPr>
            <w:tcW w:w="1592" w:type="dxa"/>
            <w:gridSpan w:val="3"/>
            <w:vMerge/>
            <w:tcBorders>
              <w:left w:val="single" w:sz="4" w:space="0" w:color="000000"/>
              <w:bottom w:val="single" w:sz="4" w:space="0" w:color="000000"/>
              <w:right w:val="single" w:sz="4" w:space="0" w:color="000000"/>
            </w:tcBorders>
            <w:shd w:val="clear" w:color="auto" w:fill="D3D3D3"/>
          </w:tcPr>
          <w:p>
            <w:pP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56"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3D3D3"/>
          </w:tcPr>
          <w:p>
            <w:pPr/>
          </w:p>
        </w:tc>
        <w:tc>
          <w:tcPr>
            <w:tcW w:w="57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78" w:type="dxa"/>
            <w:vMerge/>
            <w:tcBorders>
              <w:left w:val="single" w:sz="4" w:space="0" w:color="000000"/>
              <w:right w:val="single" w:sz="4" w:space="0" w:color="000000"/>
            </w:tcBorders>
            <w:shd w:val="clear" w:color="auto" w:fill="D3D3D3"/>
          </w:tcPr>
          <w:p>
            <w:pPr/>
          </w:p>
        </w:tc>
        <w:tc>
          <w:tcPr>
            <w:tcW w:w="652"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68" w:hRule="exact"/>
        </w:trPr>
        <w:tc>
          <w:tcPr>
            <w:tcW w:w="1426" w:type="dxa"/>
            <w:vMerge/>
            <w:tcBorders>
              <w:left w:val="single" w:sz="4" w:space="0" w:color="000000"/>
              <w:right w:val="single" w:sz="4" w:space="0" w:color="000000"/>
            </w:tcBorders>
            <w:shd w:val="clear" w:color="auto" w:fill="D3D3D3"/>
          </w:tcPr>
          <w:p>
            <w:pPr/>
          </w:p>
        </w:tc>
        <w:tc>
          <w:tcPr>
            <w:tcW w:w="574" w:type="dxa"/>
            <w:vMerge/>
            <w:tcBorders>
              <w:left w:val="single" w:sz="4" w:space="0" w:color="000000"/>
              <w:bottom w:val="nil" w:sz="6" w:space="0" w:color="auto"/>
              <w:right w:val="single" w:sz="4" w:space="0" w:color="000000"/>
            </w:tcBorders>
            <w:shd w:val="clear" w:color="auto" w:fill="D3D3D3"/>
          </w:tcPr>
          <w:p>
            <w:pPr/>
          </w:p>
        </w:tc>
        <w:tc>
          <w:tcPr>
            <w:tcW w:w="530" w:type="dxa"/>
            <w:vMerge/>
            <w:tcBorders>
              <w:left w:val="single" w:sz="4" w:space="0" w:color="000000"/>
              <w:right w:val="single" w:sz="4" w:space="0" w:color="000000"/>
            </w:tcBorders>
            <w:shd w:val="clear" w:color="auto" w:fill="D3D3D3"/>
          </w:tcPr>
          <w:p>
            <w:pPr/>
          </w:p>
        </w:tc>
        <w:tc>
          <w:tcPr>
            <w:tcW w:w="532" w:type="dxa"/>
            <w:vMerge/>
            <w:tcBorders>
              <w:left w:val="single" w:sz="4" w:space="0" w:color="000000"/>
              <w:right w:val="single" w:sz="4" w:space="0" w:color="000000"/>
            </w:tcBorders>
            <w:shd w:val="clear" w:color="auto" w:fill="D3D3D3"/>
          </w:tcPr>
          <w:p>
            <w:pPr/>
          </w:p>
        </w:tc>
        <w:tc>
          <w:tcPr>
            <w:tcW w:w="5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78" w:type="dxa"/>
            <w:vMerge/>
            <w:tcBorders>
              <w:left w:val="single" w:sz="4" w:space="0" w:color="000000"/>
              <w:right w:val="single" w:sz="4" w:space="0" w:color="000000"/>
            </w:tcBorders>
            <w:shd w:val="clear" w:color="auto" w:fill="D3D3D3"/>
          </w:tcPr>
          <w:p>
            <w:pPr/>
          </w:p>
        </w:tc>
        <w:tc>
          <w:tcPr>
            <w:tcW w:w="652" w:type="dxa"/>
            <w:vMerge/>
            <w:tcBorders>
              <w:left w:val="single" w:sz="4" w:space="0" w:color="000000"/>
              <w:bottom w:val="nil" w:sz="6" w:space="0" w:color="auto"/>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156" w:hRule="exact"/>
        </w:trPr>
        <w:tc>
          <w:tcPr>
            <w:tcW w:w="1426" w:type="dxa"/>
            <w:vMerge/>
            <w:tcBorders>
              <w:left w:val="single" w:sz="4" w:space="0" w:color="000000"/>
              <w:right w:val="single" w:sz="4" w:space="0" w:color="000000"/>
            </w:tcBorders>
            <w:shd w:val="clear" w:color="auto" w:fill="D3D3D3"/>
          </w:tcPr>
          <w:p>
            <w:pPr/>
          </w:p>
        </w:tc>
        <w:tc>
          <w:tcPr>
            <w:tcW w:w="574" w:type="dxa"/>
            <w:vMerge w:val="restart"/>
            <w:tcBorders>
              <w:top w:val="nil" w:sz="6" w:space="0" w:color="auto"/>
              <w:left w:val="single" w:sz="4" w:space="0" w:color="000000"/>
              <w:right w:val="single" w:sz="4" w:space="0" w:color="000000"/>
            </w:tcBorders>
            <w:shd w:val="clear" w:color="auto" w:fill="D3D3D3"/>
          </w:tcPr>
          <w:p>
            <w:pPr/>
          </w:p>
        </w:tc>
        <w:tc>
          <w:tcPr>
            <w:tcW w:w="530" w:type="dxa"/>
            <w:vMerge/>
            <w:tcBorders>
              <w:left w:val="single" w:sz="4" w:space="0" w:color="000000"/>
              <w:right w:val="single" w:sz="4" w:space="0" w:color="000000"/>
            </w:tcBorders>
            <w:shd w:val="clear" w:color="auto" w:fill="D3D3D3"/>
          </w:tcPr>
          <w:p>
            <w:pPr/>
          </w:p>
        </w:tc>
        <w:tc>
          <w:tcPr>
            <w:tcW w:w="532" w:type="dxa"/>
            <w:vMerge/>
            <w:tcBorders>
              <w:left w:val="single" w:sz="4" w:space="0" w:color="000000"/>
              <w:right w:val="single" w:sz="4" w:space="0" w:color="000000"/>
            </w:tcBorders>
            <w:shd w:val="clear" w:color="auto" w:fill="D3D3D3"/>
          </w:tcPr>
          <w:p>
            <w:pPr/>
          </w:p>
        </w:tc>
        <w:tc>
          <w:tcPr>
            <w:tcW w:w="530"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78" w:type="dxa"/>
            <w:vMerge/>
            <w:tcBorders>
              <w:left w:val="single" w:sz="4" w:space="0" w:color="000000"/>
              <w:bottom w:val="nil" w:sz="6" w:space="0" w:color="auto"/>
              <w:right w:val="single" w:sz="4" w:space="0" w:color="000000"/>
            </w:tcBorders>
            <w:shd w:val="clear" w:color="auto" w:fill="D3D3D3"/>
          </w:tcPr>
          <w:p>
            <w:pPr/>
          </w:p>
        </w:tc>
        <w:tc>
          <w:tcPr>
            <w:tcW w:w="652" w:type="dxa"/>
            <w:vMerge w:val="restart"/>
            <w:tcBorders>
              <w:top w:val="nil" w:sz="6" w:space="0" w:color="auto"/>
              <w:left w:val="single" w:sz="4" w:space="0" w:color="000000"/>
              <w:right w:val="single" w:sz="4" w:space="0" w:color="000000"/>
            </w:tcBorders>
            <w:shd w:val="clear" w:color="auto" w:fill="D3D3D3"/>
          </w:tcPr>
          <w:p>
            <w:pPr/>
          </w:p>
        </w:tc>
        <w:tc>
          <w:tcPr>
            <w:tcW w:w="659" w:type="dxa"/>
            <w:vMerge/>
            <w:tcBorders>
              <w:left w:val="single" w:sz="4" w:space="0" w:color="000000"/>
              <w:bottom w:val="nil" w:sz="6" w:space="0" w:color="auto"/>
              <w:right w:val="single" w:sz="4" w:space="0" w:color="000000"/>
            </w:tcBorders>
            <w:shd w:val="clear" w:color="auto" w:fill="D3D3D3"/>
          </w:tcPr>
          <w:p>
            <w:pPr/>
          </w:p>
        </w:tc>
      </w:tr>
      <w:tr>
        <w:trPr>
          <w:trHeight w:val="229" w:hRule="exact"/>
        </w:trPr>
        <w:tc>
          <w:tcPr>
            <w:tcW w:w="1426" w:type="dxa"/>
            <w:vMerge/>
            <w:tcBorders>
              <w:left w:val="single" w:sz="4" w:space="0" w:color="000000"/>
              <w:bottom w:val="single" w:sz="4" w:space="0" w:color="000000"/>
              <w:right w:val="single" w:sz="4" w:space="0" w:color="000000"/>
            </w:tcBorders>
            <w:shd w:val="clear" w:color="auto" w:fill="D3D3D3"/>
          </w:tcPr>
          <w:p>
            <w:pPr/>
          </w:p>
        </w:tc>
        <w:tc>
          <w:tcPr>
            <w:tcW w:w="574" w:type="dxa"/>
            <w:vMerge/>
            <w:tcBorders>
              <w:left w:val="single" w:sz="4" w:space="0" w:color="000000"/>
              <w:bottom w:val="single" w:sz="4" w:space="0" w:color="000000"/>
              <w:right w:val="single" w:sz="4" w:space="0" w:color="000000"/>
            </w:tcBorders>
            <w:shd w:val="clear" w:color="auto" w:fill="D3D3D3"/>
          </w:tcPr>
          <w:p>
            <w:pPr/>
          </w:p>
        </w:tc>
        <w:tc>
          <w:tcPr>
            <w:tcW w:w="530" w:type="dxa"/>
            <w:vMerge/>
            <w:tcBorders>
              <w:left w:val="single" w:sz="4" w:space="0" w:color="000000"/>
              <w:bottom w:val="single" w:sz="4" w:space="0" w:color="000000"/>
              <w:right w:val="single" w:sz="4" w:space="0" w:color="000000"/>
            </w:tcBorders>
            <w:shd w:val="clear" w:color="auto" w:fill="D3D3D3"/>
          </w:tcPr>
          <w:p>
            <w:pPr/>
          </w:p>
        </w:tc>
        <w:tc>
          <w:tcPr>
            <w:tcW w:w="532"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78" w:type="dxa"/>
            <w:tcBorders>
              <w:top w:val="nil" w:sz="6" w:space="0" w:color="auto"/>
              <w:left w:val="single" w:sz="4" w:space="0" w:color="000000"/>
              <w:bottom w:val="single" w:sz="4" w:space="0" w:color="000000"/>
              <w:right w:val="single" w:sz="4" w:space="0" w:color="000000"/>
            </w:tcBorders>
            <w:shd w:val="clear" w:color="auto" w:fill="D3D3D3"/>
          </w:tcPr>
          <w:p>
            <w:pPr/>
          </w:p>
        </w:tc>
        <w:tc>
          <w:tcPr>
            <w:tcW w:w="652" w:type="dxa"/>
            <w:vMerge/>
            <w:tcBorders>
              <w:left w:val="single" w:sz="4" w:space="0" w:color="000000"/>
              <w:bottom w:val="single" w:sz="4" w:space="0" w:color="000000"/>
              <w:right w:val="single" w:sz="4" w:space="0" w:color="000000"/>
            </w:tcBorders>
            <w:shd w:val="clear" w:color="auto" w:fill="D3D3D3"/>
          </w:tcPr>
          <w:p>
            <w:pPr/>
          </w:p>
        </w:tc>
        <w:tc>
          <w:tcPr>
            <w:tcW w:w="65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3D3D3"/>
          </w:tcPr>
          <w:p>
            <w:pPr/>
          </w:p>
        </w:tc>
        <w:tc>
          <w:tcPr>
            <w:tcW w:w="574" w:type="dxa"/>
            <w:vMerge w:val="restart"/>
            <w:tcBorders>
              <w:top w:val="single" w:sz="4" w:space="0" w:color="000000"/>
              <w:left w:val="single" w:sz="9" w:space="0" w:color="D3D3D3"/>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622,20</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363,642</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,750.88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3,462,9</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97.72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54,730,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315.23</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323,259</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,682.08</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14,662,</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442.23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1,381,9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58,188.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14</w:t>
            </w: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3D3D3"/>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3D3D3"/>
          </w:tcPr>
          <w:p>
            <w:pPr/>
          </w:p>
        </w:tc>
        <w:tc>
          <w:tcPr>
            <w:tcW w:w="574" w:type="dxa"/>
            <w:vMerge/>
            <w:tcBorders>
              <w:left w:val="single" w:sz="9" w:space="0" w:color="D3D3D3"/>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622,20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363,642</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,750.88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3,462,9</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97.72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54,730,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315.23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323,259</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,682.08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14,662,</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442.23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1,381,9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58,188.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14</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5,715,8</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61.41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5,788,7</w:t>
            </w:r>
          </w:p>
          <w:p>
            <w:pPr>
              <w:pStyle w:val="TableParagraph"/>
              <w:spacing w:line="240" w:lineRule="auto" w:before="106"/>
              <w:ind w:left="208" w:right="0"/>
              <w:jc w:val="center"/>
              <w:rPr>
                <w:rFonts w:ascii="Times New Roman" w:hAnsi="Times New Roman" w:cs="Times New Roman" w:eastAsia="Times New Roman" w:hint="default"/>
                <w:sz w:val="18"/>
                <w:szCs w:val="18"/>
              </w:rPr>
            </w:pPr>
            <w:r>
              <w:rPr>
                <w:rFonts w:ascii="Times New Roman"/>
                <w:sz w:val="18"/>
              </w:rPr>
              <w:t>11.05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3,233,8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18.80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21,611,</w:t>
            </w:r>
          </w:p>
          <w:p>
            <w:pPr>
              <w:pStyle w:val="TableParagraph"/>
              <w:spacing w:line="240" w:lineRule="auto" w:before="106"/>
              <w:ind w:left="150" w:right="0"/>
              <w:jc w:val="left"/>
              <w:rPr>
                <w:rFonts w:ascii="Times New Roman" w:hAnsi="Times New Roman" w:cs="Times New Roman" w:eastAsia="Times New Roman" w:hint="default"/>
                <w:sz w:val="18"/>
                <w:szCs w:val="18"/>
              </w:rPr>
            </w:pPr>
            <w:r>
              <w:rPr>
                <w:rFonts w:ascii="Times New Roman"/>
                <w:sz w:val="18"/>
              </w:rPr>
              <w:t>500.43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-5,351,</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419.39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30,998,</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472.30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5,788,7</w:t>
            </w:r>
          </w:p>
          <w:p>
            <w:pPr>
              <w:pStyle w:val="TableParagraph"/>
              <w:spacing w:line="240" w:lineRule="auto" w:before="106"/>
              <w:ind w:left="208" w:right="0"/>
              <w:jc w:val="center"/>
              <w:rPr>
                <w:rFonts w:ascii="Times New Roman" w:hAnsi="Times New Roman" w:cs="Times New Roman" w:eastAsia="Times New Roman" w:hint="default"/>
                <w:sz w:val="18"/>
                <w:szCs w:val="18"/>
              </w:rPr>
            </w:pPr>
            <w:r>
              <w:rPr>
                <w:rFonts w:ascii="Times New Roman"/>
                <w:sz w:val="18"/>
              </w:rPr>
              <w:t>11.05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24,845,</w:t>
            </w:r>
          </w:p>
          <w:p>
            <w:pPr>
              <w:pStyle w:val="TableParagraph"/>
              <w:spacing w:line="240" w:lineRule="auto" w:before="106"/>
              <w:ind w:left="150" w:right="0"/>
              <w:jc w:val="left"/>
              <w:rPr>
                <w:rFonts w:ascii="Times New Roman" w:hAnsi="Times New Roman" w:cs="Times New Roman" w:eastAsia="Times New Roman" w:hint="default"/>
                <w:sz w:val="18"/>
                <w:szCs w:val="18"/>
              </w:rPr>
            </w:pPr>
            <w:r>
              <w:rPr>
                <w:rFonts w:ascii="Times New Roman"/>
                <w:sz w:val="18"/>
              </w:rPr>
              <w:t>319.23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131,851</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.89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30,765,</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882.17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483,271</w:t>
            </w:r>
          </w:p>
          <w:p>
            <w:pPr>
              <w:pStyle w:val="TableParagraph"/>
              <w:spacing w:line="240" w:lineRule="auto" w:before="106"/>
              <w:ind w:left="408" w:right="0"/>
              <w:jc w:val="left"/>
              <w:rPr>
                <w:rFonts w:ascii="Times New Roman" w:hAnsi="Times New Roman" w:cs="Times New Roman" w:eastAsia="Times New Roman" w:hint="default"/>
                <w:sz w:val="18"/>
                <w:szCs w:val="18"/>
              </w:rPr>
            </w:pPr>
            <w:r>
              <w:rPr>
                <w:rFonts w:ascii="Times New Roman"/>
                <w:sz w:val="18"/>
              </w:rPr>
              <w:t>.28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-5,483,</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271.28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483,271</w:t>
            </w:r>
          </w:p>
          <w:p>
            <w:pPr>
              <w:pStyle w:val="TableParagraph"/>
              <w:spacing w:line="240" w:lineRule="auto" w:before="106"/>
              <w:ind w:left="408" w:right="0"/>
              <w:jc w:val="left"/>
              <w:rPr>
                <w:rFonts w:ascii="Times New Roman" w:hAnsi="Times New Roman" w:cs="Times New Roman" w:eastAsia="Times New Roman" w:hint="default"/>
                <w:sz w:val="18"/>
                <w:szCs w:val="18"/>
              </w:rPr>
            </w:pPr>
            <w:r>
              <w:rPr>
                <w:rFonts w:ascii="Times New Roman"/>
                <w:sz w:val="18"/>
              </w:rPr>
              <w:t>.28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-5,483,</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271.28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3,233,8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18.80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-3,233,8</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18.80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3,233,8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18.80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-3,233,8</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18.80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5,232,5</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90.13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5,232,5</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90.13</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622,20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369,358</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,612.29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9,251,7</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08.77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57,964,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134.03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344,871</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,182.51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9,311,0</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22.84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56,660.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258"/>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258"/>
        <w:jc w:val="left"/>
      </w:pPr>
      <w:r>
        <w:rPr/>
        <w:t>本期金额</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402" w:hRule="exact"/>
        </w:trPr>
        <w:tc>
          <w:tcPr>
            <w:tcW w:w="1430" w:type="dxa"/>
            <w:tcBorders>
              <w:top w:val="single" w:sz="4" w:space="0" w:color="000000"/>
              <w:left w:val="single" w:sz="4" w:space="0" w:color="000000"/>
              <w:bottom w:val="nil" w:sz="6" w:space="0" w:color="auto"/>
              <w:right w:val="single" w:sz="4" w:space="0" w:color="000000"/>
            </w:tcBorders>
            <w:shd w:val="clear" w:color="auto" w:fill="D3D3D3"/>
          </w:tcPr>
          <w:p>
            <w:pP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06" w:hRule="exact"/>
        </w:trPr>
        <w:tc>
          <w:tcPr>
            <w:tcW w:w="14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9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30" w:type="dxa"/>
            <w:vMerge/>
            <w:tcBorders>
              <w:left w:val="single" w:sz="4" w:space="0" w:color="000000"/>
              <w:bottom w:val="nil" w:sz="6" w:space="0" w:color="auto"/>
              <w:right w:val="single" w:sz="4" w:space="0" w:color="000000"/>
            </w:tcBorders>
            <w:shd w:val="clear" w:color="auto" w:fill="D3D3D3"/>
          </w:tcPr>
          <w:p>
            <w:pPr/>
          </w:p>
        </w:tc>
        <w:tc>
          <w:tcPr>
            <w:tcW w:w="69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vMerge/>
            <w:tcBorders>
              <w:left w:val="single" w:sz="4" w:space="0" w:color="000000"/>
              <w:bottom w:val="single" w:sz="4" w:space="0" w:color="000000"/>
              <w:right w:val="single" w:sz="4" w:space="0" w:color="000000"/>
            </w:tcBorders>
            <w:shd w:val="clear" w:color="auto" w:fill="D3D3D3"/>
          </w:tcPr>
          <w:p>
            <w:pPr/>
          </w:p>
        </w:tc>
        <w:tc>
          <w:tcPr>
            <w:tcW w:w="7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3D3D3"/>
          </w:tcPr>
          <w:p>
            <w:pPr/>
          </w:p>
        </w:tc>
        <w:tc>
          <w:tcPr>
            <w:tcW w:w="781" w:type="dxa"/>
            <w:vMerge/>
            <w:tcBorders>
              <w:left w:val="single" w:sz="4" w:space="0" w:color="000000"/>
              <w:right w:val="single" w:sz="4" w:space="0" w:color="000000"/>
            </w:tcBorders>
            <w:shd w:val="clear" w:color="auto" w:fill="D3D3D3"/>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3D3D3"/>
          </w:tcPr>
          <w:p>
            <w:pPr/>
          </w:p>
        </w:tc>
        <w:tc>
          <w:tcPr>
            <w:tcW w:w="691" w:type="dxa"/>
            <w:vMerge/>
            <w:tcBorders>
              <w:left w:val="single" w:sz="4" w:space="0" w:color="000000"/>
              <w:bottom w:val="nil" w:sz="6" w:space="0" w:color="auto"/>
              <w:right w:val="single" w:sz="4" w:space="0" w:color="000000"/>
            </w:tcBorders>
            <w:shd w:val="clear" w:color="auto" w:fill="D3D3D3"/>
          </w:tcPr>
          <w:p>
            <w:pP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bottom w:val="nil" w:sz="6" w:space="0" w:color="auto"/>
              <w:right w:val="single" w:sz="4" w:space="0" w:color="000000"/>
            </w:tcBorders>
            <w:shd w:val="clear" w:color="auto" w:fill="D3D3D3"/>
          </w:tcPr>
          <w:p>
            <w:pPr/>
          </w:p>
        </w:tc>
        <w:tc>
          <w:tcPr>
            <w:tcW w:w="797" w:type="dxa"/>
            <w:vMerge/>
            <w:tcBorders>
              <w:left w:val="single" w:sz="4" w:space="0" w:color="000000"/>
              <w:bottom w:val="nil" w:sz="6" w:space="0" w:color="auto"/>
              <w:right w:val="single" w:sz="4" w:space="0" w:color="000000"/>
            </w:tcBorders>
            <w:shd w:val="clear" w:color="auto" w:fill="D3D3D3"/>
          </w:tcPr>
          <w:p>
            <w:pPr/>
          </w:p>
        </w:tc>
        <w:tc>
          <w:tcPr>
            <w:tcW w:w="676" w:type="dxa"/>
            <w:vMerge/>
            <w:tcBorders>
              <w:left w:val="single" w:sz="4" w:space="0" w:color="000000"/>
              <w:right w:val="single" w:sz="4" w:space="0" w:color="000000"/>
            </w:tcBorders>
            <w:shd w:val="clear" w:color="auto" w:fill="D3D3D3"/>
          </w:tcPr>
          <w:p>
            <w:pPr/>
          </w:p>
        </w:tc>
        <w:tc>
          <w:tcPr>
            <w:tcW w:w="781" w:type="dxa"/>
            <w:vMerge/>
            <w:tcBorders>
              <w:left w:val="single" w:sz="4" w:space="0" w:color="000000"/>
              <w:right w:val="single" w:sz="4" w:space="0" w:color="000000"/>
            </w:tcBorders>
            <w:shd w:val="clear" w:color="auto" w:fill="D3D3D3"/>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3D3D3"/>
          </w:tcPr>
          <w:p>
            <w:pPr/>
          </w:p>
        </w:tc>
        <w:tc>
          <w:tcPr>
            <w:tcW w:w="691"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160" w:hRule="exact"/>
        </w:trPr>
        <w:tc>
          <w:tcPr>
            <w:tcW w:w="1430" w:type="dxa"/>
            <w:tcBorders>
              <w:top w:val="single" w:sz="4" w:space="0" w:color="000000"/>
              <w:left w:val="single" w:sz="4" w:space="0" w:color="000000"/>
              <w:bottom w:val="nil" w:sz="6" w:space="0" w:color="auto"/>
              <w:right w:val="single" w:sz="4" w:space="0" w:color="000000"/>
            </w:tcBorders>
            <w:shd w:val="clear" w:color="auto" w:fill="D3D3D3"/>
          </w:tcPr>
          <w:p>
            <w:pPr/>
          </w:p>
        </w:tc>
        <w:tc>
          <w:tcPr>
            <w:tcW w:w="691" w:type="dxa"/>
            <w:vMerge w:val="restart"/>
            <w:tcBorders>
              <w:top w:val="single" w:sz="4" w:space="0" w:color="000000"/>
              <w:left w:val="single" w:sz="10" w:space="0" w:color="D3D3D3"/>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622,200,</w:t>
            </w:r>
          </w:p>
          <w:p>
            <w:pPr>
              <w:pStyle w:val="TableParagraph"/>
              <w:spacing w:line="240" w:lineRule="auto" w:before="106"/>
              <w:ind w:left="133"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364,193,2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37.65</w:t>
            </w:r>
          </w:p>
        </w:tc>
        <w:tc>
          <w:tcPr>
            <w:tcW w:w="798" w:type="dxa"/>
            <w:vMerge w:val="restart"/>
            <w:tcBorders>
              <w:top w:val="single" w:sz="18" w:space="0" w:color="D3D3D3"/>
              <w:left w:val="single" w:sz="4" w:space="0" w:color="000000"/>
              <w:right w:val="single" w:sz="4" w:space="0" w:color="000000"/>
            </w:tcBorders>
          </w:tcPr>
          <w:p>
            <w:pPr/>
          </w:p>
        </w:tc>
        <w:tc>
          <w:tcPr>
            <w:tcW w:w="798" w:type="dxa"/>
            <w:vMerge w:val="restart"/>
            <w:tcBorders>
              <w:top w:val="single" w:sz="18" w:space="0" w:color="D3D3D3"/>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57,964,13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4.03</w:t>
            </w:r>
          </w:p>
        </w:tc>
        <w:tc>
          <w:tcPr>
            <w:tcW w:w="676" w:type="dxa"/>
            <w:vMerge w:val="restart"/>
            <w:tcBorders>
              <w:top w:val="single" w:sz="18" w:space="0" w:color="D3D3D3"/>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373,813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,797.59</w:t>
            </w:r>
          </w:p>
        </w:tc>
        <w:tc>
          <w:tcPr>
            <w:tcW w:w="781" w:type="dxa"/>
            <w:vMerge w:val="restart"/>
            <w:tcBorders>
              <w:top w:val="single" w:sz="18" w:space="0" w:color="D3D3D3"/>
              <w:left w:val="single" w:sz="4" w:space="0" w:color="000000"/>
              <w:right w:val="single" w:sz="4" w:space="0" w:color="000000"/>
            </w:tcBorders>
          </w:tcPr>
          <w:p>
            <w:pPr>
              <w:pStyle w:val="TableParagraph"/>
              <w:spacing w:line="240" w:lineRule="auto" w:before="73"/>
              <w:ind w:left="4" w:right="0"/>
              <w:jc w:val="center"/>
              <w:rPr>
                <w:rFonts w:ascii="Times New Roman" w:hAnsi="Times New Roman" w:cs="Times New Roman" w:eastAsia="Times New Roman" w:hint="default"/>
                <w:sz w:val="18"/>
                <w:szCs w:val="18"/>
              </w:rPr>
            </w:pPr>
            <w:r>
              <w:rPr>
                <w:rFonts w:ascii="Times New Roman"/>
                <w:sz w:val="18"/>
              </w:rPr>
              <w:t>1,418,171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,169.27</w:t>
            </w:r>
          </w:p>
        </w:tc>
      </w:tr>
      <w:tr>
        <w:trPr>
          <w:trHeight w:val="393" w:hRule="exact"/>
        </w:trPr>
        <w:tc>
          <w:tcPr>
            <w:tcW w:w="14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3D3D3"/>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0" w:hRule="exact"/>
        </w:trPr>
        <w:tc>
          <w:tcPr>
            <w:tcW w:w="1430" w:type="dxa"/>
            <w:tcBorders>
              <w:top w:val="nil" w:sz="6" w:space="0" w:color="auto"/>
              <w:left w:val="single" w:sz="4" w:space="0" w:color="000000"/>
              <w:bottom w:val="single" w:sz="4" w:space="0" w:color="000000"/>
              <w:right w:val="single" w:sz="4" w:space="0" w:color="000000"/>
            </w:tcBorders>
            <w:shd w:val="clear" w:color="auto" w:fill="D3D3D3"/>
          </w:tcPr>
          <w:p>
            <w:pPr/>
          </w:p>
        </w:tc>
        <w:tc>
          <w:tcPr>
            <w:tcW w:w="691" w:type="dxa"/>
            <w:vMerge/>
            <w:tcBorders>
              <w:left w:val="single" w:sz="10" w:space="0" w:color="D3D3D3"/>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0" w:hRule="exact"/>
        </w:trPr>
        <w:tc>
          <w:tcPr>
            <w:tcW w:w="1430" w:type="dxa"/>
            <w:tcBorders>
              <w:top w:val="single" w:sz="4" w:space="0" w:color="000000"/>
              <w:left w:val="single" w:sz="4" w:space="0" w:color="000000"/>
              <w:bottom w:val="nil" w:sz="6" w:space="0" w:color="auto"/>
              <w:right w:val="single" w:sz="4" w:space="0" w:color="000000"/>
            </w:tcBorders>
            <w:shd w:val="clear" w:color="auto" w:fill="D3D3D3"/>
          </w:tcPr>
          <w:p>
            <w:pPr/>
          </w:p>
        </w:tc>
        <w:tc>
          <w:tcPr>
            <w:tcW w:w="691" w:type="dxa"/>
            <w:vMerge w:val="restart"/>
            <w:tcBorders>
              <w:top w:val="single" w:sz="4" w:space="0" w:color="000000"/>
              <w:left w:val="single" w:sz="10" w:space="0" w:color="D3D3D3"/>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622,200,</w:t>
            </w:r>
          </w:p>
          <w:p>
            <w:pPr>
              <w:pStyle w:val="TableParagraph"/>
              <w:spacing w:line="240" w:lineRule="auto" w:before="106"/>
              <w:ind w:left="133"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364,193,2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37.65</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57,964,13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4.03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373,813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,797.59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1,418,171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,169.27</w:t>
            </w:r>
          </w:p>
        </w:tc>
      </w:tr>
      <w:tr>
        <w:trPr>
          <w:trHeight w:val="393" w:hRule="exact"/>
        </w:trPr>
        <w:tc>
          <w:tcPr>
            <w:tcW w:w="14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3D3D3"/>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0" w:hRule="exact"/>
        </w:trPr>
        <w:tc>
          <w:tcPr>
            <w:tcW w:w="1430" w:type="dxa"/>
            <w:tcBorders>
              <w:top w:val="nil" w:sz="6" w:space="0" w:color="auto"/>
              <w:left w:val="single" w:sz="4" w:space="0" w:color="000000"/>
              <w:bottom w:val="single" w:sz="4" w:space="0" w:color="000000"/>
              <w:right w:val="single" w:sz="4" w:space="0" w:color="000000"/>
            </w:tcBorders>
            <w:shd w:val="clear" w:color="auto" w:fill="D3D3D3"/>
          </w:tcPr>
          <w:p>
            <w:pPr/>
          </w:p>
        </w:tc>
        <w:tc>
          <w:tcPr>
            <w:tcW w:w="691" w:type="dxa"/>
            <w:vMerge/>
            <w:tcBorders>
              <w:left w:val="single" w:sz="10" w:space="0" w:color="D3D3D3"/>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4,580,732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35,004,</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590.98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39,585,32</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3.31</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45,807,</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323.31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45,807,32</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3.31</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1"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4,580,732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-10,802,</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732.33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-6,222,00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4,580,732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-4,580,7</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32.33</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-6,222,0</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-6,222,00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622,200,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364,193,2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37.65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62,544,86</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6.36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408,818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,388.57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1,457,756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,492.58</w:t>
            </w:r>
          </w:p>
        </w:tc>
      </w:tr>
    </w:tbl>
    <w:p>
      <w:pPr>
        <w:pStyle w:val="BodyText"/>
        <w:spacing w:line="240" w:lineRule="auto" w:before="51"/>
        <w:ind w:right="1258"/>
        <w:jc w:val="left"/>
      </w:pPr>
      <w:r>
        <w:rPr/>
        <w:t>上期金额</w:t>
      </w:r>
    </w:p>
    <w:p>
      <w:pPr>
        <w:pStyle w:val="BodyText"/>
        <w:spacing w:line="240" w:lineRule="auto" w:before="117"/>
        <w:ind w:left="0" w:right="151"/>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401" w:hRule="exact"/>
        </w:trPr>
        <w:tc>
          <w:tcPr>
            <w:tcW w:w="1418" w:type="dxa"/>
            <w:tcBorders>
              <w:top w:val="single" w:sz="4" w:space="0" w:color="000000"/>
              <w:left w:val="single" w:sz="4" w:space="0" w:color="000000"/>
              <w:bottom w:val="nil" w:sz="6" w:space="0" w:color="auto"/>
              <w:right w:val="single" w:sz="4" w:space="0" w:color="000000"/>
            </w:tcBorders>
            <w:shd w:val="clear" w:color="auto" w:fill="D3D3D3"/>
          </w:tcPr>
          <w:p>
            <w:pPr/>
          </w:p>
        </w:tc>
        <w:tc>
          <w:tcPr>
            <w:tcW w:w="8142"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06" w:hRule="exact"/>
        </w:trPr>
        <w:tc>
          <w:tcPr>
            <w:tcW w:w="141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3D3D3"/>
          </w:tcPr>
          <w:p>
            <w:pPr/>
          </w:p>
        </w:tc>
        <w:tc>
          <w:tcPr>
            <w:tcW w:w="199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18" w:type="dxa"/>
            <w:vMerge/>
            <w:tcBorders>
              <w:left w:val="single" w:sz="4" w:space="0" w:color="000000"/>
              <w:bottom w:val="nil" w:sz="6" w:space="0" w:color="auto"/>
              <w:right w:val="single" w:sz="4" w:space="0" w:color="000000"/>
            </w:tcBorders>
            <w:shd w:val="clear" w:color="auto" w:fill="D3D3D3"/>
          </w:tcPr>
          <w:p>
            <w:pPr/>
          </w:p>
        </w:tc>
        <w:tc>
          <w:tcPr>
            <w:tcW w:w="70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vMerge/>
            <w:tcBorders>
              <w:left w:val="single" w:sz="4" w:space="0" w:color="000000"/>
              <w:bottom w:val="single" w:sz="4" w:space="0" w:color="000000"/>
              <w:right w:val="single" w:sz="4" w:space="0" w:color="000000"/>
            </w:tcBorders>
            <w:shd w:val="clear" w:color="auto" w:fill="D3D3D3"/>
          </w:tcPr>
          <w:p>
            <w:pPr/>
          </w:p>
        </w:tc>
        <w:tc>
          <w:tcPr>
            <w:tcW w:w="7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3D3D3"/>
          </w:tcPr>
          <w:p>
            <w:pPr/>
          </w:p>
        </w:tc>
        <w:tc>
          <w:tcPr>
            <w:tcW w:w="781" w:type="dxa"/>
            <w:vMerge/>
            <w:tcBorders>
              <w:left w:val="single" w:sz="4" w:space="0" w:color="000000"/>
              <w:right w:val="single" w:sz="4" w:space="0" w:color="000000"/>
            </w:tcBorders>
            <w:shd w:val="clear" w:color="auto" w:fill="D3D3D3"/>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3D3D3"/>
          </w:tcPr>
          <w:p>
            <w:pPr/>
          </w:p>
        </w:tc>
        <w:tc>
          <w:tcPr>
            <w:tcW w:w="703" w:type="dxa"/>
            <w:vMerge/>
            <w:tcBorders>
              <w:left w:val="single" w:sz="4" w:space="0" w:color="000000"/>
              <w:bottom w:val="nil" w:sz="6" w:space="0" w:color="auto"/>
              <w:right w:val="single" w:sz="4" w:space="0" w:color="000000"/>
            </w:tcBorders>
            <w:shd w:val="clear" w:color="auto" w:fill="D3D3D3"/>
          </w:tcPr>
          <w:p>
            <w:pP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5"/>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5"/>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5"/>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8" w:type="dxa"/>
            <w:vMerge/>
            <w:tcBorders>
              <w:left w:val="single" w:sz="4" w:space="0" w:color="000000"/>
              <w:bottom w:val="nil" w:sz="6" w:space="0" w:color="auto"/>
              <w:right w:val="single" w:sz="4" w:space="0" w:color="000000"/>
            </w:tcBorders>
            <w:shd w:val="clear" w:color="auto" w:fill="D3D3D3"/>
          </w:tcPr>
          <w:p>
            <w:pPr/>
          </w:p>
        </w:tc>
        <w:tc>
          <w:tcPr>
            <w:tcW w:w="797" w:type="dxa"/>
            <w:vMerge/>
            <w:tcBorders>
              <w:left w:val="single" w:sz="4" w:space="0" w:color="000000"/>
              <w:bottom w:val="nil" w:sz="6" w:space="0" w:color="auto"/>
              <w:right w:val="single" w:sz="4" w:space="0" w:color="000000"/>
            </w:tcBorders>
            <w:shd w:val="clear" w:color="auto" w:fill="D3D3D3"/>
          </w:tcPr>
          <w:p>
            <w:pPr/>
          </w:p>
        </w:tc>
        <w:tc>
          <w:tcPr>
            <w:tcW w:w="676" w:type="dxa"/>
            <w:vMerge/>
            <w:tcBorders>
              <w:left w:val="single" w:sz="4" w:space="0" w:color="000000"/>
              <w:right w:val="single" w:sz="4" w:space="0" w:color="000000"/>
            </w:tcBorders>
            <w:shd w:val="clear" w:color="auto" w:fill="D3D3D3"/>
          </w:tcPr>
          <w:p>
            <w:pPr/>
          </w:p>
        </w:tc>
        <w:tc>
          <w:tcPr>
            <w:tcW w:w="781" w:type="dxa"/>
            <w:vMerge/>
            <w:tcBorders>
              <w:left w:val="single" w:sz="4" w:space="0" w:color="000000"/>
              <w:right w:val="single" w:sz="4" w:space="0" w:color="000000"/>
            </w:tcBorders>
            <w:shd w:val="clear" w:color="auto" w:fill="D3D3D3"/>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3D3D3"/>
          </w:tcPr>
          <w:p>
            <w:pPr/>
          </w:p>
        </w:tc>
        <w:tc>
          <w:tcPr>
            <w:tcW w:w="703"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3D3D3"/>
          </w:tcPr>
          <w:p>
            <w:pPr/>
          </w:p>
        </w:tc>
        <w:tc>
          <w:tcPr>
            <w:tcW w:w="703" w:type="dxa"/>
            <w:vMerge w:val="restart"/>
            <w:tcBorders>
              <w:top w:val="single" w:sz="4" w:space="0" w:color="000000"/>
              <w:left w:val="single" w:sz="10" w:space="0" w:color="D3D3D3"/>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622,200,</w:t>
            </w:r>
          </w:p>
          <w:p>
            <w:pPr>
              <w:pStyle w:val="TableParagraph"/>
              <w:spacing w:line="240" w:lineRule="auto" w:before="105"/>
              <w:ind w:left="145"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364,193,2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37.65</w:t>
            </w:r>
          </w:p>
        </w:tc>
        <w:tc>
          <w:tcPr>
            <w:tcW w:w="798" w:type="dxa"/>
            <w:vMerge w:val="restart"/>
            <w:tcBorders>
              <w:top w:val="single" w:sz="18" w:space="0" w:color="D3D3D3"/>
              <w:left w:val="single" w:sz="4" w:space="0" w:color="000000"/>
              <w:right w:val="single" w:sz="4" w:space="0" w:color="000000"/>
            </w:tcBorders>
          </w:tcPr>
          <w:p>
            <w:pPr/>
          </w:p>
        </w:tc>
        <w:tc>
          <w:tcPr>
            <w:tcW w:w="798" w:type="dxa"/>
            <w:vMerge w:val="restart"/>
            <w:tcBorders>
              <w:top w:val="single" w:sz="18" w:space="0" w:color="D3D3D3"/>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54,730,31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5.23</w:t>
            </w:r>
          </w:p>
        </w:tc>
        <w:tc>
          <w:tcPr>
            <w:tcW w:w="676" w:type="dxa"/>
            <w:vMerge w:val="restart"/>
            <w:tcBorders>
              <w:top w:val="single" w:sz="18" w:space="0" w:color="D3D3D3"/>
              <w:left w:val="single" w:sz="4" w:space="0" w:color="000000"/>
              <w:right w:val="single" w:sz="4" w:space="0" w:color="000000"/>
            </w:tcBorders>
          </w:tcPr>
          <w:p>
            <w:pPr>
              <w:pStyle w:val="TableParagraph"/>
              <w:spacing w:line="240" w:lineRule="auto" w:before="75"/>
              <w:ind w:left="58" w:right="0"/>
              <w:jc w:val="left"/>
              <w:rPr>
                <w:rFonts w:ascii="Times New Roman" w:hAnsi="Times New Roman" w:cs="Times New Roman" w:eastAsia="Times New Roman" w:hint="default"/>
                <w:sz w:val="18"/>
                <w:szCs w:val="18"/>
              </w:rPr>
            </w:pPr>
            <w:r>
              <w:rPr>
                <w:rFonts w:ascii="Times New Roman"/>
                <w:sz w:val="18"/>
              </w:rPr>
              <w:t>344,709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,428.38</w:t>
            </w:r>
          </w:p>
        </w:tc>
        <w:tc>
          <w:tcPr>
            <w:tcW w:w="781" w:type="dxa"/>
            <w:vMerge w:val="restart"/>
            <w:tcBorders>
              <w:top w:val="single" w:sz="18" w:space="0" w:color="D3D3D3"/>
              <w:left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18"/>
                <w:szCs w:val="18"/>
              </w:rPr>
            </w:pPr>
            <w:r>
              <w:rPr>
                <w:rFonts w:ascii="Times New Roman"/>
                <w:sz w:val="18"/>
              </w:rPr>
              <w:t>1,385,832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,981.26</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3D3D3"/>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3D3D3"/>
          </w:tcPr>
          <w:p>
            <w:pPr/>
          </w:p>
        </w:tc>
        <w:tc>
          <w:tcPr>
            <w:tcW w:w="703" w:type="dxa"/>
            <w:vMerge/>
            <w:tcBorders>
              <w:left w:val="single" w:sz="10" w:space="0" w:color="D3D3D3"/>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3D3D3"/>
          </w:tcPr>
          <w:p>
            <w:pPr/>
          </w:p>
        </w:tc>
        <w:tc>
          <w:tcPr>
            <w:tcW w:w="703" w:type="dxa"/>
            <w:vMerge w:val="restart"/>
            <w:tcBorders>
              <w:top w:val="single" w:sz="4" w:space="0" w:color="000000"/>
              <w:left w:val="single" w:sz="10" w:space="0" w:color="D3D3D3"/>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622,200,</w:t>
            </w:r>
          </w:p>
          <w:p>
            <w:pPr>
              <w:pStyle w:val="TableParagraph"/>
              <w:spacing w:line="240" w:lineRule="auto" w:before="105"/>
              <w:ind w:left="145"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364,193,2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37.65</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54,730,31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5.23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344,709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,428.38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1,385,832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,981.26</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3D3D3"/>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3D3D3"/>
          </w:tcPr>
          <w:p>
            <w:pPr/>
          </w:p>
        </w:tc>
        <w:tc>
          <w:tcPr>
            <w:tcW w:w="703" w:type="dxa"/>
            <w:vMerge/>
            <w:tcBorders>
              <w:left w:val="single" w:sz="10" w:space="0" w:color="D3D3D3"/>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三、本期增减变动</w:t>
            </w:r>
          </w:p>
        </w:tc>
        <w:tc>
          <w:tcPr>
            <w:tcW w:w="703" w:type="dxa"/>
            <w:tcBorders>
              <w:top w:val="single" w:sz="4" w:space="0" w:color="000000"/>
              <w:left w:val="single" w:sz="10"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3,233,818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Times New Roman" w:hAnsi="Times New Roman" w:cs="Times New Roman" w:eastAsia="Times New Roman" w:hint="default"/>
                <w:sz w:val="18"/>
                <w:szCs w:val="18"/>
              </w:rPr>
            </w:pPr>
            <w:r>
              <w:rPr>
                <w:rFonts w:ascii="Times New Roman"/>
                <w:sz w:val="18"/>
              </w:rPr>
              <w:t>29,104,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32,338,18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67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10"/>
              <w:ind w:left="22" w:right="21"/>
              <w:jc w:val="left"/>
              <w:rPr>
                <w:rFonts w:ascii="宋体" w:hAnsi="宋体" w:cs="宋体" w:eastAsia="宋体" w:hint="default"/>
                <w:sz w:val="18"/>
                <w:szCs w:val="18"/>
              </w:rPr>
            </w:pP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.80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8" w:right="0"/>
              <w:jc w:val="left"/>
              <w:rPr>
                <w:rFonts w:ascii="Times New Roman" w:hAnsi="Times New Roman" w:cs="Times New Roman" w:eastAsia="Times New Roman" w:hint="default"/>
                <w:sz w:val="18"/>
                <w:szCs w:val="18"/>
              </w:rPr>
            </w:pPr>
            <w:r>
              <w:rPr>
                <w:rFonts w:ascii="Times New Roman"/>
                <w:sz w:val="18"/>
              </w:rPr>
              <w:t>369.21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3" w:right="0"/>
              <w:jc w:val="left"/>
              <w:rPr>
                <w:rFonts w:ascii="Times New Roman" w:hAnsi="Times New Roman" w:cs="Times New Roman" w:eastAsia="Times New Roman" w:hint="default"/>
                <w:sz w:val="18"/>
                <w:szCs w:val="18"/>
              </w:rPr>
            </w:pPr>
            <w:r>
              <w:rPr>
                <w:rFonts w:ascii="Times New Roman"/>
                <w:sz w:val="18"/>
              </w:rPr>
              <w:t>8.01</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32,338,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188.01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32,338,18</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8.01</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3,233,818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-3,233,8</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18.80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3,233,818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-3,233,8</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18.80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622,200,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364,193,2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37.65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57,964,13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4.03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373,813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,797.59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1,418,171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,169.27</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184"/>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81" w:lineRule="auto"/>
        <w:ind w:left="514" w:right="184"/>
        <w:jc w:val="left"/>
      </w:pPr>
      <w:r>
        <w:rPr/>
        <w:t>1、历史沿革 </w:t>
      </w:r>
      <w:r>
        <w:rPr>
          <w:spacing w:val="-2"/>
        </w:rPr>
        <w:t>福建榕基软件股份有限公司（原名“福建榕基软件开发有限公司”，以下简称“本公司”）原由刘启鄂、侯伟及宁金成</w:t>
      </w:r>
    </w:p>
    <w:p>
      <w:pPr>
        <w:pStyle w:val="BodyText"/>
        <w:spacing w:line="206" w:lineRule="exact"/>
        <w:ind w:right="0"/>
        <w:jc w:val="left"/>
      </w:pPr>
      <w:r>
        <w:rPr/>
        <w:t>等三个自然人股东共同投资设立，于1993年10月22日取得《企业法人营业执照》。2007年10月23日采取发起方式整体变更为</w:t>
      </w:r>
    </w:p>
    <w:p>
      <w:pPr>
        <w:pStyle w:val="BodyText"/>
        <w:spacing w:line="316" w:lineRule="auto" w:before="76"/>
        <w:ind w:left="153" w:right="188"/>
        <w:jc w:val="both"/>
      </w:pPr>
      <w:r>
        <w:rPr/>
        <w:t>福建榕基软件股份有限公司，取得福建省工商行政管理局核发的350000100001214号《企业法人营业执照》，注册资本变更</w:t>
      </w:r>
      <w:r>
        <w:rPr>
          <w:spacing w:val="-84"/>
        </w:rPr>
        <w:t> </w:t>
      </w:r>
      <w:r>
        <w:rPr>
          <w:spacing w:val="-84"/>
        </w:rPr>
      </w:r>
      <w:r>
        <w:rPr>
          <w:spacing w:val="7"/>
        </w:rPr>
        <w:t>为人民币7,770万元，股本总额为7,770万股，每股面值1元。2010年8月11日，经中国证券监督管理委员会“证监许可</w:t>
      </w:r>
      <w:r>
        <w:rPr>
          <w:spacing w:val="-81"/>
        </w:rPr>
        <w:t> </w:t>
      </w:r>
      <w:r>
        <w:rPr>
          <w:spacing w:val="-81"/>
        </w:rPr>
      </w:r>
      <w:r>
        <w:rPr>
          <w:spacing w:val="-2"/>
        </w:rPr>
        <w:t>[2010]1099号”文《关于核准福建榕基软件股份有限公司首次公开发行股票的批复》核准，本公司于2010年9月1日首次向社</w:t>
      </w:r>
      <w:r>
        <w:rPr>
          <w:spacing w:val="-50"/>
        </w:rPr>
        <w:t> </w:t>
      </w:r>
      <w:r>
        <w:rPr>
          <w:spacing w:val="-50"/>
        </w:rPr>
      </w:r>
      <w:r>
        <w:rPr/>
        <w:t>会公开发行人民币普通股（A股）2,600万股，每股面值1元，每股发行价格37.00元。2010年9月15日，本公司向社会公开发</w:t>
      </w:r>
      <w:r>
        <w:rPr>
          <w:spacing w:val="-84"/>
        </w:rPr>
        <w:t> </w:t>
      </w:r>
      <w:r>
        <w:rPr>
          <w:spacing w:val="-84"/>
        </w:rPr>
      </w:r>
      <w:r>
        <w:rPr>
          <w:spacing w:val="-2"/>
        </w:rPr>
        <w:t>行的2,600万股人民币普通股（A股）在深圳证券交易所挂牌上市（股票简称：榕基软件，股票代码002474），发行后注册资</w:t>
      </w:r>
      <w:r>
        <w:rPr>
          <w:spacing w:val="-53"/>
        </w:rPr>
        <w:t> </w:t>
      </w:r>
      <w:r>
        <w:rPr>
          <w:spacing w:val="-53"/>
        </w:rPr>
      </w:r>
      <w:r>
        <w:rPr/>
        <w:t>本变更为人民币10,370万元。</w:t>
      </w:r>
    </w:p>
    <w:p>
      <w:pPr>
        <w:pStyle w:val="BodyText"/>
        <w:spacing w:line="240" w:lineRule="auto" w:before="80"/>
        <w:ind w:left="513" w:right="184"/>
        <w:jc w:val="left"/>
      </w:pPr>
      <w:r>
        <w:rPr/>
        <w:t>2010年10月29日，本公司办理完成相关工商登记变更手续，注册资本和股本均由7,770万元变更为10,370万元。</w:t>
      </w:r>
    </w:p>
    <w:p>
      <w:pPr>
        <w:pStyle w:val="BodyText"/>
        <w:spacing w:line="316" w:lineRule="auto" w:before="139"/>
        <w:ind w:left="153" w:right="98" w:firstLine="360"/>
        <w:jc w:val="both"/>
      </w:pPr>
      <w:r>
        <w:rPr/>
        <w:t>2012年4月24日，本公司将资本公积10,370万元转增资本，转增后注册资本变更为人民币20,740万元。2012年6月18日， 本公司办理完成相关工商登记变更手续，注册资本和股本均由10,370万元变更为20,740万元。</w:t>
      </w:r>
    </w:p>
    <w:p>
      <w:pPr>
        <w:pStyle w:val="BodyText"/>
        <w:spacing w:line="316" w:lineRule="auto" w:before="81"/>
        <w:ind w:left="153" w:right="188" w:firstLine="360"/>
        <w:jc w:val="both"/>
      </w:pPr>
      <w:r>
        <w:rPr/>
        <w:t>2013年4月19日，本公司将资本公积10,370万元转增资本，转增后注册资本变更为31,110万元。2013年6月4日，本公司 办理完成相关工商登记变更手续，注册资本和股本均由20,740万元变更为31,110万元。</w:t>
      </w:r>
    </w:p>
    <w:p>
      <w:pPr>
        <w:pStyle w:val="BodyText"/>
        <w:spacing w:line="316" w:lineRule="auto" w:before="80"/>
        <w:ind w:left="153" w:right="188" w:firstLine="360"/>
        <w:jc w:val="both"/>
      </w:pPr>
      <w:r>
        <w:rPr/>
        <w:t>2014年5月8日，本公司将资本公积31,110万元转增资本，转增后注册资本变更为62,220万元。2014年5月29日，本公司 办理完成相关工商登记变更手续，注册资本和股本均由31,110万元变更为62,220万元。</w:t>
      </w:r>
    </w:p>
    <w:p>
      <w:pPr>
        <w:pStyle w:val="BodyText"/>
        <w:spacing w:line="316" w:lineRule="auto" w:before="81"/>
        <w:ind w:left="153" w:right="188" w:firstLine="360"/>
        <w:jc w:val="both"/>
      </w:pPr>
      <w:r>
        <w:rPr/>
        <w:t>2016年1月14日，本公司向福建省工商行政管理局申请并完成了“三证合一”的工商变更登记，新取得的《营业执照》 统一社会信用代码为913500006285075795。</w:t>
      </w:r>
    </w:p>
    <w:p>
      <w:pPr>
        <w:pStyle w:val="BodyText"/>
        <w:spacing w:line="381" w:lineRule="auto" w:before="81"/>
        <w:ind w:left="513" w:right="2791"/>
        <w:jc w:val="left"/>
      </w:pPr>
      <w:r>
        <w:rPr/>
        <w:t>2、法人代表及公司地址 本公司法定代表人为鲁峰，本公司住址为福州市鼓楼区铜盘路福州软件园产业基地。 3、组织架构</w:t>
      </w:r>
    </w:p>
    <w:p>
      <w:pPr>
        <w:pStyle w:val="BodyText"/>
        <w:spacing w:line="316" w:lineRule="auto" w:before="32"/>
        <w:ind w:left="153" w:right="191" w:firstLine="360"/>
        <w:jc w:val="both"/>
      </w:pPr>
      <w:r>
        <w:rPr>
          <w:spacing w:val="-2"/>
        </w:rPr>
        <w:t>本公司建立了股东大会、董事会、监事会的法人治理结构，目前设总裁办公室、研发部、财务部、证券部、人力资源部</w:t>
      </w:r>
      <w:r>
        <w:rPr/>
        <w:t> 等部门，拥有浙江榕基信息技术有限公司、榕基五一（北京）信息技术有限公司等15家子公司及5家孙公司。</w:t>
      </w:r>
    </w:p>
    <w:p>
      <w:pPr>
        <w:pStyle w:val="BodyText"/>
        <w:spacing w:line="381" w:lineRule="auto" w:before="80"/>
        <w:ind w:left="513" w:right="184"/>
        <w:jc w:val="left"/>
      </w:pPr>
      <w:r>
        <w:rPr/>
        <w:t>4、行业性质及经营范围 </w:t>
      </w:r>
      <w:r>
        <w:rPr>
          <w:spacing w:val="-2"/>
        </w:rPr>
        <w:t>本公司及子公司（以下简称“本集团”）所处行业主要为信息技术行业，本集团经营范围主要包括：计算机及网络软件</w:t>
      </w:r>
    </w:p>
    <w:p>
      <w:pPr>
        <w:pStyle w:val="BodyText"/>
        <w:spacing w:line="206" w:lineRule="exact"/>
        <w:ind w:left="153" w:right="0"/>
        <w:jc w:val="left"/>
      </w:pPr>
      <w:r>
        <w:rPr/>
        <w:t>开发服务；计算机硬件技术服务；电子计算机及配件的批发零售；对外贸易；电子与智能化工程设计与施工服务；建筑机电</w:t>
      </w:r>
    </w:p>
    <w:p>
      <w:pPr>
        <w:pStyle w:val="BodyText"/>
        <w:spacing w:line="381" w:lineRule="auto" w:before="76"/>
        <w:ind w:left="513" w:right="184" w:hanging="360"/>
        <w:jc w:val="left"/>
      </w:pPr>
      <w:r>
        <w:rPr/>
        <w:t>安装工程设计与施工服务；安防工程设计与施工服务；房地产业的投资。 本财务报表及财务报表附注业经本公司第四届董事会第九次会议于2018年4月2日批准。 </w:t>
      </w:r>
      <w:r>
        <w:rPr>
          <w:spacing w:val="-4"/>
        </w:rPr>
        <w:t>本公司2017年度纳入合并范围的子公司15家、孙公司5家，各家子、孙公司情况详见附注“七、在其他主体中的权益”。</w:t>
      </w:r>
    </w:p>
    <w:p>
      <w:pPr>
        <w:pStyle w:val="BodyText"/>
        <w:spacing w:line="206" w:lineRule="exact"/>
        <w:ind w:left="153" w:right="184"/>
        <w:jc w:val="left"/>
      </w:pPr>
      <w:r>
        <w:rPr/>
        <w:t>本集团本年度合并范围比上年度增加1家，新纳入合并范围的子公司情况详见附注“六、合并范围的变动”。</w:t>
      </w:r>
    </w:p>
    <w:p>
      <w:pPr>
        <w:spacing w:line="240" w:lineRule="auto" w:before="2"/>
        <w:rPr>
          <w:rFonts w:ascii="宋体" w:hAnsi="宋体" w:cs="宋体" w:eastAsia="宋体" w:hint="default"/>
          <w:sz w:val="25"/>
          <w:szCs w:val="25"/>
        </w:rPr>
      </w:pPr>
    </w:p>
    <w:p>
      <w:pPr>
        <w:pStyle w:val="Heading2"/>
        <w:spacing w:line="240" w:lineRule="auto"/>
        <w:ind w:left="153" w:right="184"/>
        <w:jc w:val="left"/>
        <w:rPr>
          <w:b w:val="0"/>
          <w:bCs w:val="0"/>
        </w:rPr>
      </w:pP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84"/>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53" w:right="190" w:firstLine="360"/>
        <w:jc w:val="both"/>
      </w:pPr>
      <w:r>
        <w:rPr>
          <w:spacing w:val="-5"/>
        </w:rPr>
        <w:t>本财务报表按照财政部颁布的企业会计准则及其应用指南、解释及其他有关规定（统称“企业会计准则”）编制。此外，</w:t>
      </w:r>
      <w:r>
        <w:rPr/>
        <w:t> </w:t>
      </w:r>
      <w:r>
        <w:rPr>
          <w:spacing w:val="-2"/>
        </w:rPr>
        <w:t>本集团还按照中国证监会《公开发行证券的公司信息披露编报规则第15号—财务报告的一般规定》（2014年修订）披露有关</w:t>
      </w:r>
      <w:r>
        <w:rPr>
          <w:spacing w:val="-59"/>
        </w:rPr>
        <w:t> </w:t>
      </w:r>
      <w:r>
        <w:rPr>
          <w:spacing w:val="-59"/>
        </w:rPr>
      </w:r>
      <w:r>
        <w:rPr/>
        <w:t>财务信息。</w:t>
      </w:r>
    </w:p>
    <w:p>
      <w:pPr>
        <w:spacing w:after="0" w:line="316" w:lineRule="auto"/>
        <w:jc w:val="both"/>
        <w:sectPr>
          <w:pgSz w:w="11910" w:h="16840"/>
          <w:pgMar w:header="877" w:footer="982" w:top="1100" w:bottom="1180" w:left="980" w:right="940"/>
        </w:sectPr>
      </w:pPr>
    </w:p>
    <w:p>
      <w:pPr>
        <w:spacing w:line="240" w:lineRule="auto" w:before="10"/>
        <w:rPr>
          <w:rFonts w:ascii="宋体" w:hAnsi="宋体" w:cs="宋体" w:eastAsia="宋体" w:hint="default"/>
          <w:sz w:val="20"/>
          <w:szCs w:val="20"/>
        </w:rPr>
      </w:pPr>
    </w:p>
    <w:p>
      <w:pPr>
        <w:pStyle w:val="Heading3"/>
        <w:spacing w:line="240" w:lineRule="auto" w:before="35"/>
        <w:ind w:right="184"/>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381" w:lineRule="auto"/>
        <w:ind w:left="514" w:right="90"/>
        <w:jc w:val="left"/>
      </w:pPr>
      <w:r>
        <w:rPr/>
        <w:t>本财务报表以持续经营为基础列报。 本集团会计核算以权责发生制为基础。除某些金融工具外，本财务报表均以历史成本为计量基础。资产如果发生减值，</w:t>
      </w:r>
    </w:p>
    <w:p>
      <w:pPr>
        <w:pStyle w:val="BodyText"/>
        <w:spacing w:line="206" w:lineRule="exact"/>
        <w:ind w:right="184"/>
        <w:jc w:val="left"/>
      </w:pPr>
      <w:r>
        <w:rPr/>
        <w:t>则按照相关规定计提相应的减值准备。</w:t>
      </w:r>
    </w:p>
    <w:p>
      <w:pPr>
        <w:spacing w:line="240" w:lineRule="auto" w:before="1"/>
        <w:rPr>
          <w:rFonts w:ascii="宋体" w:hAnsi="宋体" w:cs="宋体" w:eastAsia="宋体" w:hint="default"/>
          <w:sz w:val="25"/>
          <w:szCs w:val="25"/>
        </w:rPr>
      </w:pPr>
    </w:p>
    <w:p>
      <w:pPr>
        <w:pStyle w:val="Heading2"/>
        <w:spacing w:line="240" w:lineRule="auto"/>
        <w:ind w:right="184"/>
        <w:jc w:val="left"/>
        <w:rPr>
          <w:b w:val="0"/>
          <w:bCs w:val="0"/>
        </w:rPr>
      </w:pPr>
      <w:r>
        <w:rPr/>
        <w:t>五、重要会计政策及会计估计</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6751"/>
        <w:jc w:val="left"/>
      </w:pPr>
      <w:r>
        <w:rPr/>
        <w:t>公司是否需要遵守特殊行业的披露要求 否</w:t>
      </w:r>
    </w:p>
    <w:p>
      <w:pPr>
        <w:pStyle w:val="BodyText"/>
        <w:spacing w:line="379" w:lineRule="auto" w:before="49"/>
        <w:ind w:left="513" w:right="91" w:hanging="360"/>
        <w:jc w:val="left"/>
      </w:pPr>
      <w:r>
        <w:rPr/>
        <w:t>具体会计政策和会计估计提示： 本集团根据自身生产经营特点，确定研发费用资本化条件以及收入确认政策，具体会计政策参见附注三、19和附注三、</w:t>
      </w:r>
    </w:p>
    <w:p>
      <w:pPr>
        <w:pStyle w:val="BodyText"/>
        <w:spacing w:line="208" w:lineRule="exact"/>
        <w:ind w:left="153" w:right="184"/>
        <w:jc w:val="left"/>
      </w:pPr>
      <w:r>
        <w:rPr/>
        <w:t>23。</w:t>
      </w:r>
    </w:p>
    <w:p>
      <w:pPr>
        <w:spacing w:line="240" w:lineRule="auto" w:before="12"/>
        <w:rPr>
          <w:rFonts w:ascii="宋体" w:hAnsi="宋体" w:cs="宋体" w:eastAsia="宋体" w:hint="default"/>
          <w:sz w:val="26"/>
          <w:szCs w:val="26"/>
        </w:rPr>
      </w:pPr>
    </w:p>
    <w:p>
      <w:pPr>
        <w:pStyle w:val="Heading3"/>
        <w:spacing w:line="240" w:lineRule="auto"/>
        <w:ind w:right="184"/>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84" w:firstLine="360"/>
        <w:jc w:val="left"/>
      </w:pPr>
      <w:r>
        <w:rPr>
          <w:spacing w:val="-2"/>
        </w:rPr>
        <w:t>本财务报表符合企业会计准则的要求，真实、完整地反映了本公司2017年12月31日的合并及公司财务状况以及2017年度</w:t>
      </w:r>
      <w:r>
        <w:rPr/>
        <w:t> 的合并及公司经营成果和合并及公司现金流量等有关信息。</w:t>
      </w:r>
    </w:p>
    <w:p>
      <w:pPr>
        <w:spacing w:line="240" w:lineRule="auto" w:before="6"/>
        <w:rPr>
          <w:rFonts w:ascii="宋体" w:hAnsi="宋体" w:cs="宋体" w:eastAsia="宋体" w:hint="default"/>
          <w:sz w:val="22"/>
          <w:szCs w:val="22"/>
        </w:rPr>
      </w:pPr>
    </w:p>
    <w:p>
      <w:pPr>
        <w:pStyle w:val="Heading3"/>
        <w:spacing w:line="240" w:lineRule="auto"/>
        <w:ind w:right="184"/>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184"/>
        <w:jc w:val="left"/>
      </w:pPr>
      <w:r>
        <w:rPr/>
        <w:t>本集团会计期间采用公历年度，即每年自1月1日起至12月31日止。</w:t>
      </w:r>
    </w:p>
    <w:p>
      <w:pPr>
        <w:spacing w:line="240" w:lineRule="auto" w:before="11"/>
        <w:rPr>
          <w:rFonts w:ascii="宋体" w:hAnsi="宋体" w:cs="宋体" w:eastAsia="宋体" w:hint="default"/>
          <w:sz w:val="26"/>
          <w:szCs w:val="26"/>
        </w:rPr>
      </w:pPr>
    </w:p>
    <w:p>
      <w:pPr>
        <w:pStyle w:val="Heading3"/>
        <w:spacing w:line="240" w:lineRule="auto"/>
        <w:ind w:right="184"/>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184"/>
        <w:jc w:val="left"/>
      </w:pPr>
      <w:r>
        <w:rPr/>
        <w:t>本集团的营业周期为12个月。</w:t>
      </w:r>
    </w:p>
    <w:p>
      <w:pPr>
        <w:spacing w:line="240" w:lineRule="auto" w:before="11"/>
        <w:rPr>
          <w:rFonts w:ascii="宋体" w:hAnsi="宋体" w:cs="宋体" w:eastAsia="宋体" w:hint="default"/>
          <w:sz w:val="26"/>
          <w:szCs w:val="26"/>
        </w:rPr>
      </w:pPr>
    </w:p>
    <w:p>
      <w:pPr>
        <w:pStyle w:val="Heading3"/>
        <w:spacing w:line="240" w:lineRule="auto"/>
        <w:ind w:right="184"/>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53" w:right="184" w:firstLine="360"/>
        <w:jc w:val="left"/>
      </w:pPr>
      <w:r>
        <w:rPr>
          <w:spacing w:val="-2"/>
        </w:rPr>
        <w:t>本公司及境内子公司以人民币为记账本位币。本公司之境外子公司根据其经营所处的主要经济环境中的货币确定港币为</w:t>
      </w:r>
      <w:r>
        <w:rPr/>
        <w:t> 其记账本位币。本集团编制本财务报表时所采用的货币为人民币。</w:t>
      </w:r>
    </w:p>
    <w:p>
      <w:pPr>
        <w:spacing w:line="240" w:lineRule="auto" w:before="6"/>
        <w:rPr>
          <w:rFonts w:ascii="宋体" w:hAnsi="宋体" w:cs="宋体" w:eastAsia="宋体" w:hint="default"/>
          <w:sz w:val="22"/>
          <w:szCs w:val="22"/>
        </w:rPr>
      </w:pPr>
    </w:p>
    <w:p>
      <w:pPr>
        <w:pStyle w:val="Heading3"/>
        <w:spacing w:line="240" w:lineRule="auto"/>
        <w:ind w:right="184"/>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81" w:lineRule="auto"/>
        <w:ind w:left="514" w:right="184"/>
        <w:jc w:val="left"/>
      </w:pPr>
      <w:r>
        <w:rPr/>
        <w:t>（1）同一控制下的企业合并 </w:t>
      </w:r>
      <w:r>
        <w:rPr>
          <w:spacing w:val="-2"/>
        </w:rPr>
        <w:t>对于同一控制下的企业合并，合并方在合并中取得的被合并方的资产、负债，除因会计政策不同而进行的调整以外，按</w:t>
      </w:r>
    </w:p>
    <w:p>
      <w:pPr>
        <w:pStyle w:val="BodyText"/>
        <w:spacing w:line="206" w:lineRule="exact"/>
        <w:ind w:right="91"/>
        <w:jc w:val="left"/>
      </w:pPr>
      <w:r>
        <w:rPr/>
        <w:t>合并日被合并方在最终控制方合并财务报表中的账面价值计量</w:t>
      </w:r>
      <w:r>
        <w:rPr>
          <w:spacing w:val="-82"/>
        </w:rPr>
        <w:t>。</w:t>
      </w:r>
      <w:r>
        <w:rPr/>
        <w:t>合并对价的账面价值与合并中取得的净资产账面价值的差额</w:t>
      </w:r>
    </w:p>
    <w:p>
      <w:pPr>
        <w:pStyle w:val="BodyText"/>
        <w:spacing w:line="381" w:lineRule="auto" w:before="76"/>
        <w:ind w:left="513" w:right="184" w:hanging="360"/>
        <w:jc w:val="left"/>
      </w:pPr>
      <w:r>
        <w:rPr/>
        <w:t>调整资本公积（股本溢价），资本公积（股本溢价）不足冲减的，调整留存收益。 通过多次交易分步实现同一控制下的企业合并 </w:t>
      </w:r>
      <w:r>
        <w:rPr>
          <w:spacing w:val="-2"/>
        </w:rPr>
        <w:t>在个别财务报表中，以合并日持股比例计算的合并日应享有被合并方净资产在最终控制方合并财务报表中的账面价值的</w:t>
      </w:r>
    </w:p>
    <w:p>
      <w:pPr>
        <w:pStyle w:val="BodyText"/>
        <w:spacing w:line="206" w:lineRule="exact"/>
        <w:ind w:left="153" w:right="91"/>
        <w:jc w:val="left"/>
      </w:pPr>
      <w:r>
        <w:rPr/>
        <w:t>份额作为该项投资的初始投资成本</w:t>
      </w:r>
      <w:r>
        <w:rPr>
          <w:spacing w:val="-82"/>
        </w:rPr>
        <w:t>；</w:t>
      </w:r>
      <w:r>
        <w:rPr/>
        <w:t>初始投资成本与合并前持有投资的账面价值加上合并日新支付对价的账面价值之和的差</w:t>
      </w:r>
    </w:p>
    <w:p>
      <w:pPr>
        <w:pStyle w:val="BodyText"/>
        <w:spacing w:line="381" w:lineRule="auto" w:before="76"/>
        <w:ind w:left="513" w:right="184" w:hanging="360"/>
        <w:jc w:val="left"/>
      </w:pPr>
      <w:r>
        <w:rPr/>
        <w:t>额，调整资本公积（股本溢价），资本公积（股本溢价）不足冲减的，调整留存收益。 </w:t>
      </w:r>
      <w:r>
        <w:rPr>
          <w:spacing w:val="-2"/>
        </w:rPr>
        <w:t>在合并财务报表中，合并方在合并中取得的被合并方的资产、负债，除因会计政策不同而进行的调整以外，按合并日在</w:t>
      </w:r>
    </w:p>
    <w:p>
      <w:pPr>
        <w:spacing w:after="0" w:line="381"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16" w:lineRule="auto" w:before="44"/>
        <w:ind w:left="153" w:right="101"/>
        <w:jc w:val="both"/>
      </w:pPr>
      <w:r>
        <w:rPr>
          <w:spacing w:val="-2"/>
        </w:rPr>
        <w:t>最终控制方合并财务报表中的账面价值计量；合并前持有投资的账面价值加上合并日新支付对价的账面价值之和，与合并中</w:t>
      </w:r>
      <w:r>
        <w:rPr>
          <w:spacing w:val="-64"/>
        </w:rPr>
        <w:t> </w:t>
      </w:r>
      <w:r>
        <w:rPr>
          <w:spacing w:val="-64"/>
        </w:rPr>
      </w:r>
      <w:r>
        <w:rPr>
          <w:spacing w:val="-2"/>
        </w:rPr>
        <w:t>取得的净资产账面价值的差额，调整资本公积（股本溢价），资本公积（股本溢价）不足冲减的，调整留存收益。合并方在</w:t>
      </w:r>
      <w:r>
        <w:rPr>
          <w:spacing w:val="-67"/>
        </w:rPr>
        <w:t> </w:t>
      </w:r>
      <w:r>
        <w:rPr>
          <w:spacing w:val="-67"/>
        </w:rPr>
      </w:r>
      <w:r>
        <w:rPr>
          <w:spacing w:val="-2"/>
        </w:rPr>
        <w:t>取得被合并方控制权之前持有的长期股权投资，在取得原股权之日与合并方与被合并方同处于同一方最终控制之日孰晚日起</w:t>
      </w:r>
      <w:r>
        <w:rPr>
          <w:spacing w:val="-64"/>
        </w:rPr>
        <w:t> </w:t>
      </w:r>
      <w:r>
        <w:rPr>
          <w:spacing w:val="-64"/>
        </w:rPr>
      </w:r>
      <w:r>
        <w:rPr>
          <w:spacing w:val="-4"/>
        </w:rPr>
        <w:t>至合并日之间已确认有关损益、其他综合收益和其他所有者权益变动，应分别冲减比较报表期间的期初留存收益或当期损益。</w:t>
      </w:r>
    </w:p>
    <w:p>
      <w:pPr>
        <w:pStyle w:val="BodyText"/>
        <w:spacing w:line="379" w:lineRule="auto" w:before="81"/>
        <w:ind w:left="513" w:right="184"/>
        <w:jc w:val="left"/>
      </w:pPr>
      <w:r>
        <w:rPr/>
        <w:t>（2）企业合并中有关交易费用的处理 </w:t>
      </w:r>
      <w:r>
        <w:rPr>
          <w:spacing w:val="-2"/>
        </w:rPr>
        <w:t>为进行企业合并发生的审计、法律服务、评估咨询等中介费用以及其他相关管理费用，于发生时计入当期损益。作为合</w:t>
      </w:r>
    </w:p>
    <w:p>
      <w:pPr>
        <w:pStyle w:val="BodyText"/>
        <w:spacing w:line="208" w:lineRule="exact"/>
        <w:ind w:left="153" w:right="0"/>
        <w:jc w:val="both"/>
      </w:pPr>
      <w:r>
        <w:rPr/>
        <w:t>并对价发行的权益性证券或债务性证券的交易费用，计入权益性证券或债务性证券的初始确认金额。</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81" w:lineRule="auto"/>
        <w:ind w:left="514" w:right="184"/>
        <w:jc w:val="left"/>
      </w:pPr>
      <w:r>
        <w:rPr/>
        <w:t>（1）合并范围 </w:t>
      </w:r>
      <w:r>
        <w:rPr>
          <w:spacing w:val="-2"/>
        </w:rPr>
        <w:t>合并财务报表的合并范围以控制为基础予以确定。控制，是指本公司拥有对被投资单位的权力，通过参与被投资单位的</w:t>
      </w:r>
    </w:p>
    <w:p>
      <w:pPr>
        <w:pStyle w:val="BodyText"/>
        <w:spacing w:line="206" w:lineRule="exact"/>
        <w:ind w:right="0"/>
        <w:jc w:val="both"/>
      </w:pPr>
      <w:r>
        <w:rPr/>
        <w:t>相关活动而享有可变回报，并且有能力运用对被投资单位的权力影响其回报金额。子公司，是指被本公司控制的主体（含企</w:t>
      </w:r>
    </w:p>
    <w:p>
      <w:pPr>
        <w:pStyle w:val="BodyText"/>
        <w:spacing w:line="240" w:lineRule="auto" w:before="76"/>
        <w:ind w:right="0"/>
        <w:jc w:val="both"/>
      </w:pPr>
      <w:r>
        <w:rPr/>
        <w:t>业、被投资单位中可分割的部分、结构化主体等）。</w:t>
      </w:r>
    </w:p>
    <w:p>
      <w:pPr>
        <w:pStyle w:val="BodyText"/>
        <w:spacing w:line="379" w:lineRule="auto" w:before="139"/>
        <w:ind w:left="514" w:right="184"/>
        <w:jc w:val="left"/>
      </w:pPr>
      <w:r>
        <w:rPr/>
        <w:t>（2）合并财务报表的编制方法 </w:t>
      </w:r>
      <w:r>
        <w:rPr>
          <w:spacing w:val="-2"/>
        </w:rPr>
        <w:t>合并财务报表以本公司和子公司的财务报表为基础，根据其他有关资料，由本公司编制。在编制合并财务报表时，本公</w:t>
      </w:r>
    </w:p>
    <w:p>
      <w:pPr>
        <w:pStyle w:val="BodyText"/>
        <w:spacing w:line="208" w:lineRule="exact"/>
        <w:ind w:right="0"/>
        <w:jc w:val="both"/>
      </w:pPr>
      <w:r>
        <w:rPr/>
        <w:t>司和子公司的会计政策和会计期间要求保持一致，公司间的重大交易和往来余额予以抵销。</w:t>
      </w:r>
    </w:p>
    <w:p>
      <w:pPr>
        <w:pStyle w:val="BodyText"/>
        <w:spacing w:line="316" w:lineRule="auto" w:before="139"/>
        <w:ind w:left="153" w:right="191" w:firstLine="360"/>
        <w:jc w:val="both"/>
      </w:pPr>
      <w:r>
        <w:rPr>
          <w:spacing w:val="-2"/>
        </w:rPr>
        <w:t>在报告期内因同一控制下企业合并增加的子公司以及业务，视同该子公司以及业务自同受最终控制方控制之日起纳入本</w:t>
      </w:r>
      <w:r>
        <w:rPr/>
        <w:t> 公司的合并范围，将其自同受最终控制方控制之日起的经营成果、现金流量分别纳入合并利润表、合并现金流量表中。</w:t>
      </w:r>
    </w:p>
    <w:p>
      <w:pPr>
        <w:pStyle w:val="BodyText"/>
        <w:spacing w:line="316" w:lineRule="auto" w:before="81"/>
        <w:ind w:left="153" w:right="190" w:firstLine="360"/>
        <w:jc w:val="both"/>
      </w:pPr>
      <w:r>
        <w:rPr>
          <w:spacing w:val="-2"/>
        </w:rPr>
        <w:t>子公司的股东权益中不属于本公司所拥有的部分，作为少数股东权益在合并资产负债表中股东权益项下单独列示；子公</w:t>
      </w:r>
      <w:r>
        <w:rPr/>
        <w:t> </w:t>
      </w:r>
      <w:r>
        <w:rPr>
          <w:spacing w:val="-2"/>
        </w:rPr>
        <w:t>司当期净损益中属于少数股东权益的份额，在合并利润表中净利润项目下以“少数股东损益”项目列示。少数股东分担的子</w:t>
      </w:r>
      <w:r>
        <w:rPr>
          <w:spacing w:val="-64"/>
        </w:rPr>
        <w:t> </w:t>
      </w:r>
      <w:r>
        <w:rPr>
          <w:spacing w:val="-64"/>
        </w:rPr>
      </w:r>
      <w:r>
        <w:rPr/>
        <w:t>公司的亏损超过了少数股东在该子公司期初所有者权益中所享有的份额，其余额仍冲减少数股东权益。</w:t>
      </w:r>
    </w:p>
    <w:p>
      <w:pPr>
        <w:pStyle w:val="BodyText"/>
        <w:spacing w:line="381" w:lineRule="auto" w:before="80"/>
        <w:ind w:left="513" w:right="184"/>
        <w:jc w:val="left"/>
      </w:pPr>
      <w:r>
        <w:rPr/>
        <w:t>（3）购买子公司少数股东股权 因购买少数股权新取得的长期股权投资成本与按照新增持股比例计算应享有子公司自购买日或合并日开始持续计算的</w:t>
      </w:r>
    </w:p>
    <w:p>
      <w:pPr>
        <w:pStyle w:val="BodyText"/>
        <w:spacing w:line="206" w:lineRule="exact"/>
        <w:ind w:left="153" w:right="0"/>
        <w:jc w:val="both"/>
      </w:pPr>
      <w:r>
        <w:rPr/>
        <w:t>净资产份额之间的差额</w:t>
      </w:r>
      <w:r>
        <w:rPr>
          <w:spacing w:val="-82"/>
        </w:rPr>
        <w:t>，</w:t>
      </w:r>
      <w:r>
        <w:rPr/>
        <w:t>以及在不丧失控制权的情况下因部分处置对子公司的股权投资而取得的处置价款与处置长期股权投</w:t>
      </w:r>
    </w:p>
    <w:p>
      <w:pPr>
        <w:pStyle w:val="BodyText"/>
        <w:spacing w:line="316" w:lineRule="auto" w:before="76"/>
        <w:ind w:left="153" w:right="184"/>
        <w:jc w:val="left"/>
      </w:pPr>
      <w:r>
        <w:rPr>
          <w:spacing w:val="-2"/>
        </w:rPr>
        <w:t>资相对应享有子公司自购买日或合并日开始持续计算的净资产份额之间的差额，均调整合并资产负债表中的资本公积（股本</w:t>
      </w:r>
      <w:r>
        <w:rPr>
          <w:spacing w:val="-64"/>
        </w:rPr>
        <w:t> </w:t>
      </w:r>
      <w:r>
        <w:rPr>
          <w:spacing w:val="-64"/>
        </w:rPr>
      </w:r>
      <w:r>
        <w:rPr/>
        <w:t>溢价），资本公积（股本溢价）不足冲减的，调整留存收益。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9" w:firstLine="360"/>
        <w:jc w:val="both"/>
      </w:pPr>
      <w:r>
        <w:rPr>
          <w:spacing w:val="-2"/>
        </w:rPr>
        <w:t>现金是指库存现金以及可以随时用于支付的存款。现金等价物，是指本集团持有的期限短、流动性强、易于转换为已知</w:t>
      </w:r>
      <w:r>
        <w:rPr/>
        <w:t> 金额现金、价值变动风险很小的投资。</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81" w:lineRule="auto"/>
        <w:ind w:left="514" w:right="3690"/>
        <w:jc w:val="left"/>
      </w:pPr>
      <w:r>
        <w:rPr/>
        <w:t>（1）外币业务 本集团发生外币业务，按交易发生日的即期汇率折算为记账本位币金额。</w:t>
      </w:r>
    </w:p>
    <w:p>
      <w:pPr>
        <w:pStyle w:val="BodyText"/>
        <w:spacing w:line="240" w:lineRule="auto" w:before="32"/>
        <w:ind w:left="514" w:right="0"/>
        <w:jc w:val="left"/>
      </w:pPr>
      <w:r>
        <w:rPr/>
        <w:t>资产负债表日，对外币货币性项目，采用资产负债表日即期汇率折算。因资产负债表日即期汇率与初始确认时或者前一</w:t>
      </w:r>
    </w:p>
    <w:p>
      <w:pPr>
        <w:spacing w:after="0" w:line="240"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16" w:lineRule="auto" w:before="44"/>
        <w:ind w:left="153" w:right="191"/>
        <w:jc w:val="both"/>
      </w:pPr>
      <w:r>
        <w:rPr>
          <w:spacing w:val="-2"/>
        </w:rPr>
        <w:t>资产负债表日即期汇率不同而产生的汇兑差额，计入当期损益；对以历史成本计量的外币非货币性项目，仍采用交易发生日</w:t>
      </w:r>
      <w:r>
        <w:rPr>
          <w:spacing w:val="-66"/>
        </w:rPr>
        <w:t> </w:t>
      </w:r>
      <w:r>
        <w:rPr>
          <w:spacing w:val="-66"/>
        </w:rPr>
      </w:r>
      <w:r>
        <w:rPr>
          <w:spacing w:val="-2"/>
        </w:rPr>
        <w:t>的即期汇率折算；对以公允价值计量的外币非货币性项目，采用公允价值确定日的即期汇率折算，折算后的记账本位币金额</w:t>
      </w:r>
      <w:r>
        <w:rPr>
          <w:spacing w:val="-66"/>
        </w:rPr>
        <w:t> </w:t>
      </w:r>
      <w:r>
        <w:rPr>
          <w:spacing w:val="-66"/>
        </w:rPr>
      </w:r>
      <w:r>
        <w:rPr/>
        <w:t>与原记账本位币金额的差额，计入当期损益。</w:t>
      </w:r>
    </w:p>
    <w:p>
      <w:pPr>
        <w:pStyle w:val="BodyText"/>
        <w:spacing w:line="379" w:lineRule="auto" w:before="81"/>
        <w:ind w:left="513" w:right="184"/>
        <w:jc w:val="left"/>
      </w:pPr>
      <w:r>
        <w:rPr/>
        <w:t>（2）外币财务报表的折算 </w:t>
      </w:r>
      <w:r>
        <w:rPr>
          <w:spacing w:val="-2"/>
        </w:rPr>
        <w:t>资产负债表日，对境外子公司外币财务报表进行折算时，资产负债表中的资产和负债项目，采用资产负债表日的即期汇</w:t>
      </w:r>
    </w:p>
    <w:p>
      <w:pPr>
        <w:pStyle w:val="BodyText"/>
        <w:spacing w:line="208" w:lineRule="exact"/>
        <w:ind w:left="153" w:right="184"/>
        <w:jc w:val="left"/>
      </w:pPr>
      <w:r>
        <w:rPr/>
        <w:t>率折算，股东权益项目除“未分配利润”外，其他项目采用发生日的即期汇率折算。</w:t>
      </w:r>
    </w:p>
    <w:p>
      <w:pPr>
        <w:pStyle w:val="BodyText"/>
        <w:spacing w:line="381" w:lineRule="auto" w:before="139"/>
        <w:ind w:left="513" w:right="184"/>
        <w:jc w:val="left"/>
      </w:pPr>
      <w:r>
        <w:rPr/>
        <w:t>利润表中的收入和费用项目，采用按照系统合理的方法确定的、与交易发生日即期汇率近似的汇率折算。 </w:t>
      </w:r>
      <w:r>
        <w:rPr>
          <w:spacing w:val="-2"/>
        </w:rPr>
        <w:t>现金流量表所有项目均按照系统合理的方法确定的、与现金流量发生日即期汇率近似的汇率折算。汇率变动对现金的影</w:t>
      </w:r>
    </w:p>
    <w:p>
      <w:pPr>
        <w:pStyle w:val="BodyText"/>
        <w:spacing w:line="206" w:lineRule="exact"/>
        <w:ind w:left="153" w:right="184"/>
        <w:jc w:val="left"/>
      </w:pPr>
      <w:r>
        <w:rPr/>
        <w:t>响额作为调节项目，在现金流量表中单独列示“汇率变动对现金及现金等价物的影响” 项目反映。</w:t>
      </w:r>
    </w:p>
    <w:p>
      <w:pPr>
        <w:pStyle w:val="BodyText"/>
        <w:spacing w:line="381" w:lineRule="auto" w:before="137"/>
        <w:ind w:left="513" w:right="184"/>
        <w:jc w:val="left"/>
      </w:pPr>
      <w:r>
        <w:rPr/>
        <w:t>由于财务报表折算而产生的差额，在资产负债表股东权益项目下的“其他综合收益”项目反映。 </w:t>
      </w:r>
      <w:r>
        <w:rPr>
          <w:spacing w:val="-2"/>
        </w:rPr>
        <w:t>处置境外经营并丧失控制权时，将资产负债表中股东权益项目下列示的、与该境外经营相关的外币报表折算差额，全部</w:t>
      </w:r>
    </w:p>
    <w:p>
      <w:pPr>
        <w:pStyle w:val="BodyText"/>
        <w:spacing w:line="206" w:lineRule="exact"/>
        <w:ind w:left="153" w:right="184"/>
        <w:jc w:val="left"/>
      </w:pPr>
      <w:r>
        <w:rPr/>
        <w:t>或按处置该境外经营的比例转入处置当期损益。</w:t>
      </w:r>
    </w:p>
    <w:p>
      <w:pPr>
        <w:spacing w:line="240" w:lineRule="auto" w:before="12"/>
        <w:rPr>
          <w:rFonts w:ascii="宋体" w:hAnsi="宋体" w:cs="宋体" w:eastAsia="宋体" w:hint="default"/>
          <w:sz w:val="26"/>
          <w:szCs w:val="26"/>
        </w:rPr>
      </w:pPr>
    </w:p>
    <w:p>
      <w:pPr>
        <w:pStyle w:val="Heading3"/>
        <w:spacing w:line="240" w:lineRule="auto"/>
        <w:ind w:right="184"/>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84"/>
        <w:jc w:val="left"/>
      </w:pPr>
      <w:r>
        <w:rPr/>
        <w:t>金融工具是指形成一个企业的金融资产，并形成其他单位的金融负债或权益工具的合同。</w:t>
      </w:r>
    </w:p>
    <w:p>
      <w:pPr>
        <w:pStyle w:val="BodyText"/>
        <w:spacing w:line="381" w:lineRule="auto" w:before="139"/>
        <w:ind w:left="514" w:right="4050"/>
        <w:jc w:val="left"/>
      </w:pPr>
      <w:r>
        <w:rPr/>
        <w:t>（1）金融工具的确认和终止确认 本集团于成为金融工具合同的一方时确认一项金融资产或金融负债。 金融资产满足下列条件之一的，终止确认：</w:t>
      </w:r>
    </w:p>
    <w:p>
      <w:pPr>
        <w:pStyle w:val="BodyText"/>
        <w:spacing w:line="240" w:lineRule="auto" w:before="32"/>
        <w:ind w:left="514" w:right="184"/>
        <w:jc w:val="left"/>
      </w:pPr>
      <w:r>
        <w:rPr/>
        <w:t>① 收取该金融资产现金流量的合同权利终止；</w:t>
      </w:r>
    </w:p>
    <w:p>
      <w:pPr>
        <w:pStyle w:val="BodyText"/>
        <w:spacing w:line="381" w:lineRule="auto" w:before="137"/>
        <w:ind w:left="514" w:right="184"/>
        <w:jc w:val="left"/>
      </w:pPr>
      <w:r>
        <w:rPr/>
        <w:t>② 该金融资产已转移，且符合下述金融资产转移的终止确认条件。 </w:t>
      </w:r>
      <w:r>
        <w:rPr>
          <w:spacing w:val="-2"/>
        </w:rPr>
        <w:t>金融负债的现时义务全部或部分已经解除的，终止确认该金融负债或其一部分。本集团（债务人）与债权人之间签订协</w:t>
      </w:r>
    </w:p>
    <w:p>
      <w:pPr>
        <w:pStyle w:val="BodyText"/>
        <w:spacing w:line="206" w:lineRule="exact"/>
        <w:ind w:right="0"/>
        <w:jc w:val="left"/>
      </w:pPr>
      <w:r>
        <w:rPr/>
        <w:t>议，以承担新金融负债方式替换现存金融负债，且新金融负债与现存金融负债的合同条款实质上不同的，终止确认现存金融</w:t>
      </w:r>
    </w:p>
    <w:p>
      <w:pPr>
        <w:pStyle w:val="BodyText"/>
        <w:spacing w:line="381" w:lineRule="auto" w:before="76"/>
        <w:ind w:left="514" w:right="4410" w:hanging="360"/>
        <w:jc w:val="left"/>
      </w:pPr>
      <w:r>
        <w:rPr/>
        <w:t>负债，并同时确认新金融负债。 以常规方式买卖金融资产，按交易日进行会计确认和终止确认。</w:t>
      </w:r>
    </w:p>
    <w:p>
      <w:pPr>
        <w:pStyle w:val="BodyText"/>
        <w:spacing w:line="381" w:lineRule="auto" w:before="31"/>
        <w:ind w:left="514" w:right="175"/>
        <w:jc w:val="left"/>
      </w:pPr>
      <w:r>
        <w:rPr/>
        <w:t>（2）金融资产分类和计量 </w:t>
      </w:r>
      <w:r>
        <w:rPr>
          <w:spacing w:val="-5"/>
        </w:rPr>
        <w:t>本集团的金融资产于初始确认时分为以下两类：应收款项、可供出售金融资产。金融资产在初始确认时以公允价值计量。</w:t>
      </w:r>
    </w:p>
    <w:p>
      <w:pPr>
        <w:pStyle w:val="BodyText"/>
        <w:spacing w:line="206" w:lineRule="exact"/>
        <w:ind w:left="153" w:right="0"/>
        <w:jc w:val="left"/>
      </w:pPr>
      <w:r>
        <w:rPr/>
        <w:t>对于以公允价值计量且其变动计入当期损益的金融资产，相关交易费用直接计入当期损益，其他类别的金融资产相关交易费</w:t>
      </w:r>
    </w:p>
    <w:p>
      <w:pPr>
        <w:pStyle w:val="BodyText"/>
        <w:spacing w:line="381" w:lineRule="auto" w:before="76"/>
        <w:ind w:left="513" w:right="7831" w:hanging="360"/>
        <w:jc w:val="left"/>
      </w:pPr>
      <w:r>
        <w:rPr/>
        <w:t>用计入其初始确认金额。 应收款项</w:t>
      </w:r>
    </w:p>
    <w:p>
      <w:pPr>
        <w:pStyle w:val="BodyText"/>
        <w:spacing w:line="316" w:lineRule="auto" w:before="31"/>
        <w:ind w:left="153" w:right="191" w:firstLine="360"/>
        <w:jc w:val="both"/>
      </w:pPr>
      <w:r>
        <w:rPr>
          <w:spacing w:val="-2"/>
        </w:rPr>
        <w:t>应收款项，是指在活跃市场中没有报价、回收金额固定或可确定的非衍生金融资产，包括应收账款和其他应收款等（附</w:t>
      </w:r>
      <w:r>
        <w:rPr/>
        <w:t> </w:t>
      </w:r>
      <w:r>
        <w:rPr>
          <w:spacing w:val="-2"/>
        </w:rPr>
        <w:t>注三、11）。应收款项采用实际利率法，按摊余成本进行后续计量，在终止确认、发生减值或摊销时产生的利得或损失，计</w:t>
      </w:r>
      <w:r>
        <w:rPr>
          <w:spacing w:val="-63"/>
        </w:rPr>
        <w:t> </w:t>
      </w:r>
      <w:r>
        <w:rPr>
          <w:spacing w:val="-63"/>
        </w:rPr>
      </w:r>
      <w:r>
        <w:rPr/>
        <w:t>入当期损益。</w:t>
      </w:r>
    </w:p>
    <w:p>
      <w:pPr>
        <w:pStyle w:val="BodyText"/>
        <w:spacing w:line="381" w:lineRule="auto" w:before="81"/>
        <w:ind w:left="513" w:right="91"/>
        <w:jc w:val="left"/>
      </w:pPr>
      <w:r>
        <w:rPr/>
        <w:t>可供出售金融资产 可供出售金融资产，是指初始确认时即指定为可供出售的非衍生金融资产，以及除上述金融资产类别以外的金融资产。</w:t>
      </w:r>
    </w:p>
    <w:p>
      <w:pPr>
        <w:pStyle w:val="BodyText"/>
        <w:spacing w:line="206" w:lineRule="exact"/>
        <w:ind w:left="153" w:right="0"/>
        <w:jc w:val="left"/>
      </w:pPr>
      <w:r>
        <w:rPr/>
        <w:t>可供出售金融资产采用公允价值进行后续计量，其折溢价采用实际利率法摊销并确认为利息收入。除减值损失及外币货币性</w:t>
      </w:r>
    </w:p>
    <w:p>
      <w:pPr>
        <w:pStyle w:val="BodyText"/>
        <w:spacing w:line="316" w:lineRule="auto" w:before="76"/>
        <w:ind w:left="153" w:right="184"/>
        <w:jc w:val="left"/>
      </w:pPr>
      <w:r>
        <w:rPr>
          <w:spacing w:val="-2"/>
        </w:rPr>
        <w:t>金融资产的汇兑差额确认为当期损益外，可供出售金融资产的公允价值变动确认为其他综合收益，在该金融资产终止确认时</w:t>
      </w:r>
      <w:r>
        <w:rPr>
          <w:spacing w:val="-64"/>
        </w:rPr>
        <w:t> </w:t>
      </w:r>
      <w:r>
        <w:rPr>
          <w:spacing w:val="-64"/>
        </w:rPr>
      </w:r>
      <w:r>
        <w:rPr/>
        <w:t>转出，计入当期损益。与可供出售金融资产相关的股利或利息收入，计入当期损益。</w:t>
      </w:r>
    </w:p>
    <w:p>
      <w:pPr>
        <w:pStyle w:val="BodyText"/>
        <w:spacing w:line="316" w:lineRule="auto" w:before="80"/>
        <w:ind w:left="153" w:right="190" w:firstLine="360"/>
        <w:jc w:val="both"/>
      </w:pPr>
      <w:r>
        <w:rPr>
          <w:spacing w:val="-2"/>
        </w:rPr>
        <w:t>对于在活跃市场中没有报价且其公允价值不能可靠计量的权益工具投资，以及与该权益工具挂钩并须通过交付该权益工</w:t>
      </w:r>
      <w:r>
        <w:rPr/>
        <w:t> 具结算的衍生金融资产，按成本计量。</w:t>
      </w:r>
    </w:p>
    <w:p>
      <w:pPr>
        <w:spacing w:after="0" w:line="316" w:lineRule="auto"/>
        <w:jc w:val="both"/>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81" w:lineRule="auto" w:before="44"/>
        <w:ind w:left="513" w:right="93"/>
        <w:jc w:val="left"/>
      </w:pPr>
      <w:r>
        <w:rPr/>
        <w:t>（3）金融负债分类和计量 </w:t>
      </w:r>
      <w:r>
        <w:rPr>
          <w:spacing w:val="-2"/>
        </w:rPr>
        <w:t>本集团的金融负债于初始确认时分类为其他金融负债。对于未划分为以公允价值计量且其变动计入当期损益的金融负债</w:t>
      </w:r>
    </w:p>
    <w:p>
      <w:pPr>
        <w:pStyle w:val="BodyText"/>
        <w:spacing w:line="206" w:lineRule="exact"/>
        <w:ind w:left="153" w:right="93"/>
        <w:jc w:val="left"/>
      </w:pPr>
      <w:r>
        <w:rPr/>
        <w:t>的，相关交易费用计入其初始确认金额。</w:t>
      </w:r>
    </w:p>
    <w:p>
      <w:pPr>
        <w:pStyle w:val="BodyText"/>
        <w:spacing w:line="381" w:lineRule="auto" w:before="137"/>
        <w:ind w:left="513" w:right="93"/>
        <w:jc w:val="left"/>
      </w:pPr>
      <w:r>
        <w:rPr/>
        <w:t>其他金融负债 </w:t>
      </w:r>
      <w:r>
        <w:rPr>
          <w:spacing w:val="-2"/>
        </w:rPr>
        <w:t>与在活跃市场中没有报价、公允价值不能可靠计量的权益工具挂钩并须通过交付该权益工具结算的衍生金融负债，按照</w:t>
      </w:r>
    </w:p>
    <w:p>
      <w:pPr>
        <w:pStyle w:val="BodyText"/>
        <w:spacing w:line="206" w:lineRule="exact"/>
        <w:ind w:left="153" w:right="93"/>
        <w:jc w:val="left"/>
      </w:pPr>
      <w:r>
        <w:rPr/>
        <w:t>成本进行后续计量。其他金融负债采用实际利率法，按摊余成本进行后续计量，终止确认或摊销产生的利得或损失计入当期</w:t>
      </w:r>
    </w:p>
    <w:p>
      <w:pPr>
        <w:pStyle w:val="BodyText"/>
        <w:spacing w:line="240" w:lineRule="auto" w:before="76"/>
        <w:ind w:left="153" w:right="93"/>
        <w:jc w:val="left"/>
      </w:pPr>
      <w:r>
        <w:rPr/>
        <w:t>损益。</w:t>
      </w:r>
    </w:p>
    <w:p>
      <w:pPr>
        <w:pStyle w:val="BodyText"/>
        <w:spacing w:line="381" w:lineRule="auto" w:before="139"/>
        <w:ind w:left="513" w:right="6311"/>
        <w:jc w:val="left"/>
      </w:pPr>
      <w:r>
        <w:rPr/>
        <w:t>（4）金融工具的公允价值 金融资产和金融负债的公允价值确定方法 公允价值计量</w:t>
      </w:r>
    </w:p>
    <w:p>
      <w:pPr>
        <w:pStyle w:val="BodyText"/>
        <w:spacing w:line="379" w:lineRule="auto" w:before="32"/>
        <w:ind w:left="513" w:right="93"/>
        <w:jc w:val="left"/>
      </w:pPr>
      <w:r>
        <w:rPr/>
        <w:t>公允价值是指市场参与者在计量日发生的有序交易中，出售一项资产所能收到或者转移一项负债所需支付的价格。 </w:t>
      </w:r>
      <w:r>
        <w:rPr>
          <w:spacing w:val="-2"/>
        </w:rPr>
        <w:t>本集团以公允价值计量相关资产或负债，假定出售资产或者转移负债的有序交易在相关资产或负债的主要市场进行；不</w:t>
      </w:r>
    </w:p>
    <w:p>
      <w:pPr>
        <w:pStyle w:val="BodyText"/>
        <w:spacing w:line="208" w:lineRule="exact"/>
        <w:ind w:left="153" w:right="93"/>
        <w:jc w:val="left"/>
      </w:pPr>
      <w:r>
        <w:rPr/>
        <w:t>存在主要市场的，本集团假定该交易在相关资产或负债的最有利市场进行。主要市场（或最有利市场）是本集团在计量日能</w:t>
      </w:r>
    </w:p>
    <w:p>
      <w:pPr>
        <w:pStyle w:val="BodyText"/>
        <w:spacing w:line="381" w:lineRule="auto" w:before="76"/>
        <w:ind w:left="513" w:right="93" w:hanging="360"/>
        <w:jc w:val="left"/>
      </w:pPr>
      <w:r>
        <w:rPr/>
        <w:t>够进入的交易市场。本集团采用市场参与者在对该资产或负债定价时为实现其经济利益最大化所使用的假设。 </w:t>
      </w:r>
      <w:r>
        <w:rPr>
          <w:spacing w:val="-2"/>
        </w:rPr>
        <w:t>存在活跃市场的金融资产或金融负债，本集团采用活跃市场中的报价确定其公允价值。金融工具不存在活跃市场的，本</w:t>
      </w:r>
    </w:p>
    <w:p>
      <w:pPr>
        <w:pStyle w:val="BodyText"/>
        <w:spacing w:line="206" w:lineRule="exact"/>
        <w:ind w:left="153" w:right="93"/>
        <w:jc w:val="left"/>
      </w:pPr>
      <w:r>
        <w:rPr/>
        <w:t>集团采用估值技术确定其公允价值。</w:t>
      </w:r>
    </w:p>
    <w:p>
      <w:pPr>
        <w:pStyle w:val="BodyText"/>
        <w:spacing w:line="316" w:lineRule="auto" w:before="139"/>
        <w:ind w:left="153" w:right="93" w:firstLine="360"/>
        <w:jc w:val="left"/>
      </w:pPr>
      <w:r>
        <w:rPr>
          <w:spacing w:val="-2"/>
        </w:rPr>
        <w:t>以公允价值计量非金融资产的，考虑市场参与者将该资产用于最佳用途产生经济利益的能力，或者将该资产出售给能够</w:t>
      </w:r>
      <w:r>
        <w:rPr/>
        <w:t> 用于最佳用途的其他市场参与者产生经济利益的能力。</w:t>
      </w:r>
    </w:p>
    <w:p>
      <w:pPr>
        <w:pStyle w:val="BodyText"/>
        <w:spacing w:line="316" w:lineRule="auto" w:before="80"/>
        <w:ind w:left="153" w:right="93" w:firstLine="360"/>
        <w:jc w:val="left"/>
      </w:pPr>
      <w:r>
        <w:rPr>
          <w:spacing w:val="-2"/>
        </w:rPr>
        <w:t>本集团采用在当前情况下适用并且有足够可利用数据和其他信息支持的估值技术，优先使用相关可观察输入值，只有在</w:t>
      </w:r>
      <w:r>
        <w:rPr/>
        <w:t> 可观察输入值无法取得或取得不切实可行的情况下，才使用不可观察输入值。</w:t>
      </w:r>
    </w:p>
    <w:p>
      <w:pPr>
        <w:pStyle w:val="BodyText"/>
        <w:spacing w:line="316" w:lineRule="auto" w:before="81"/>
        <w:ind w:left="153" w:right="290" w:firstLine="360"/>
        <w:jc w:val="both"/>
      </w:pPr>
      <w:r>
        <w:rPr>
          <w:spacing w:val="-2"/>
        </w:rPr>
        <w:t>在财务报表中以公允价值计量或披露的资产和负债，根据对公允价值计量整体而言具有重要意义的最低层次输入值，确</w:t>
      </w:r>
      <w:r>
        <w:rPr/>
        <w:t> </w:t>
      </w:r>
      <w:r>
        <w:rPr>
          <w:spacing w:val="-2"/>
        </w:rPr>
        <w:t>定所属的公允价值层次：第一层次输入值，是在计量日能够取得的相同资产或负债在活跃市场上未经调整的报价；第二层次</w:t>
      </w:r>
      <w:r>
        <w:rPr>
          <w:spacing w:val="-66"/>
        </w:rPr>
        <w:t> </w:t>
      </w:r>
      <w:r>
        <w:rPr>
          <w:spacing w:val="-66"/>
        </w:rPr>
      </w:r>
      <w:r>
        <w:rPr>
          <w:spacing w:val="-2"/>
        </w:rPr>
        <w:t>输入值，是除第一层次输入值外相关资产或负债直接或间接可观察的输入值；第三层次输入值，是相关资产或负债的不可观</w:t>
      </w:r>
      <w:r>
        <w:rPr>
          <w:spacing w:val="-66"/>
        </w:rPr>
        <w:t> </w:t>
      </w:r>
      <w:r>
        <w:rPr>
          <w:spacing w:val="-66"/>
        </w:rPr>
      </w:r>
      <w:r>
        <w:rPr/>
        <w:t>察输入值。</w:t>
      </w:r>
    </w:p>
    <w:p>
      <w:pPr>
        <w:pStyle w:val="BodyText"/>
        <w:spacing w:line="316" w:lineRule="auto" w:before="81"/>
        <w:ind w:left="153" w:right="93" w:firstLine="360"/>
        <w:jc w:val="left"/>
      </w:pPr>
      <w:r>
        <w:rPr>
          <w:spacing w:val="-2"/>
        </w:rPr>
        <w:t>每个资产负债表日，本集团对在财务报表中确认的持续以公允价值计量的资产和负债进行重新评估，以确定是否在公允</w:t>
      </w:r>
      <w:r>
        <w:rPr/>
        <w:t> 价值计量层次之间发生转换。</w:t>
      </w:r>
    </w:p>
    <w:p>
      <w:pPr>
        <w:pStyle w:val="BodyText"/>
        <w:spacing w:line="381" w:lineRule="auto" w:before="80"/>
        <w:ind w:left="513" w:right="93"/>
        <w:jc w:val="left"/>
      </w:pPr>
      <w:r>
        <w:rPr/>
        <w:t>（5）金融资产减值 </w:t>
      </w:r>
      <w:r>
        <w:rPr>
          <w:spacing w:val="-2"/>
        </w:rPr>
        <w:t>除了以公允价值计量且其变动计入当期损益的金融资产外，本集团于资产负债表日对其他金融资产的账面价值进行检查，</w:t>
      </w:r>
    </w:p>
    <w:p>
      <w:pPr>
        <w:pStyle w:val="BodyText"/>
        <w:spacing w:line="206" w:lineRule="exact"/>
        <w:ind w:left="153" w:right="93"/>
        <w:jc w:val="left"/>
      </w:pPr>
      <w:r>
        <w:rPr/>
        <w:t>有客观证据表明该金融资产发生减值的，计提减值准备。表明金融资产发生减值的客观证据，是指金融资产初始确认后实际</w:t>
      </w:r>
    </w:p>
    <w:p>
      <w:pPr>
        <w:pStyle w:val="BodyText"/>
        <w:spacing w:line="381" w:lineRule="auto" w:before="76"/>
        <w:ind w:left="513" w:right="2351" w:hanging="360"/>
        <w:jc w:val="left"/>
      </w:pPr>
      <w:r>
        <w:rPr/>
        <w:t>发生的、对该金融资产的预计未来现金流量有影响，且企业能够对该影响进行可靠计量的事项。 金融资产发生减值的客观证据，包括下列可观察到的情形：</w:t>
      </w:r>
    </w:p>
    <w:p>
      <w:pPr>
        <w:pStyle w:val="BodyText"/>
        <w:spacing w:line="240" w:lineRule="auto" w:before="31"/>
        <w:ind w:left="513" w:right="93"/>
        <w:jc w:val="left"/>
      </w:pPr>
      <w:r>
        <w:rPr/>
        <w:t>①发行方或债务人发生严重财务困难；</w:t>
      </w:r>
    </w:p>
    <w:p>
      <w:pPr>
        <w:pStyle w:val="BodyText"/>
        <w:spacing w:line="240" w:lineRule="auto" w:before="139"/>
        <w:ind w:left="513" w:right="93"/>
        <w:jc w:val="left"/>
      </w:pPr>
      <w:r>
        <w:rPr/>
        <w:t>②债务人违反了合同条款，如偿付利息或本金发生违约或逾期等；</w:t>
      </w:r>
    </w:p>
    <w:p>
      <w:pPr>
        <w:pStyle w:val="BodyText"/>
        <w:spacing w:line="240" w:lineRule="auto" w:before="139"/>
        <w:ind w:left="513" w:right="93"/>
        <w:jc w:val="left"/>
      </w:pPr>
      <w:r>
        <w:rPr/>
        <w:t>③本集团出于经济或法律等方面因素的考虑，对发生财务困难的债务人作出让步；</w:t>
      </w:r>
    </w:p>
    <w:p>
      <w:pPr>
        <w:pStyle w:val="BodyText"/>
        <w:spacing w:line="240" w:lineRule="auto" w:before="137"/>
        <w:ind w:left="513" w:right="93"/>
        <w:jc w:val="left"/>
      </w:pPr>
      <w:r>
        <w:rPr/>
        <w:t>④债务人很可能倒闭或者进行其他财务重组；</w:t>
      </w:r>
    </w:p>
    <w:p>
      <w:pPr>
        <w:pStyle w:val="BodyText"/>
        <w:spacing w:line="240" w:lineRule="auto" w:before="139"/>
        <w:ind w:left="513" w:right="93"/>
        <w:jc w:val="left"/>
      </w:pPr>
      <w:r>
        <w:rPr/>
        <w:t>⑤因发行方发生重大财务困难，导致金融资产无法在活跃市场继续交易；</w:t>
      </w:r>
    </w:p>
    <w:p>
      <w:pPr>
        <w:pStyle w:val="BodyText"/>
        <w:spacing w:line="316" w:lineRule="auto" w:before="139"/>
        <w:ind w:left="153" w:right="93" w:firstLine="360"/>
        <w:jc w:val="left"/>
      </w:pPr>
      <w:r>
        <w:rPr>
          <w:spacing w:val="-2"/>
        </w:rPr>
        <w:t>⑥无法辨认一组金融资产中的某项资产的现金流量是否已经减少，但根据公开的数据对其进行总体评价后发现，该组金</w:t>
      </w:r>
      <w:r>
        <w:rPr/>
        <w:t> 融资产自初始确认以来的预计未来现金流量确已减少且可计量，包括：</w:t>
      </w:r>
    </w:p>
    <w:p>
      <w:pPr>
        <w:pStyle w:val="BodyText"/>
        <w:spacing w:line="240" w:lineRule="auto" w:before="80"/>
        <w:ind w:left="573" w:right="93"/>
        <w:jc w:val="left"/>
      </w:pPr>
      <w:r>
        <w:rPr/>
        <w:t>- 该组金融资产的债务人支付能力逐步恶化；</w:t>
      </w:r>
    </w:p>
    <w:p>
      <w:pPr>
        <w:pStyle w:val="BodyText"/>
        <w:spacing w:line="240" w:lineRule="auto" w:before="139"/>
        <w:ind w:left="573" w:right="93"/>
        <w:jc w:val="left"/>
      </w:pPr>
      <w:r>
        <w:rPr/>
        <w:t>- 债务人所在国家或地区经济出现了可能导致该组金融资产无法支付的状况；</w:t>
      </w:r>
    </w:p>
    <w:p>
      <w:pPr>
        <w:spacing w:after="0" w:line="240" w:lineRule="auto"/>
        <w:jc w:val="left"/>
        <w:sectPr>
          <w:pgSz w:w="11910" w:h="16840"/>
          <w:pgMar w:header="877" w:footer="982" w:top="1100" w:bottom="1180" w:left="980" w:right="840"/>
        </w:sectPr>
      </w:pPr>
    </w:p>
    <w:p>
      <w:pPr>
        <w:spacing w:line="240" w:lineRule="auto" w:before="12"/>
        <w:rPr>
          <w:rFonts w:ascii="宋体" w:hAnsi="宋体" w:cs="宋体" w:eastAsia="宋体" w:hint="default"/>
          <w:sz w:val="21"/>
          <w:szCs w:val="21"/>
        </w:rPr>
      </w:pPr>
    </w:p>
    <w:p>
      <w:pPr>
        <w:pStyle w:val="BodyText"/>
        <w:spacing w:line="240" w:lineRule="auto" w:before="44"/>
        <w:ind w:left="513" w:right="151"/>
        <w:jc w:val="left"/>
      </w:pPr>
      <w:r>
        <w:rPr/>
        <w:t>⑦债务人经营所处的技术、市场、经济或法律环境等发生重大不利变化，使权益工具投资人可能无法收回投资成本；</w:t>
      </w:r>
    </w:p>
    <w:p>
      <w:pPr>
        <w:pStyle w:val="BodyText"/>
        <w:spacing w:line="316" w:lineRule="auto" w:before="139"/>
        <w:ind w:left="153" w:right="150" w:firstLine="360"/>
        <w:jc w:val="both"/>
      </w:pPr>
      <w:r>
        <w:rPr>
          <w:spacing w:val="-2"/>
        </w:rPr>
        <w:t>⑧权益工具投资的公允价值发生严重或非暂时性下跌，如权益工具投资于资产负债表日的公允价值低于其初始投资成本</w:t>
      </w:r>
      <w:r>
        <w:rPr/>
        <w:t> 超过50%（含50%）或低于其初始投资成本持续时间超过12个月（含12个月）。</w:t>
      </w:r>
    </w:p>
    <w:p>
      <w:pPr>
        <w:pStyle w:val="BodyText"/>
        <w:spacing w:line="316" w:lineRule="auto" w:before="80"/>
        <w:ind w:left="153" w:right="151" w:firstLine="360"/>
        <w:jc w:val="both"/>
      </w:pPr>
      <w:r>
        <w:rPr>
          <w:spacing w:val="-2"/>
        </w:rPr>
        <w:t>低于其初始投资成本持续时间超过12个月（含12个月）是指，权益工具投资公允价值月度均值连续12个月均低于其初始</w:t>
      </w:r>
      <w:r>
        <w:rPr/>
        <w:t> 投资成本。</w:t>
      </w:r>
    </w:p>
    <w:p>
      <w:pPr>
        <w:pStyle w:val="BodyText"/>
        <w:spacing w:line="381" w:lineRule="auto" w:before="81"/>
        <w:ind w:left="513" w:right="5991"/>
        <w:jc w:val="left"/>
      </w:pPr>
      <w:r>
        <w:rPr/>
        <w:t>⑨其他表明金融资产发生减值的客观证据。 以摊余成本计量的金融资产</w:t>
      </w:r>
    </w:p>
    <w:p>
      <w:pPr>
        <w:pStyle w:val="BodyText"/>
        <w:spacing w:line="316" w:lineRule="auto" w:before="31"/>
        <w:ind w:left="153" w:right="150" w:firstLine="360"/>
        <w:jc w:val="both"/>
      </w:pPr>
      <w:r>
        <w:rPr>
          <w:spacing w:val="-2"/>
        </w:rPr>
        <w:t>如果有客观证据表明该金融资产发生减值，则将该金融资产的账面价值减记至预计未来现金流量（不包括尚未发生的未</w:t>
      </w:r>
      <w:r>
        <w:rPr/>
        <w:t> </w:t>
      </w:r>
      <w:r>
        <w:rPr>
          <w:spacing w:val="-2"/>
        </w:rPr>
        <w:t>来信用损失）现值，减记金额计入当期损益。预计未来现金流量现值，按照该金融资产原实际利率折现确定，并考虑相关担</w:t>
      </w:r>
      <w:r>
        <w:rPr>
          <w:spacing w:val="-66"/>
        </w:rPr>
        <w:t> </w:t>
      </w:r>
      <w:r>
        <w:rPr>
          <w:spacing w:val="-66"/>
        </w:rPr>
      </w:r>
      <w:r>
        <w:rPr/>
        <w:t>保物的价值。</w:t>
      </w:r>
    </w:p>
    <w:p>
      <w:pPr>
        <w:pStyle w:val="BodyText"/>
        <w:spacing w:line="316" w:lineRule="auto" w:before="81"/>
        <w:ind w:left="153" w:right="151" w:firstLine="360"/>
        <w:jc w:val="both"/>
      </w:pPr>
      <w:r>
        <w:rPr>
          <w:spacing w:val="-2"/>
        </w:rPr>
        <w:t>对单项金额重大的金融资产单独进行减值测试，如有客观证据表明其已发生减值，确认减值损失，计入当期损益。对单</w:t>
      </w:r>
      <w:r>
        <w:rPr/>
        <w:t> </w:t>
      </w:r>
      <w:r>
        <w:rPr>
          <w:spacing w:val="-2"/>
        </w:rPr>
        <w:t>项金额不重大的金融资产，单独进行减值测试或包括在具有类似信用风险特征的金融资产组合中进行减值测试。单独测试未</w:t>
      </w:r>
      <w:r>
        <w:rPr>
          <w:spacing w:val="-64"/>
        </w:rPr>
        <w:t> </w:t>
      </w:r>
      <w:r>
        <w:rPr>
          <w:spacing w:val="-64"/>
        </w:rPr>
      </w:r>
      <w:r>
        <w:rPr>
          <w:spacing w:val="-2"/>
        </w:rPr>
        <w:t>发生减值的金融资产（包括单项金额重大和不重大的金融资产），包括在具有类似信用风险特征的金融资产组合中再进行减</w:t>
      </w:r>
      <w:r>
        <w:rPr>
          <w:spacing w:val="-66"/>
        </w:rPr>
        <w:t> </w:t>
      </w:r>
      <w:r>
        <w:rPr>
          <w:spacing w:val="-66"/>
        </w:rPr>
      </w:r>
      <w:r>
        <w:rPr/>
        <w:t>值测试。已单项确认减值损失的金融资产，不包括在具有类似信用风险特征的金融资产组合中进行减值测试。</w:t>
      </w:r>
    </w:p>
    <w:p>
      <w:pPr>
        <w:pStyle w:val="BodyText"/>
        <w:spacing w:line="316" w:lineRule="auto" w:before="81"/>
        <w:ind w:left="153" w:right="151" w:firstLine="360"/>
        <w:jc w:val="both"/>
      </w:pPr>
      <w:r>
        <w:rPr>
          <w:spacing w:val="-2"/>
        </w:rPr>
        <w:t>本集团对以摊余成本计量的金融资产确认减值损失后，如有客观证据表明该金融资产价值已恢复，且客观上与确认该损</w:t>
      </w:r>
      <w:r>
        <w:rPr/>
        <w:t> </w:t>
      </w:r>
      <w:r>
        <w:rPr>
          <w:spacing w:val="-2"/>
        </w:rPr>
        <w:t>失后发生的事项有关，原确认的减值损失予以转回，计入当期损益。但是，该转回后的账面价值不超过假定不计提减值准备</w:t>
      </w:r>
      <w:r>
        <w:rPr>
          <w:spacing w:val="-66"/>
        </w:rPr>
        <w:t> </w:t>
      </w:r>
      <w:r>
        <w:rPr>
          <w:spacing w:val="-66"/>
        </w:rPr>
      </w:r>
      <w:r>
        <w:rPr/>
        <w:t>情况下该金融资产在转回日的摊余成本。</w:t>
      </w:r>
    </w:p>
    <w:p>
      <w:pPr>
        <w:pStyle w:val="BodyText"/>
        <w:spacing w:line="381" w:lineRule="auto" w:before="80"/>
        <w:ind w:left="513" w:right="0"/>
        <w:jc w:val="left"/>
      </w:pPr>
      <w:r>
        <w:rPr/>
        <w:t>可供出售金融资产 </w:t>
      </w:r>
      <w:r>
        <w:rPr>
          <w:spacing w:val="-2"/>
        </w:rPr>
        <w:t>如果有客观证据表明该金融资产发生减值，原直接计入其他综合收益的因公允价值下降形成的累计损失，予以转出，计</w:t>
      </w:r>
    </w:p>
    <w:p>
      <w:pPr>
        <w:pStyle w:val="BodyText"/>
        <w:spacing w:line="206" w:lineRule="exact"/>
        <w:ind w:left="153" w:right="0"/>
        <w:jc w:val="left"/>
      </w:pPr>
      <w:r>
        <w:rPr/>
        <w:t>入当期损益。该转出的累计损失，为可供出售金融资产的初始取得成本扣除已收回本金和已摊销金额、当前公允价值和原已</w:t>
      </w:r>
    </w:p>
    <w:p>
      <w:pPr>
        <w:pStyle w:val="BodyText"/>
        <w:spacing w:line="381" w:lineRule="auto" w:before="76"/>
        <w:ind w:left="513" w:right="0" w:hanging="360"/>
        <w:jc w:val="left"/>
      </w:pPr>
      <w:r>
        <w:rPr/>
        <w:t>计入损益的减值损失后的余额。 </w:t>
      </w:r>
      <w:r>
        <w:rPr>
          <w:spacing w:val="-2"/>
        </w:rPr>
        <w:t>对于已确认减值损失的可供出售债务工具，在随后的会计期间公允价值已上升且客观上与确认原减值损失确认后发生的</w:t>
      </w:r>
    </w:p>
    <w:p>
      <w:pPr>
        <w:pStyle w:val="BodyText"/>
        <w:spacing w:line="206" w:lineRule="exact"/>
        <w:ind w:left="153" w:right="151"/>
        <w:jc w:val="left"/>
      </w:pPr>
      <w:r>
        <w:rPr/>
        <w:t>事项有关的，原确认的减值损失予以转回，计入当期损益。可供出售权益工具投资发生的减值损失，不通过损益转回。</w:t>
      </w:r>
    </w:p>
    <w:p>
      <w:pPr>
        <w:pStyle w:val="BodyText"/>
        <w:spacing w:line="381" w:lineRule="auto" w:before="137"/>
        <w:ind w:left="513" w:right="0"/>
        <w:jc w:val="left"/>
      </w:pPr>
      <w:r>
        <w:rPr/>
        <w:t>以成本计量的金融资产 </w:t>
      </w:r>
      <w:r>
        <w:rPr>
          <w:spacing w:val="-2"/>
        </w:rPr>
        <w:t>在活跃市场中没有报价且其公允价值不能可靠计量的权益工具投资，或与该权益工具挂钩并须通过交付该权益工具结算</w:t>
      </w:r>
    </w:p>
    <w:p>
      <w:pPr>
        <w:pStyle w:val="BodyText"/>
        <w:spacing w:line="206" w:lineRule="exact"/>
        <w:ind w:left="153" w:right="0"/>
        <w:jc w:val="left"/>
      </w:pPr>
      <w:r>
        <w:rPr/>
        <w:t>的衍生金融资产发生减值时，将该金融资产的账面价值，与按照类似金融资产当时市场收益率对未来现金流量折现确定的现</w:t>
      </w:r>
    </w:p>
    <w:p>
      <w:pPr>
        <w:pStyle w:val="BodyText"/>
        <w:spacing w:line="240" w:lineRule="auto" w:before="76"/>
        <w:ind w:left="153" w:right="1258"/>
        <w:jc w:val="left"/>
      </w:pPr>
      <w:r>
        <w:rPr/>
        <w:t>值之间的差额，确认为减值损失，计入当期损益。发生的减值损失一经确认，不得转回。</w:t>
      </w:r>
    </w:p>
    <w:p>
      <w:pPr>
        <w:pStyle w:val="BodyText"/>
        <w:spacing w:line="379" w:lineRule="auto" w:before="139"/>
        <w:ind w:left="513" w:right="2211"/>
        <w:jc w:val="left"/>
      </w:pPr>
      <w:r>
        <w:rPr/>
        <w:t>（6）金融资产转移 金融资产转移，是指将金融资产让与或交付给该金融资产发行方以外的另一方（转入方）。</w:t>
      </w:r>
    </w:p>
    <w:p>
      <w:pPr>
        <w:pStyle w:val="BodyText"/>
        <w:spacing w:line="316" w:lineRule="auto" w:before="34"/>
        <w:ind w:left="153" w:right="150" w:firstLine="360"/>
        <w:jc w:val="both"/>
      </w:pPr>
      <w:r>
        <w:rPr>
          <w:spacing w:val="-2"/>
        </w:rPr>
        <w:t>本集团已将金融资产所有权上几乎所有的风险和报酬转移给转入方的，终止确认该金融资产；保留了金融资产所有权上</w:t>
      </w:r>
      <w:r>
        <w:rPr/>
        <w:t> 几乎所有的风险和报酬的，不终止确认该金融资产。</w:t>
      </w:r>
    </w:p>
    <w:p>
      <w:pPr>
        <w:pStyle w:val="BodyText"/>
        <w:spacing w:line="316" w:lineRule="auto" w:before="81"/>
        <w:ind w:left="153" w:right="150" w:firstLine="360"/>
        <w:jc w:val="both"/>
      </w:pPr>
      <w:r>
        <w:rPr>
          <w:spacing w:val="-2"/>
        </w:rPr>
        <w:t>本集团既没有转移也没有保留金融资产所有权上几乎所有的风险和报酬的，分别下列情况处理：放弃了对该金融资产控</w:t>
      </w:r>
      <w:r>
        <w:rPr/>
        <w:t> </w:t>
      </w:r>
      <w:r>
        <w:rPr>
          <w:spacing w:val="-2"/>
        </w:rPr>
        <w:t>制的，终止确认该金融资产并确认产生的资产和负债；未放弃对该金融资产控制的，按照其继续涉入所转移金融资产的程度</w:t>
      </w:r>
      <w:r>
        <w:rPr>
          <w:spacing w:val="-66"/>
        </w:rPr>
        <w:t> </w:t>
      </w:r>
      <w:r>
        <w:rPr>
          <w:spacing w:val="-66"/>
        </w:rPr>
      </w:r>
      <w:r>
        <w:rPr/>
        <w:t>确认有关金融资产，并相应确认有关负债。</w:t>
      </w:r>
    </w:p>
    <w:p>
      <w:pPr>
        <w:pStyle w:val="BodyText"/>
        <w:spacing w:line="381" w:lineRule="auto" w:before="80"/>
        <w:ind w:left="513" w:right="0"/>
        <w:jc w:val="left"/>
      </w:pPr>
      <w:r>
        <w:rPr/>
        <w:t>（7）金融资产和金融负债的抵销 </w:t>
      </w:r>
      <w:r>
        <w:rPr>
          <w:spacing w:val="-2"/>
        </w:rPr>
        <w:t>当本集团具有抵销已确认金融资产和金融负债的法定权利，且目前可执行该种法定权利，同时本集团计划以净额结算或</w:t>
      </w:r>
    </w:p>
    <w:p>
      <w:pPr>
        <w:pStyle w:val="BodyText"/>
        <w:spacing w:line="206" w:lineRule="exact"/>
        <w:ind w:left="153" w:right="0"/>
        <w:jc w:val="left"/>
      </w:pPr>
      <w:r>
        <w:rPr/>
        <w:t>同时变现该金融资产和清偿该金融负债时，金融资产和金融负债以相互抵销后的金额在资产负债表内列示。除此以外，金融</w:t>
      </w:r>
    </w:p>
    <w:p>
      <w:pPr>
        <w:pStyle w:val="BodyText"/>
        <w:spacing w:line="240" w:lineRule="auto" w:before="76"/>
        <w:ind w:left="153" w:right="1258"/>
        <w:jc w:val="left"/>
      </w:pPr>
      <w:r>
        <w:rPr/>
        <w:t>资产和金融负债在资产负债表内分别列示，不予相互抵销。</w:t>
      </w:r>
    </w:p>
    <w:p>
      <w:pPr>
        <w:spacing w:after="0" w:line="240"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1258"/>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258"/>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期末余额达到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万元）以上的应收款项为单 项金额重大的应收款项。</w:t>
            </w:r>
          </w:p>
        </w:tc>
      </w:tr>
      <w:tr>
        <w:trPr>
          <w:trHeight w:val="1338"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对于单项金额重大的应收款项单独进行减值测试，有客观证 据表明发生了减值，根据其未来现金流量现值低于其账面价 值的差额计提坏账准备。单项金额重大经单独测试未发生减 值的应收款项，再按组合计提坏账准备。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1258"/>
        <w:jc w:val="left"/>
      </w:pPr>
      <w:r>
        <w:rPr/>
        <w:t>组合中，采用账龄分析法计提坏账准备的：</w:t>
      </w:r>
    </w:p>
    <w:p>
      <w:pPr>
        <w:pStyle w:val="BodyText"/>
        <w:spacing w:line="240" w:lineRule="auto" w:before="117"/>
        <w:ind w:left="153"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8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1258"/>
        <w:jc w:val="left"/>
      </w:pPr>
      <w:r>
        <w:rPr/>
        <w:t>组合中，采用余额百分比法计提坏账准备的：</w:t>
      </w:r>
    </w:p>
    <w:p>
      <w:pPr>
        <w:pStyle w:val="BodyText"/>
        <w:spacing w:line="338" w:lineRule="auto" w:before="117"/>
        <w:ind w:right="65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258"/>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应收款项的未来现金流量现值与以企业整体经营情况为信用 风险特征的应收款项组合的未来现金流量现值存在显著差异</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 备</w:t>
            </w:r>
          </w:p>
        </w:tc>
      </w:tr>
    </w:tbl>
    <w:p>
      <w:pPr>
        <w:spacing w:line="240" w:lineRule="auto" w:before="2"/>
        <w:rPr>
          <w:rFonts w:ascii="宋体" w:hAnsi="宋体" w:cs="宋体" w:eastAsia="宋体" w:hint="default"/>
          <w:b/>
          <w:bCs/>
          <w:sz w:val="19"/>
          <w:szCs w:val="19"/>
        </w:rPr>
      </w:pPr>
    </w:p>
    <w:p>
      <w:pPr>
        <w:pStyle w:val="Heading3"/>
        <w:spacing w:line="240" w:lineRule="auto" w:before="35"/>
        <w:ind w:right="1258"/>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3" w:right="6711"/>
        <w:jc w:val="left"/>
      </w:pPr>
      <w:r>
        <w:rPr/>
        <w:t>公司是否需要遵守特殊行业的披露要求 否</w:t>
      </w:r>
    </w:p>
    <w:p>
      <w:pPr>
        <w:pStyle w:val="BodyText"/>
        <w:spacing w:line="379" w:lineRule="auto" w:before="50"/>
        <w:ind w:left="513" w:right="2571"/>
        <w:jc w:val="left"/>
      </w:pPr>
      <w:r>
        <w:rPr/>
        <w:t>（1）存货的分类 本集团存货分为库存商品、周转材料、发出商品、劳务成本、开发成本、开发产品等。</w:t>
      </w:r>
    </w:p>
    <w:p>
      <w:pPr>
        <w:spacing w:after="0" w:line="379" w:lineRule="auto"/>
        <w:jc w:val="left"/>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pStyle w:val="BodyText"/>
        <w:spacing w:line="381" w:lineRule="auto" w:before="44"/>
        <w:ind w:left="513" w:right="2531"/>
        <w:jc w:val="left"/>
      </w:pPr>
      <w:r>
        <w:rPr/>
        <w:t>（2）发出存货的计价方法 本集团存货取得时按实际成本计价。库存商品、发出商品等发出时采用个别计价法计价。</w:t>
      </w:r>
    </w:p>
    <w:p>
      <w:pPr>
        <w:pStyle w:val="BodyText"/>
        <w:spacing w:line="316" w:lineRule="auto" w:before="31"/>
        <w:ind w:left="153" w:right="291" w:firstLine="360"/>
        <w:jc w:val="both"/>
      </w:pPr>
      <w:r>
        <w:rPr>
          <w:spacing w:val="-2"/>
        </w:rPr>
        <w:t>开发产品的实际成本包括土地出让金、基础配套设施支出、建筑安装工程支出、开发项目完工之前所发生的借款费用及</w:t>
      </w:r>
      <w:r>
        <w:rPr/>
        <w:t> 开发过程中的其他相关费用。开发产品发出时，采用个别计价法确定其实际成本。</w:t>
      </w:r>
    </w:p>
    <w:p>
      <w:pPr>
        <w:pStyle w:val="BodyText"/>
        <w:spacing w:line="381" w:lineRule="auto" w:before="81"/>
        <w:ind w:left="513" w:right="93"/>
        <w:jc w:val="left"/>
      </w:pPr>
      <w:r>
        <w:rPr/>
        <w:t>（3）存货可变现净值的确定依据及存货跌价准备的计提方法 </w:t>
      </w:r>
      <w:r>
        <w:rPr>
          <w:spacing w:val="-2"/>
        </w:rPr>
        <w:t>存货可变现净值是按存货的估计售价减去至完工时估计将要发生的成本、估计的销售费用以及相关税费后的金额。在确</w:t>
      </w:r>
    </w:p>
    <w:p>
      <w:pPr>
        <w:pStyle w:val="BodyText"/>
        <w:spacing w:line="206" w:lineRule="exact"/>
        <w:ind w:left="153" w:right="93"/>
        <w:jc w:val="left"/>
      </w:pPr>
      <w:r>
        <w:rPr/>
        <w:t>定存货的可变现净值时，以取得的确凿证据为基础，同时考虑持有存货的目的以及资产负债表日后事项的影响。</w:t>
      </w:r>
    </w:p>
    <w:p>
      <w:pPr>
        <w:pStyle w:val="BodyText"/>
        <w:spacing w:line="316" w:lineRule="auto" w:before="137"/>
        <w:ind w:left="153" w:right="198" w:firstLine="360"/>
        <w:jc w:val="both"/>
      </w:pPr>
      <w:r>
        <w:rPr/>
        <w:t>资产负债表日，存货成本高于其可变现净值的，计提存货跌价准备。本集团通常按照单个存货项目计提存货跌价准备， 资产负债表日，以前减记存货价值的影响因素已经消失的，存货跌价准备在原已计提的金额内转回。</w:t>
      </w:r>
    </w:p>
    <w:p>
      <w:pPr>
        <w:pStyle w:val="BodyText"/>
        <w:spacing w:line="381" w:lineRule="auto" w:before="81"/>
        <w:ind w:left="513" w:right="6491"/>
        <w:jc w:val="left"/>
      </w:pPr>
      <w:r>
        <w:rPr/>
        <w:t>（4）存货的盘存制度 本集团存货盘存制度采用永续盘存制。</w:t>
      </w:r>
    </w:p>
    <w:p>
      <w:pPr>
        <w:pStyle w:val="BodyText"/>
        <w:spacing w:line="381" w:lineRule="auto" w:before="31"/>
        <w:ind w:left="513" w:right="5771"/>
        <w:jc w:val="left"/>
      </w:pPr>
      <w:r>
        <w:rPr/>
        <w:t>（5）低值易耗品的摊销方法 本集团低值易耗品领用时采用一次转销法摊销。</w:t>
      </w:r>
    </w:p>
    <w:p>
      <w:pPr>
        <w:spacing w:line="240" w:lineRule="auto" w:before="11"/>
        <w:rPr>
          <w:rFonts w:ascii="宋体" w:hAnsi="宋体" w:cs="宋体" w:eastAsia="宋体" w:hint="default"/>
          <w:sz w:val="18"/>
          <w:szCs w:val="18"/>
        </w:rPr>
      </w:pPr>
    </w:p>
    <w:p>
      <w:pPr>
        <w:pStyle w:val="Heading3"/>
        <w:spacing w:line="240" w:lineRule="auto"/>
        <w:ind w:right="93"/>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3"/>
        <w:jc w:val="left"/>
      </w:pPr>
      <w:r>
        <w:rPr/>
        <w:t>无。</w:t>
      </w:r>
    </w:p>
    <w:p>
      <w:pPr>
        <w:spacing w:line="240" w:lineRule="auto" w:before="12"/>
        <w:rPr>
          <w:rFonts w:ascii="宋体" w:hAnsi="宋体" w:cs="宋体" w:eastAsia="宋体" w:hint="default"/>
          <w:sz w:val="26"/>
          <w:szCs w:val="26"/>
        </w:rPr>
      </w:pPr>
    </w:p>
    <w:p>
      <w:pPr>
        <w:pStyle w:val="Heading3"/>
        <w:spacing w:line="240" w:lineRule="auto"/>
        <w:ind w:right="93"/>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291" w:firstLine="360"/>
        <w:jc w:val="both"/>
      </w:pPr>
      <w:r>
        <w:rPr>
          <w:spacing w:val="-2"/>
        </w:rPr>
        <w:t>长期股权投资包括对子公司、合营企业和联营企业的权益性投资。本集团能够对被投资单位施加重大影响的，为本集团</w:t>
      </w:r>
      <w:r>
        <w:rPr/>
        <w:t> 的联营企业。</w:t>
      </w:r>
    </w:p>
    <w:p>
      <w:pPr>
        <w:pStyle w:val="BodyText"/>
        <w:spacing w:line="379" w:lineRule="auto" w:before="81"/>
        <w:ind w:left="514" w:right="93"/>
        <w:jc w:val="left"/>
      </w:pPr>
      <w:r>
        <w:rPr/>
        <w:t>（1）初始投资成本确定 </w:t>
      </w:r>
      <w:r>
        <w:rPr>
          <w:spacing w:val="-2"/>
        </w:rPr>
        <w:t>形成企业合并的长期股权投资：同一控制下企业合并取得的长期股权投资，在合并日按照取得被合并方所有者权益在最</w:t>
      </w:r>
    </w:p>
    <w:p>
      <w:pPr>
        <w:pStyle w:val="BodyText"/>
        <w:spacing w:line="208" w:lineRule="exact"/>
        <w:ind w:right="93"/>
        <w:jc w:val="left"/>
      </w:pPr>
      <w:r>
        <w:rPr/>
        <w:t>终控制方合并财务报表中的账面价值份额作为投资成本；非同一控制下企业合并取得的长期股权投资，按照合并成本作为长</w:t>
      </w:r>
    </w:p>
    <w:p>
      <w:pPr>
        <w:pStyle w:val="BodyText"/>
        <w:spacing w:line="381" w:lineRule="auto" w:before="76"/>
        <w:ind w:left="514" w:right="93" w:hanging="360"/>
        <w:jc w:val="left"/>
      </w:pPr>
      <w:r>
        <w:rPr/>
        <w:t>期股权投资的投资成本。 </w:t>
      </w:r>
      <w:r>
        <w:rPr>
          <w:spacing w:val="-2"/>
        </w:rPr>
        <w:t>对于其他方式取得的长期股权投资：支付现金取得的长期股权投资，按照实际支付的购买价款作为初始投资成本；发行</w:t>
      </w:r>
    </w:p>
    <w:p>
      <w:pPr>
        <w:pStyle w:val="BodyText"/>
        <w:spacing w:line="206" w:lineRule="exact"/>
        <w:ind w:right="93"/>
        <w:jc w:val="left"/>
      </w:pPr>
      <w:r>
        <w:rPr/>
        <w:t>权益性证券取得的长期股权投资，以发行权益性证券的公允价值作为初始投资成本。</w:t>
      </w:r>
    </w:p>
    <w:p>
      <w:pPr>
        <w:pStyle w:val="BodyText"/>
        <w:spacing w:line="381" w:lineRule="auto" w:before="139"/>
        <w:ind w:left="514" w:right="93"/>
        <w:jc w:val="left"/>
      </w:pPr>
      <w:r>
        <w:rPr/>
        <w:t>（2）后续计量及损益确认方法 对子公司的投资，采用成本法核算，除非投资符合持有待售的条件；对联营企业和合营企业的投资，采用权益法核算。</w:t>
      </w:r>
      <w:r>
        <w:rPr>
          <w:spacing w:val="-84"/>
        </w:rPr>
        <w:t> </w:t>
      </w:r>
      <w:r>
        <w:rPr>
          <w:spacing w:val="-84"/>
        </w:rPr>
      </w:r>
      <w:r>
        <w:rPr>
          <w:spacing w:val="-2"/>
        </w:rPr>
        <w:t>采用成本法核算的长期股权投资，除取得投资时实际支付的价款或对价中包含的已宣告但尚未发放的现金股利或利润外，</w:t>
      </w:r>
    </w:p>
    <w:p>
      <w:pPr>
        <w:pStyle w:val="BodyText"/>
        <w:spacing w:line="206" w:lineRule="exact"/>
        <w:ind w:right="93"/>
        <w:jc w:val="left"/>
      </w:pPr>
      <w:r>
        <w:rPr/>
        <w:t>被投资单位宣告分派的现金股利或利润，确认为投资收益计入当期损益。</w:t>
      </w:r>
    </w:p>
    <w:p>
      <w:pPr>
        <w:pStyle w:val="BodyText"/>
        <w:spacing w:line="316" w:lineRule="auto" w:before="139"/>
        <w:ind w:right="290" w:firstLine="360"/>
        <w:jc w:val="both"/>
      </w:pPr>
      <w:r>
        <w:rPr>
          <w:spacing w:val="-2"/>
        </w:rPr>
        <w:t>采用权益法核算的长期股权投资，初始投资成本大于投资时应享有被投资单位可辨认净资产公允价值份额的，不调整长</w:t>
      </w:r>
      <w:r>
        <w:rPr/>
        <w:t> </w:t>
      </w:r>
      <w:r>
        <w:rPr>
          <w:spacing w:val="-2"/>
        </w:rPr>
        <w:t>期股权投资的投资成本；初始投资成本小于投资时应享有被投资单位可辨认净资产公允价值份额的，对长期股权投资的账面</w:t>
      </w:r>
      <w:r>
        <w:rPr>
          <w:spacing w:val="-64"/>
        </w:rPr>
        <w:t> </w:t>
      </w:r>
      <w:r>
        <w:rPr>
          <w:spacing w:val="-64"/>
        </w:rPr>
      </w:r>
      <w:r>
        <w:rPr/>
        <w:t>价值进行调整，差额计入投资当期的损益。</w:t>
      </w:r>
    </w:p>
    <w:p>
      <w:pPr>
        <w:pStyle w:val="BodyText"/>
        <w:spacing w:line="316" w:lineRule="auto" w:before="80"/>
        <w:ind w:right="289" w:firstLine="360"/>
        <w:jc w:val="both"/>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6"/>
        </w:rPr>
        <w:t> </w:t>
      </w:r>
      <w:r>
        <w:rPr>
          <w:spacing w:val="-66"/>
        </w:rPr>
      </w:r>
      <w:r>
        <w:rPr>
          <w:spacing w:val="-2"/>
        </w:rPr>
        <w:t>期股权投资的账面价值；被投资单位除净损益、其他综合收益和利润分配以外所有者权益的其他变动，调整长期股权投资的</w:t>
      </w:r>
      <w:r>
        <w:rPr>
          <w:spacing w:val="-66"/>
        </w:rPr>
        <w:t> </w:t>
      </w:r>
      <w:r>
        <w:rPr>
          <w:spacing w:val="-66"/>
        </w:rPr>
      </w:r>
      <w:r>
        <w:rPr>
          <w:spacing w:val="-2"/>
        </w:rPr>
        <w:t>账面价值并计入资本公积（其他资本公积）。在确认应享有被投资单位净损益的份额时，以取得投资时被投资单位各项可辨</w:t>
      </w:r>
      <w:r>
        <w:rPr>
          <w:spacing w:val="-66"/>
        </w:rPr>
        <w:t> </w:t>
      </w:r>
      <w:r>
        <w:rPr>
          <w:spacing w:val="-66"/>
        </w:rPr>
      </w:r>
      <w:r>
        <w:rPr/>
        <w:t>认资产等的公允价值为基础，并按照本集团的会计政策及会计期间，对被投资单位的净利润进行调整后确认。</w:t>
      </w:r>
    </w:p>
    <w:p>
      <w:pPr>
        <w:pStyle w:val="BodyText"/>
        <w:spacing w:line="240" w:lineRule="auto" w:before="81"/>
        <w:ind w:left="514" w:right="93"/>
        <w:jc w:val="left"/>
      </w:pPr>
      <w:r>
        <w:rPr/>
        <w:t>因追加投资等原因能够对被投资单位施加重大影响或实施共同控制但不构成控制的，在转换日，按照原股权的公允价值</w:t>
      </w:r>
    </w:p>
    <w:p>
      <w:pPr>
        <w:spacing w:after="0" w:line="240" w:lineRule="auto"/>
        <w:jc w:val="left"/>
        <w:sectPr>
          <w:pgSz w:w="11910" w:h="16840"/>
          <w:pgMar w:header="877" w:footer="982" w:top="1100" w:bottom="1180" w:left="980" w:right="840"/>
        </w:sectPr>
      </w:pPr>
    </w:p>
    <w:p>
      <w:pPr>
        <w:spacing w:line="240" w:lineRule="auto" w:before="12"/>
        <w:rPr>
          <w:rFonts w:ascii="宋体" w:hAnsi="宋体" w:cs="宋体" w:eastAsia="宋体" w:hint="default"/>
          <w:sz w:val="21"/>
          <w:szCs w:val="21"/>
        </w:rPr>
      </w:pPr>
    </w:p>
    <w:p>
      <w:pPr>
        <w:pStyle w:val="BodyText"/>
        <w:spacing w:line="316" w:lineRule="auto" w:before="44"/>
        <w:ind w:left="153" w:right="184"/>
        <w:jc w:val="left"/>
      </w:pPr>
      <w:r>
        <w:rPr>
          <w:spacing w:val="-2"/>
        </w:rPr>
        <w:t>加上新增投资成本之和，作为改按权益法核算的初始投资成本。原股权于转换日的公允价值与账面价值之间的差额，以及原</w:t>
      </w:r>
      <w:r>
        <w:rPr>
          <w:spacing w:val="-66"/>
        </w:rPr>
        <w:t> </w:t>
      </w:r>
      <w:r>
        <w:rPr>
          <w:spacing w:val="-66"/>
        </w:rPr>
      </w:r>
      <w:r>
        <w:rPr/>
        <w:t>计入其他综合收益的累计公允价值变动转入改按权益法核算的当期损益。</w:t>
      </w:r>
    </w:p>
    <w:p>
      <w:pPr>
        <w:pStyle w:val="BodyText"/>
        <w:spacing w:line="316" w:lineRule="auto" w:before="81"/>
        <w:ind w:left="153" w:right="91" w:firstLine="360"/>
        <w:jc w:val="left"/>
      </w:pPr>
      <w:r>
        <w:rPr>
          <w:spacing w:val="-2"/>
        </w:rPr>
        <w:t>因处置部分股权投资等原因丧失了对被投资单位的共同控制或重大影响的，处置后的剩余股权在丧失共同控制或重大影</w:t>
      </w:r>
      <w:r>
        <w:rPr/>
        <w:t> 响之日改按《企业会计准则第22号—金融工具确认和计量》进行会计处理，公允价值与账面价值之间的差额计入当期损益。</w:t>
      </w:r>
      <w:r>
        <w:rPr>
          <w:spacing w:val="-85"/>
        </w:rPr>
        <w:t> </w:t>
      </w:r>
      <w:r>
        <w:rPr>
          <w:spacing w:val="-85"/>
        </w:rPr>
      </w:r>
      <w:r>
        <w:rPr>
          <w:spacing w:val="-2"/>
        </w:rPr>
        <w:t>原股权投资因采用权益法核算而确认的其他综合收益，在终止采用权益法核算时采用与被投资单位直接处置相关资产或负债</w:t>
      </w:r>
      <w:r>
        <w:rPr>
          <w:spacing w:val="-64"/>
        </w:rPr>
        <w:t> </w:t>
      </w:r>
      <w:r>
        <w:rPr>
          <w:spacing w:val="-64"/>
        </w:rPr>
      </w:r>
      <w:r>
        <w:rPr/>
        <w:t>相同的基础进行会计处理；原股权投资相关的其他所有者权益变动转入当期损益。</w:t>
      </w:r>
    </w:p>
    <w:p>
      <w:pPr>
        <w:pStyle w:val="BodyText"/>
        <w:spacing w:line="316" w:lineRule="auto" w:before="80"/>
        <w:ind w:left="153" w:right="191" w:firstLine="360"/>
        <w:jc w:val="both"/>
      </w:pPr>
      <w:r>
        <w:rPr>
          <w:spacing w:val="-2"/>
        </w:rPr>
        <w:t>因处置部分股权投资等原因丧失了对被投资单位的控制的，处置后的剩余股权能够对被投资单位实施共同控制或施加重</w:t>
      </w:r>
      <w:r>
        <w:rPr/>
        <w:t> </w:t>
      </w:r>
      <w:r>
        <w:rPr>
          <w:spacing w:val="-2"/>
        </w:rPr>
        <w:t>大影响的，改按权益法核算，并对该剩余股权视同自取得时即采用权益法核算进行调整；处置后的剩余股权不能对被投资单</w:t>
      </w:r>
      <w:r>
        <w:rPr>
          <w:spacing w:val="-66"/>
        </w:rPr>
        <w:t> </w:t>
      </w:r>
      <w:r>
        <w:rPr>
          <w:spacing w:val="-66"/>
        </w:rPr>
      </w:r>
      <w:r>
        <w:rPr>
          <w:spacing w:val="-2"/>
        </w:rPr>
        <w:t>位实施共同控制或施加重大影响的，改按《企业会计准则第22号—金融工具确认和计量》的有关规定进行会计处理，其在丧</w:t>
      </w:r>
      <w:r>
        <w:rPr>
          <w:spacing w:val="-64"/>
        </w:rPr>
        <w:t> </w:t>
      </w:r>
      <w:r>
        <w:rPr>
          <w:spacing w:val="-64"/>
        </w:rPr>
      </w:r>
      <w:r>
        <w:rPr/>
        <w:t>失控制之日的公允价值与账面价值之间的差额计入当期损益。</w:t>
      </w:r>
    </w:p>
    <w:p>
      <w:pPr>
        <w:pStyle w:val="BodyText"/>
        <w:spacing w:line="316" w:lineRule="auto" w:before="81"/>
        <w:ind w:left="153" w:right="190" w:firstLine="360"/>
        <w:jc w:val="both"/>
      </w:pPr>
      <w:r>
        <w:rPr>
          <w:spacing w:val="-2"/>
        </w:rPr>
        <w:t>因其他投资方增资而导致本公司持股比例下降、从而丧失控制权但能对被投资单位实施共同控制或施加重大影响的，按</w:t>
      </w:r>
      <w:r>
        <w:rPr/>
        <w:t> </w:t>
      </w:r>
      <w:r>
        <w:rPr>
          <w:spacing w:val="-2"/>
        </w:rPr>
        <w:t>照新的持股比例确认本公司应享有的被投资单位因增资扩股而增加净资产的份额，与应结转持股比例下降部分所对应的长期</w:t>
      </w:r>
      <w:r>
        <w:rPr>
          <w:spacing w:val="-64"/>
        </w:rPr>
        <w:t> </w:t>
      </w:r>
      <w:r>
        <w:rPr>
          <w:spacing w:val="-64"/>
        </w:rPr>
      </w:r>
      <w:r>
        <w:rPr/>
        <w:t>股权投资原账面价值之间的差额计入当期损益；然后，按照新的持股比例视同自取得投资时即采用权益法核算进行调整。</w:t>
      </w:r>
    </w:p>
    <w:p>
      <w:pPr>
        <w:pStyle w:val="BodyText"/>
        <w:spacing w:line="316" w:lineRule="auto" w:before="81"/>
        <w:ind w:left="153" w:right="190" w:firstLine="360"/>
        <w:jc w:val="both"/>
      </w:pPr>
      <w:r>
        <w:rPr>
          <w:spacing w:val="-2"/>
        </w:rPr>
        <w:t>本集团与联营企业及合营企业之间发生的未实现内部交易损益按照持股比例计算归属于本集团的部分，在抵销基础上确</w:t>
      </w:r>
      <w:r>
        <w:rPr/>
        <w:t> 认投资损益。但本集团与被投资单位发生的未实现内部交易损失，属于所转让资产减值损失的，不予以抵销。</w:t>
      </w:r>
    </w:p>
    <w:p>
      <w:pPr>
        <w:pStyle w:val="BodyText"/>
        <w:spacing w:line="381" w:lineRule="auto" w:before="80"/>
        <w:ind w:left="513" w:right="184"/>
        <w:jc w:val="left"/>
      </w:pPr>
      <w:r>
        <w:rPr/>
        <w:t>（3）确定对被投资单位具有共同控制、重大影响的依据 </w:t>
      </w:r>
      <w:r>
        <w:rPr>
          <w:spacing w:val="-2"/>
        </w:rPr>
        <w:t>共同控制，是指按照相关约定对某项安排所共有的控制，并且该安排的相关活动必须经过分享控制权的参与方一致同意</w:t>
      </w:r>
    </w:p>
    <w:p>
      <w:pPr>
        <w:pStyle w:val="BodyText"/>
        <w:spacing w:line="206" w:lineRule="exact"/>
        <w:ind w:left="153" w:right="0"/>
        <w:jc w:val="left"/>
      </w:pPr>
      <w:r>
        <w:rPr/>
        <w:t>后才能决策。在判断是否存在共同控制时，首先判断是否由所有参与方或参与方组合集体控制该安排，其次再判断该安排相</w:t>
      </w:r>
    </w:p>
    <w:p>
      <w:pPr>
        <w:pStyle w:val="BodyText"/>
        <w:spacing w:line="316" w:lineRule="auto" w:before="76"/>
        <w:ind w:left="153" w:right="190"/>
        <w:jc w:val="both"/>
      </w:pPr>
      <w:r>
        <w:rPr>
          <w:spacing w:val="-2"/>
        </w:rPr>
        <w:t>关活动的决策是否必须经过这些集体控制该安排的参与方一致同意。如果所有参与方或一组参与方必须一致行动才能决定某</w:t>
      </w:r>
      <w:r>
        <w:rPr>
          <w:spacing w:val="-64"/>
        </w:rPr>
        <w:t> </w:t>
      </w:r>
      <w:r>
        <w:rPr>
          <w:spacing w:val="-64"/>
        </w:rPr>
      </w:r>
      <w:r>
        <w:rPr>
          <w:spacing w:val="-2"/>
        </w:rPr>
        <w:t>项安排的相关活动，则认为所有参与方或一组参与方集体控制该安排；如果存在两个或两个以上的参与方组合能够集体控制</w:t>
      </w:r>
      <w:r>
        <w:rPr>
          <w:spacing w:val="-64"/>
        </w:rPr>
        <w:t> </w:t>
      </w:r>
      <w:r>
        <w:rPr>
          <w:spacing w:val="-64"/>
        </w:rPr>
      </w:r>
      <w:r>
        <w:rPr/>
        <w:t>某项安排的，不构成共同控制。判断是否存在共同控制时，不考虑享有的保护性权利。</w:t>
      </w:r>
    </w:p>
    <w:p>
      <w:pPr>
        <w:pStyle w:val="BodyText"/>
        <w:spacing w:line="316" w:lineRule="auto" w:before="81"/>
        <w:ind w:left="153" w:right="190" w:firstLine="360"/>
        <w:jc w:val="both"/>
      </w:pPr>
      <w:r>
        <w:rPr>
          <w:spacing w:val="-2"/>
        </w:rPr>
        <w:t>重大影响，是指投资方对被投资单位的财务和经营政策有参与决策的权力，但并不能够控制或者与其他方一起共同控制</w:t>
      </w:r>
      <w:r>
        <w:rPr/>
        <w:t> </w:t>
      </w:r>
      <w:r>
        <w:rPr>
          <w:spacing w:val="-2"/>
        </w:rPr>
        <w:t>这些政策的制定。在确定能否对被投资单位施加重大影响时，考虑投资方直接或间接持有被投资单位的表决权股份以及投资</w:t>
      </w:r>
      <w:r>
        <w:rPr>
          <w:spacing w:val="-64"/>
        </w:rPr>
        <w:t> </w:t>
      </w:r>
      <w:r>
        <w:rPr>
          <w:spacing w:val="-64"/>
        </w:rPr>
      </w:r>
      <w:r>
        <w:rPr>
          <w:spacing w:val="-2"/>
        </w:rPr>
        <w:t>方及其他方持有的当期可执行潜在表决权在假定转换为对被投资方单位的股权后产生的影响，包括被投资单位发行的当期可</w:t>
      </w:r>
      <w:r>
        <w:rPr>
          <w:spacing w:val="-64"/>
        </w:rPr>
        <w:t> </w:t>
      </w:r>
      <w:r>
        <w:rPr>
          <w:spacing w:val="-64"/>
        </w:rPr>
      </w:r>
      <w:r>
        <w:rPr/>
        <w:t>转换的认股权证、股份期权及可转换公司债券等的影响。</w:t>
      </w:r>
    </w:p>
    <w:p>
      <w:pPr>
        <w:pStyle w:val="BodyText"/>
        <w:spacing w:line="316" w:lineRule="auto" w:before="80"/>
        <w:ind w:left="153" w:right="188" w:firstLine="360"/>
        <w:jc w:val="both"/>
      </w:pPr>
      <w:r>
        <w:rPr/>
        <w:t>当本公司直接或通过子公司间接拥有被投资单位20%（含20%）以上但低于50%的表决权股份时，一般认为对被投资单位 </w:t>
      </w:r>
      <w:r>
        <w:rPr>
          <w:spacing w:val="-2"/>
        </w:rPr>
        <w:t>具有重大影响，除非有明确证据表明该种情况下不能参与被投资单位的生产经营决策，不形成重大影响；本集团拥有被投资</w:t>
      </w:r>
      <w:r>
        <w:rPr>
          <w:spacing w:val="-66"/>
        </w:rPr>
        <w:t> </w:t>
      </w:r>
      <w:r>
        <w:rPr>
          <w:spacing w:val="-66"/>
        </w:rPr>
      </w:r>
      <w:r>
        <w:rPr/>
        <w:t>单位20%（不含）以下的表决权股份时，一般不认为对被投资单位具有重大影响，除非有明确证据表明该种情况下能够参与</w:t>
      </w:r>
      <w:r>
        <w:rPr>
          <w:spacing w:val="-83"/>
        </w:rPr>
        <w:t> </w:t>
      </w:r>
      <w:r>
        <w:rPr>
          <w:spacing w:val="-83"/>
        </w:rPr>
      </w:r>
      <w:r>
        <w:rPr/>
        <w:t>被投资单位的生产经营决策，形成重大影响。</w:t>
      </w:r>
    </w:p>
    <w:p>
      <w:pPr>
        <w:pStyle w:val="BodyText"/>
        <w:spacing w:line="381" w:lineRule="auto" w:before="81"/>
        <w:ind w:left="513" w:right="3331"/>
        <w:jc w:val="left"/>
      </w:pPr>
      <w:r>
        <w:rPr/>
        <w:t>（4）减值测试方法及减值准备计提方法 对子公司、联营企业及合营企业的投资，计提资产减值的方法见附注三、20。</w:t>
      </w:r>
    </w:p>
    <w:p>
      <w:pPr>
        <w:spacing w:line="240" w:lineRule="auto" w:before="9"/>
        <w:rPr>
          <w:rFonts w:ascii="宋体" w:hAnsi="宋体" w:cs="宋体" w:eastAsia="宋体" w:hint="default"/>
          <w:sz w:val="18"/>
          <w:szCs w:val="18"/>
        </w:rPr>
      </w:pPr>
    </w:p>
    <w:p>
      <w:pPr>
        <w:pStyle w:val="Heading3"/>
        <w:spacing w:line="240" w:lineRule="auto"/>
        <w:ind w:right="184"/>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8011"/>
        <w:jc w:val="left"/>
      </w:pPr>
      <w:r>
        <w:rPr/>
        <w:t>投资性房地产计量模式 成本法计量 折旧或摊销方法</w:t>
      </w:r>
    </w:p>
    <w:p>
      <w:pPr>
        <w:pStyle w:val="BodyText"/>
        <w:spacing w:line="316" w:lineRule="auto" w:before="50"/>
        <w:ind w:left="153" w:right="101" w:firstLine="360"/>
        <w:jc w:val="both"/>
      </w:pPr>
      <w:r>
        <w:rPr>
          <w:spacing w:val="-4"/>
        </w:rPr>
        <w:t>投资性房地产是指为赚取租金或资本增值，或两者兼有而持有的房地产。本集团投资性房地产包括已出租的土地使用权、</w:t>
      </w:r>
      <w:r>
        <w:rPr/>
        <w:t> 持有并准备增值后转让的土地使用权、已出租的建筑物。</w:t>
      </w:r>
    </w:p>
    <w:p>
      <w:pPr>
        <w:pStyle w:val="BodyText"/>
        <w:spacing w:line="379" w:lineRule="auto" w:before="81"/>
        <w:ind w:left="514" w:right="90"/>
        <w:jc w:val="left"/>
      </w:pPr>
      <w:r>
        <w:rPr/>
        <w:t>本集团投资性房地产按照取得时的成本进行初始计量，并按照固定资产或无形资产的有关规定，按期计提折旧或摊销。</w:t>
      </w:r>
      <w:r>
        <w:rPr>
          <w:spacing w:val="-84"/>
        </w:rPr>
        <w:t> </w:t>
      </w:r>
      <w:r>
        <w:rPr>
          <w:spacing w:val="-84"/>
        </w:rPr>
      </w:r>
      <w:r>
        <w:rPr/>
        <w:t>采用成本模式进行后续计量的投资性房地产，计提资产减值方法见附注三、20。</w:t>
      </w:r>
    </w:p>
    <w:p>
      <w:pPr>
        <w:spacing w:after="0" w:line="379"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240" w:lineRule="auto" w:before="44"/>
        <w:ind w:left="513" w:right="1258"/>
        <w:jc w:val="left"/>
      </w:pPr>
      <w:r>
        <w:rPr/>
        <w:t>投资性房地产出售、转让、报废或毁损的处置收入扣除其账面价值和相关税费后的差额计入当期损益。</w:t>
      </w:r>
    </w:p>
    <w:p>
      <w:pPr>
        <w:spacing w:line="240" w:lineRule="auto" w:before="12"/>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258"/>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49" w:firstLine="360"/>
        <w:jc w:val="both"/>
      </w:pPr>
      <w:r>
        <w:rPr>
          <w:spacing w:val="-2"/>
        </w:rPr>
        <w:t>本集团固定资产是指为生产商品、提供劳务、出租或经营管理而持有的，使用寿命超过一个会计年度的有形资产。与该</w:t>
      </w:r>
      <w:r>
        <w:rPr/>
        <w:t> </w:t>
      </w:r>
      <w:r>
        <w:rPr>
          <w:spacing w:val="-2"/>
        </w:rPr>
        <w:t>固定资产有关的经济利益很可能流入企业，并且该固定资产的成本能够可靠地计量时，固定资产才能予以确认。本集团固定</w:t>
      </w:r>
      <w:r>
        <w:rPr>
          <w:spacing w:val="-66"/>
        </w:rPr>
        <w:t> </w:t>
      </w:r>
      <w:r>
        <w:rPr>
          <w:spacing w:val="-66"/>
        </w:rPr>
      </w:r>
      <w:r>
        <w:rPr/>
        <w:t>资产按照取得时的实际成本进行初始计量。</w:t>
      </w:r>
    </w:p>
    <w:p>
      <w:pPr>
        <w:spacing w:line="240" w:lineRule="auto" w:before="7"/>
        <w:rPr>
          <w:rFonts w:ascii="宋体" w:hAnsi="宋体" w:cs="宋体" w:eastAsia="宋体" w:hint="default"/>
          <w:sz w:val="22"/>
          <w:szCs w:val="22"/>
        </w:rPr>
      </w:pPr>
    </w:p>
    <w:p>
      <w:pPr>
        <w:pStyle w:val="Heading3"/>
        <w:spacing w:line="240" w:lineRule="auto"/>
        <w:ind w:right="1258"/>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bl>
    <w:p>
      <w:pPr>
        <w:pStyle w:val="BodyText"/>
        <w:spacing w:line="240" w:lineRule="auto" w:before="73"/>
        <w:ind w:right="1258"/>
        <w:jc w:val="left"/>
      </w:pPr>
      <w:r>
        <w:rPr/>
        <w:t>无。</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258"/>
        <w:jc w:val="left"/>
      </w:pPr>
      <w:r>
        <w:rPr/>
        <w:t>无。</w:t>
      </w:r>
    </w:p>
    <w:p>
      <w:pPr>
        <w:spacing w:line="240" w:lineRule="auto" w:before="12"/>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6711"/>
        <w:jc w:val="left"/>
      </w:pPr>
      <w:r>
        <w:rPr/>
        <w:t>公司是否需要遵守特殊行业的披露要求 否</w:t>
      </w:r>
    </w:p>
    <w:p>
      <w:pPr>
        <w:pStyle w:val="BodyText"/>
        <w:spacing w:line="316" w:lineRule="auto" w:before="47"/>
        <w:ind w:left="153" w:right="0" w:firstLine="360"/>
        <w:jc w:val="left"/>
      </w:pPr>
      <w:r>
        <w:rPr>
          <w:spacing w:val="-2"/>
        </w:rPr>
        <w:t>本集团在建工程成本按实际工程支出确定，包括在建期间发生的各项必要工程支出、工程达到预定可使用状态前的应予</w:t>
      </w:r>
      <w:r>
        <w:rPr/>
        <w:t> 资本化的借款费用以及其他相关费用等。</w:t>
      </w:r>
    </w:p>
    <w:p>
      <w:pPr>
        <w:pStyle w:val="BodyText"/>
        <w:spacing w:line="381" w:lineRule="auto" w:before="81"/>
        <w:ind w:left="513" w:right="5451"/>
        <w:jc w:val="left"/>
      </w:pPr>
      <w:r>
        <w:rPr/>
        <w:t>在建工程在达到预定可使用状态时转入固定资产。 在建工程计提资产减值方法见附注三、20。</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8"/>
        <w:ind w:right="1258"/>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81" w:lineRule="auto"/>
        <w:ind w:left="514" w:right="0"/>
        <w:jc w:val="left"/>
      </w:pPr>
      <w:r>
        <w:rPr/>
        <w:t>（1）借款费用资本化的确认原则 </w:t>
      </w:r>
      <w:r>
        <w:rPr>
          <w:spacing w:val="-2"/>
        </w:rPr>
        <w:t>本集团发生的借款费用，可直接归属于符合资本化条件的资产的购建或者生产的，予以资本化，计入相关资产成本；其</w:t>
      </w:r>
    </w:p>
    <w:p>
      <w:pPr>
        <w:pStyle w:val="BodyText"/>
        <w:spacing w:line="206" w:lineRule="exact"/>
        <w:ind w:right="151"/>
        <w:jc w:val="left"/>
      </w:pPr>
      <w:r>
        <w:rPr/>
        <w:t>他借款费用，在发生时根据其发生额确认为费用，计入当期损益。借款费用同时满足下列条件的，开始资本化：</w:t>
      </w:r>
    </w:p>
    <w:p>
      <w:pPr>
        <w:pStyle w:val="BodyText"/>
        <w:spacing w:line="316" w:lineRule="auto" w:before="139"/>
        <w:ind w:right="133" w:firstLine="360"/>
        <w:jc w:val="left"/>
      </w:pPr>
      <w:r>
        <w:rPr/>
        <w:t>①</w:t>
      </w:r>
      <w:r>
        <w:rPr>
          <w:spacing w:val="7"/>
        </w:rPr>
        <w:t> </w:t>
      </w:r>
      <w:r>
        <w:rPr/>
        <w:t>资产支出已经发生，资产支出包括为购建或者生产符合资本化条件的资产而以支付现金、转移非现金资产或者承担</w:t>
      </w:r>
      <w:r>
        <w:rPr/>
        <w:t> 带息债务形式发生的支出；</w:t>
      </w:r>
    </w:p>
    <w:p>
      <w:pPr>
        <w:pStyle w:val="BodyText"/>
        <w:spacing w:line="240" w:lineRule="auto" w:before="80"/>
        <w:ind w:left="514" w:right="1258"/>
        <w:jc w:val="left"/>
      </w:pPr>
      <w:r>
        <w:rPr/>
        <w:t>② 借款费用已经发生；</w:t>
      </w:r>
    </w:p>
    <w:p>
      <w:pPr>
        <w:spacing w:after="0" w:line="240" w:lineRule="auto"/>
        <w:jc w:val="left"/>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pStyle w:val="BodyText"/>
        <w:spacing w:line="240" w:lineRule="auto" w:before="44"/>
        <w:ind w:left="513" w:right="184"/>
        <w:jc w:val="left"/>
      </w:pPr>
      <w:r>
        <w:rPr/>
        <w:t>③ 为使资产达到预定可使用或者可销售状态所必要的购建或者生产活动已经开始。</w:t>
      </w:r>
    </w:p>
    <w:p>
      <w:pPr>
        <w:pStyle w:val="BodyText"/>
        <w:spacing w:line="379" w:lineRule="auto" w:before="139"/>
        <w:ind w:left="513" w:right="184"/>
        <w:jc w:val="left"/>
      </w:pPr>
      <w:r>
        <w:rPr/>
        <w:t>（2）借款费用资本化期间 </w:t>
      </w:r>
      <w:r>
        <w:rPr>
          <w:spacing w:val="-2"/>
        </w:rPr>
        <w:t>本集团购建或者生产符合资本化条件的资产达到预定可使用或者可销售状态时，借款费用停止资本化。在符合资本化条</w:t>
      </w:r>
    </w:p>
    <w:p>
      <w:pPr>
        <w:pStyle w:val="BodyText"/>
        <w:spacing w:line="208" w:lineRule="exact"/>
        <w:ind w:left="153" w:right="184"/>
        <w:jc w:val="left"/>
      </w:pPr>
      <w:r>
        <w:rPr/>
        <w:t>件的资产达到预定可使用或者可销售状态之后所发生的借款费用，在发生时根据其发生额确认为费用，计入当期损益。</w:t>
      </w:r>
    </w:p>
    <w:p>
      <w:pPr>
        <w:pStyle w:val="BodyText"/>
        <w:spacing w:line="316" w:lineRule="auto" w:before="139"/>
        <w:ind w:left="153" w:right="184" w:firstLine="360"/>
        <w:jc w:val="left"/>
      </w:pPr>
      <w:r>
        <w:rPr>
          <w:spacing w:val="-4"/>
        </w:rPr>
        <w:t>符合资本化条件的资产在购建或者生产过程中发生非正常中断、且中断时间连续超过3个月的，暂停借款费用的资本化；</w:t>
      </w:r>
      <w:r>
        <w:rPr/>
        <w:t> 正常中断期间的借款费用继续资本化。</w:t>
      </w:r>
    </w:p>
    <w:p>
      <w:pPr>
        <w:pStyle w:val="BodyText"/>
        <w:spacing w:line="379" w:lineRule="auto" w:before="81"/>
        <w:ind w:left="513" w:right="184"/>
        <w:jc w:val="left"/>
      </w:pPr>
      <w:r>
        <w:rPr/>
        <w:t>（3）借款费用资本化率以及资本化金额的计算方法 </w:t>
      </w:r>
      <w:r>
        <w:rPr>
          <w:spacing w:val="-2"/>
        </w:rPr>
        <w:t>专门借款当期实际发生的利息费用，减去尚未动用的借款资金存入银行取得的利息收入或进行暂时性投资取得的投资收</w:t>
      </w:r>
    </w:p>
    <w:p>
      <w:pPr>
        <w:pStyle w:val="BodyText"/>
        <w:spacing w:line="208" w:lineRule="exact"/>
        <w:ind w:left="153" w:right="91"/>
        <w:jc w:val="left"/>
      </w:pPr>
      <w:r>
        <w:rPr/>
        <w:t>益后的金额予以资本化</w:t>
      </w:r>
      <w:r>
        <w:rPr>
          <w:spacing w:val="-82"/>
        </w:rPr>
        <w:t>；</w:t>
      </w:r>
      <w:r>
        <w:rPr/>
        <w:t>一般借款根据累计资产支出超过专门借款部分的资产支出加权平均数乘以所占用一般借款的资本化</w:t>
      </w:r>
    </w:p>
    <w:p>
      <w:pPr>
        <w:pStyle w:val="BodyText"/>
        <w:spacing w:line="381" w:lineRule="auto" w:before="76"/>
        <w:ind w:left="513" w:right="1531" w:hanging="360"/>
        <w:jc w:val="left"/>
      </w:pPr>
      <w:r>
        <w:rPr/>
        <w:t>率，确定资本化金额。资本化率根据一般借款的加权平均利率计算确定。 资本化期间内，外币专门借款的汇兑差额全部予以资本化；外币一般借款的汇兑差额计入当期损益。</w:t>
      </w:r>
    </w:p>
    <w:p>
      <w:pPr>
        <w:spacing w:line="240" w:lineRule="auto" w:before="11"/>
        <w:rPr>
          <w:rFonts w:ascii="宋体" w:hAnsi="宋体" w:cs="宋体" w:eastAsia="宋体" w:hint="default"/>
          <w:sz w:val="18"/>
          <w:szCs w:val="18"/>
        </w:rPr>
      </w:pPr>
    </w:p>
    <w:p>
      <w:pPr>
        <w:pStyle w:val="Heading3"/>
        <w:spacing w:line="240" w:lineRule="auto"/>
        <w:ind w:right="184"/>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84"/>
        <w:jc w:val="left"/>
      </w:pPr>
      <w:r>
        <w:rPr/>
        <w:t>无。</w:t>
      </w:r>
    </w:p>
    <w:p>
      <w:pPr>
        <w:spacing w:line="240" w:lineRule="auto" w:before="12"/>
        <w:rPr>
          <w:rFonts w:ascii="宋体" w:hAnsi="宋体" w:cs="宋体" w:eastAsia="宋体" w:hint="default"/>
          <w:sz w:val="26"/>
          <w:szCs w:val="26"/>
        </w:rPr>
      </w:pPr>
    </w:p>
    <w:p>
      <w:pPr>
        <w:pStyle w:val="Heading3"/>
        <w:spacing w:line="240" w:lineRule="auto"/>
        <w:ind w:right="184"/>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84"/>
        <w:jc w:val="left"/>
      </w:pPr>
      <w:r>
        <w:rPr/>
        <w:t>无。</w:t>
      </w:r>
    </w:p>
    <w:p>
      <w:pPr>
        <w:spacing w:line="240" w:lineRule="auto" w:before="12"/>
        <w:rPr>
          <w:rFonts w:ascii="宋体" w:hAnsi="宋体" w:cs="宋体" w:eastAsia="宋体" w:hint="default"/>
          <w:sz w:val="26"/>
          <w:szCs w:val="26"/>
        </w:rPr>
      </w:pPr>
    </w:p>
    <w:p>
      <w:pPr>
        <w:pStyle w:val="Heading3"/>
        <w:spacing w:line="240" w:lineRule="auto"/>
        <w:ind w:right="184"/>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84"/>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13" w:right="184"/>
        <w:jc w:val="left"/>
      </w:pPr>
      <w:r>
        <w:rPr/>
        <w:t>本集团无形资产包括土地使用权、计算机软件、自行开发软件等。 </w:t>
      </w:r>
      <w:r>
        <w:rPr>
          <w:spacing w:val="-2"/>
        </w:rPr>
        <w:t>无形资产按照成本进行初始计量，并于取得无形资产时分析判断其使用寿命。使用寿命为有限的，自无形资产可供使用</w:t>
      </w:r>
    </w:p>
    <w:p>
      <w:pPr>
        <w:pStyle w:val="BodyText"/>
        <w:spacing w:line="224" w:lineRule="exact"/>
        <w:ind w:left="153" w:right="0"/>
        <w:jc w:val="left"/>
      </w:pPr>
      <w:r>
        <w:rPr/>
        <w:t>时起，采用能反映与该资产有关的经济利益的预期实现方式的摊销方法，在预计使用年限内摊销；无法可靠确定预期实现方</w:t>
      </w:r>
    </w:p>
    <w:p>
      <w:pPr>
        <w:pStyle w:val="BodyText"/>
        <w:spacing w:line="357" w:lineRule="auto" w:before="77"/>
        <w:ind w:left="513" w:right="4591" w:hanging="360"/>
        <w:jc w:val="left"/>
      </w:pPr>
      <w:r>
        <w:rPr/>
        <w:t>式的，采用直线法摊销；使用寿命不确定的无形资产，不作摊销。 使用寿命有限的无形资产摊销方法如下：</w:t>
      </w:r>
    </w:p>
    <w:tbl>
      <w:tblPr>
        <w:tblW w:w="0" w:type="auto"/>
        <w:jc w:val="left"/>
        <w:tblInd w:w="572" w:type="dxa"/>
        <w:tblLayout w:type="fixed"/>
        <w:tblCellMar>
          <w:top w:w="0" w:type="dxa"/>
          <w:left w:w="0" w:type="dxa"/>
          <w:bottom w:w="0" w:type="dxa"/>
          <w:right w:w="0" w:type="dxa"/>
        </w:tblCellMar>
        <w:tblLook w:val="01E0"/>
      </w:tblPr>
      <w:tblGrid>
        <w:gridCol w:w="2614"/>
        <w:gridCol w:w="2018"/>
        <w:gridCol w:w="2365"/>
        <w:gridCol w:w="1858"/>
      </w:tblGrid>
      <w:tr>
        <w:trPr>
          <w:trHeight w:val="347" w:hRule="exact"/>
        </w:trPr>
        <w:tc>
          <w:tcPr>
            <w:tcW w:w="2614"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01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1"/>
              <w:ind w:left="640" w:right="0"/>
              <w:jc w:val="left"/>
              <w:rPr>
                <w:rFonts w:ascii="宋体" w:hAnsi="宋体" w:cs="宋体" w:eastAsia="宋体" w:hint="default"/>
                <w:sz w:val="18"/>
                <w:szCs w:val="18"/>
              </w:rPr>
            </w:pPr>
            <w:r>
              <w:rPr>
                <w:rFonts w:ascii="宋体" w:hAnsi="宋体" w:cs="宋体" w:eastAsia="宋体" w:hint="default"/>
                <w:b/>
                <w:bCs/>
                <w:sz w:val="18"/>
                <w:szCs w:val="18"/>
              </w:rPr>
              <w:t>使用寿命</w:t>
            </w:r>
            <w:r>
              <w:rPr>
                <w:rFonts w:ascii="宋体" w:hAnsi="宋体" w:cs="宋体" w:eastAsia="宋体" w:hint="default"/>
                <w:sz w:val="18"/>
                <w:szCs w:val="18"/>
              </w:rPr>
            </w:r>
          </w:p>
        </w:tc>
        <w:tc>
          <w:tcPr>
            <w:tcW w:w="2365"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摊销方法</w:t>
            </w:r>
            <w:r>
              <w:rPr>
                <w:rFonts w:ascii="宋体" w:hAnsi="宋体" w:cs="宋体" w:eastAsia="宋体" w:hint="default"/>
                <w:sz w:val="18"/>
                <w:szCs w:val="18"/>
              </w:rPr>
            </w:r>
          </w:p>
        </w:tc>
        <w:tc>
          <w:tcPr>
            <w:tcW w:w="185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48" w:hRule="exact"/>
        </w:trPr>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40-70</w:t>
            </w:r>
            <w:r>
              <w:rPr>
                <w:rFonts w:ascii="宋体" w:hAnsi="宋体" w:cs="宋体" w:eastAsia="宋体" w:hint="default"/>
                <w:sz w:val="18"/>
                <w:szCs w:val="18"/>
              </w:rPr>
              <w:t>年</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直线法</w:t>
            </w:r>
          </w:p>
        </w:tc>
        <w:tc>
          <w:tcPr>
            <w:tcW w:w="185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直线法</w:t>
            </w:r>
          </w:p>
        </w:tc>
        <w:tc>
          <w:tcPr>
            <w:tcW w:w="185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自行开发软件</w:t>
            </w:r>
          </w:p>
        </w:tc>
        <w:tc>
          <w:tcPr>
            <w:tcW w:w="2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年</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直线法</w:t>
            </w:r>
          </w:p>
        </w:tc>
        <w:tc>
          <w:tcPr>
            <w:tcW w:w="185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19" w:lineRule="auto" w:before="67"/>
        <w:ind w:right="184" w:firstLine="360"/>
        <w:jc w:val="left"/>
      </w:pPr>
      <w:r>
        <w:rPr>
          <w:spacing w:val="-2"/>
        </w:rPr>
        <w:t>本集团于每年年度终了，对使用寿命有限的无形资产的使用寿命及摊销方法进行复核，与以前估计不同的，调整原先估</w:t>
      </w:r>
      <w:r>
        <w:rPr/>
        <w:t> 计数，并按会计估计变更处理。</w:t>
      </w:r>
    </w:p>
    <w:p>
      <w:pPr>
        <w:pStyle w:val="BodyText"/>
        <w:spacing w:line="357" w:lineRule="auto" w:before="56"/>
        <w:ind w:left="514" w:right="90"/>
        <w:jc w:val="left"/>
      </w:pPr>
      <w:r>
        <w:rPr/>
        <w:t>资产负债表日预计某项无形资产已经不能给企业带来未来经济利益的，将该项无形资产的账面价值全部转入当期损益。</w:t>
      </w:r>
      <w:r>
        <w:rPr>
          <w:spacing w:val="-84"/>
        </w:rPr>
        <w:t> </w:t>
      </w:r>
      <w:r>
        <w:rPr>
          <w:spacing w:val="-84"/>
        </w:rPr>
      </w:r>
      <w:r>
        <w:rPr/>
        <w:t>无形资产计提资产减值方法见附注三、</w:t>
      </w:r>
      <w:r>
        <w:rPr>
          <w:rFonts w:ascii="Times New Roman" w:hAnsi="Times New Roman" w:cs="Times New Roman" w:eastAsia="Times New Roman" w:hint="default"/>
        </w:rPr>
        <w:t>20</w:t>
      </w:r>
      <w:r>
        <w:rPr/>
        <w:t>。</w:t>
      </w:r>
    </w:p>
    <w:p>
      <w:pPr>
        <w:spacing w:line="240" w:lineRule="auto" w:before="4"/>
        <w:rPr>
          <w:rFonts w:ascii="宋体" w:hAnsi="宋体" w:cs="宋体" w:eastAsia="宋体" w:hint="default"/>
          <w:sz w:val="18"/>
          <w:szCs w:val="18"/>
        </w:rPr>
      </w:pPr>
    </w:p>
    <w:p>
      <w:pPr>
        <w:pStyle w:val="Heading3"/>
        <w:spacing w:line="240" w:lineRule="auto"/>
        <w:ind w:right="184"/>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4" w:right="3510"/>
        <w:jc w:val="left"/>
      </w:pPr>
      <w:r>
        <w:rPr/>
        <w:t>本集团将内部研究开发项目的支出，区分为研究阶段支出和开发阶段支出。 研究阶段的支出，于发生时计入当期损益。</w:t>
      </w:r>
    </w:p>
    <w:p>
      <w:pPr>
        <w:spacing w:after="0" w:line="357" w:lineRule="auto"/>
        <w:jc w:val="left"/>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pStyle w:val="BodyText"/>
        <w:spacing w:line="319" w:lineRule="auto" w:before="44"/>
        <w:ind w:left="153" w:right="191" w:firstLine="360"/>
        <w:jc w:val="both"/>
      </w:pPr>
      <w:r>
        <w:rPr>
          <w:spacing w:val="-2"/>
        </w:rPr>
        <w:t>开发阶段的支出，同时满足下列条件的，才能予以资本化，即：完成该无形资产以使其能够使用或出售在技术上具有可</w:t>
      </w:r>
      <w:r>
        <w:rPr/>
        <w:t> </w:t>
      </w:r>
      <w:r>
        <w:rPr>
          <w:spacing w:val="-2"/>
        </w:rPr>
        <w:t>行性；具有完成该无形资产并使用或出售的意图；无形资产产生经济利益的方式，包括能够证明运用该无形资产生产的产品</w:t>
      </w:r>
      <w:r>
        <w:rPr>
          <w:spacing w:val="-66"/>
        </w:rPr>
        <w:t> </w:t>
      </w:r>
      <w:r>
        <w:rPr>
          <w:spacing w:val="-66"/>
        </w:rPr>
      </w:r>
      <w:r>
        <w:rPr>
          <w:spacing w:val="-2"/>
        </w:rPr>
        <w:t>存在市场或无形资产自身存在市场，无形资产将在内部使用的，能够证明其有用性；有足够的技术、财务资源和其他资源支</w:t>
      </w:r>
      <w:r>
        <w:rPr>
          <w:spacing w:val="-66"/>
        </w:rPr>
        <w:t> </w:t>
      </w:r>
      <w:r>
        <w:rPr>
          <w:spacing w:val="-66"/>
        </w:rPr>
      </w:r>
      <w:r>
        <w:rPr>
          <w:spacing w:val="-2"/>
        </w:rPr>
        <w:t>持，以完成该无形资产的开发，并有能力使用或出售该无形资产；归属于该无形资产开发阶段的支出能够可靠地计量。不满</w:t>
      </w:r>
      <w:r>
        <w:rPr>
          <w:spacing w:val="-66"/>
        </w:rPr>
        <w:t> </w:t>
      </w:r>
      <w:r>
        <w:rPr>
          <w:spacing w:val="-66"/>
        </w:rPr>
      </w:r>
      <w:r>
        <w:rPr/>
        <w:t>足上述条件的开发支出计入当期损益。</w:t>
      </w:r>
    </w:p>
    <w:p>
      <w:pPr>
        <w:pStyle w:val="BodyText"/>
        <w:spacing w:line="360" w:lineRule="auto" w:before="56"/>
        <w:ind w:left="513" w:right="811"/>
        <w:jc w:val="left"/>
      </w:pPr>
      <w:r>
        <w:rPr/>
        <w:t>本集团研究开发项目在满足上述条件，通过技术可行性及经济可行性研究，形成项目立项后，进入开发阶段。 已资本化的开发阶段的支出在资产负债表上列示为开发支出，自该项目达到预定用途之日转为无形资产。 具体研发项目的资本化条件：</w:t>
      </w:r>
    </w:p>
    <w:p>
      <w:pPr>
        <w:pStyle w:val="BodyText"/>
        <w:spacing w:line="319" w:lineRule="auto" w:before="25"/>
        <w:ind w:left="153" w:right="198" w:firstLine="360"/>
        <w:jc w:val="both"/>
      </w:pPr>
      <w:r>
        <w:rPr/>
        <w:t>（1）公司目前资本化的研发支出项目中，项目均在研发测试阶段，公司完成该无形资产以使其能够使用或者出售在技 术上具有可行性；</w:t>
      </w:r>
    </w:p>
    <w:p>
      <w:pPr>
        <w:pStyle w:val="BodyText"/>
        <w:spacing w:line="319" w:lineRule="auto" w:before="56"/>
        <w:ind w:left="153" w:right="198" w:firstLine="360"/>
        <w:jc w:val="both"/>
      </w:pPr>
      <w:r>
        <w:rPr/>
        <w:t>（2）公司所有研发支出项目均是针对特定市场需求进行相关开发，以备将来出售，具有完成该无形资产并使用或出售 的意图；</w:t>
      </w:r>
    </w:p>
    <w:p>
      <w:pPr>
        <w:pStyle w:val="BodyText"/>
        <w:spacing w:line="319" w:lineRule="auto" w:before="55"/>
        <w:ind w:left="153" w:right="198" w:firstLine="360"/>
        <w:jc w:val="both"/>
      </w:pPr>
      <w:r>
        <w:rPr/>
        <w:t>（3）公司所有研发支出资本化项目均会形成测试版软件，表明公司运用该无形资产生产的产品存在市场或无形资产自 身存在市场；</w:t>
      </w:r>
    </w:p>
    <w:p>
      <w:pPr>
        <w:pStyle w:val="BodyText"/>
        <w:spacing w:line="319" w:lineRule="auto" w:before="55"/>
        <w:ind w:left="153" w:right="198" w:firstLine="360"/>
        <w:jc w:val="both"/>
      </w:pPr>
      <w:r>
        <w:rPr/>
        <w:t>（4）公司掌握研发支出资本化项目的核心技术，有能力完成相关无形资产的研发，表明公司有足够的技术、财务资源 和其他资源支持，以完成该无形资产的开发，并有能力出售该无形资产；</w:t>
      </w:r>
    </w:p>
    <w:p>
      <w:pPr>
        <w:pStyle w:val="BodyText"/>
        <w:spacing w:line="240" w:lineRule="auto" w:before="58"/>
        <w:ind w:left="513" w:right="184"/>
        <w:jc w:val="left"/>
      </w:pPr>
      <w:r>
        <w:rPr/>
        <w:t>（5）公司资本化研发支出分部门按项目统计相关支出，归属于该无形资产开发阶段的支出能够可靠地计量。</w:t>
      </w:r>
    </w:p>
    <w:p>
      <w:pPr>
        <w:spacing w:line="240" w:lineRule="auto" w:before="10"/>
        <w:rPr>
          <w:rFonts w:ascii="宋体" w:hAnsi="宋体" w:cs="宋体" w:eastAsia="宋体" w:hint="default"/>
          <w:sz w:val="26"/>
          <w:szCs w:val="26"/>
        </w:rPr>
      </w:pPr>
    </w:p>
    <w:p>
      <w:pPr>
        <w:pStyle w:val="Heading3"/>
        <w:spacing w:line="240" w:lineRule="auto"/>
        <w:ind w:right="184"/>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对子公司、联营企业的长期股权投资、采用成本模式进行后续计量的投资性房地产、固定资产、在建工程、无形资产等</w:t>
      </w:r>
    </w:p>
    <w:p>
      <w:pPr>
        <w:pStyle w:val="BodyText"/>
        <w:spacing w:line="357" w:lineRule="auto" w:before="77"/>
        <w:ind w:left="514" w:right="175" w:hanging="360"/>
        <w:jc w:val="left"/>
      </w:pPr>
      <w:r>
        <w:rPr/>
        <w:t>（存货、递延所得税资产、金融资产除外）的资产减值，按以下方法确定： </w:t>
      </w:r>
      <w:r>
        <w:rPr>
          <w:spacing w:val="-5"/>
        </w:rPr>
        <w:t>于资产负债表日判断资产是否存在可能发生减值的迹象，存在减值迹象的，本集团将估计其可收回金额，进行减值测试。</w:t>
      </w:r>
    </w:p>
    <w:p>
      <w:pPr>
        <w:pStyle w:val="BodyText"/>
        <w:spacing w:line="224" w:lineRule="exact"/>
        <w:ind w:left="153" w:right="0"/>
        <w:jc w:val="left"/>
      </w:pPr>
      <w:r>
        <w:rPr/>
        <w:t>对因企业合并所形成的商誉、使用寿命不确定的无形资产和尚未达到可使用状态的无形资产无论是否存在减值迹象，每年都</w:t>
      </w:r>
    </w:p>
    <w:p>
      <w:pPr>
        <w:pStyle w:val="BodyText"/>
        <w:spacing w:line="357" w:lineRule="auto" w:before="77"/>
        <w:ind w:left="513" w:right="184" w:hanging="360"/>
        <w:jc w:val="left"/>
      </w:pPr>
      <w:r>
        <w:rPr/>
        <w:t>进行减值测试。 </w:t>
      </w:r>
      <w:r>
        <w:rPr>
          <w:spacing w:val="-2"/>
        </w:rPr>
        <w:t>可收回金额根据资产的公允价值减去处置费用后的净额与资产预计未来现金流量的现值两者之间较高者确定。本集团以</w:t>
      </w:r>
    </w:p>
    <w:p>
      <w:pPr>
        <w:pStyle w:val="BodyText"/>
        <w:spacing w:line="224" w:lineRule="exact"/>
        <w:ind w:left="153" w:right="0"/>
        <w:jc w:val="left"/>
      </w:pPr>
      <w:r>
        <w:rPr/>
        <w:t>单项资产为基础估计其可收回金额；难以对单项资产的可收回金额进行估计的，以该资产所属的资产组为基础确定资产组的</w:t>
      </w:r>
    </w:p>
    <w:p>
      <w:pPr>
        <w:pStyle w:val="BodyText"/>
        <w:spacing w:line="357" w:lineRule="auto" w:before="77"/>
        <w:ind w:left="513" w:right="91" w:hanging="360"/>
        <w:jc w:val="left"/>
      </w:pPr>
      <w:r>
        <w:rPr/>
        <w:t>可收回金额。资产组的认定，以资产组产生的主要现金流入是否独立于其他资产或者资产组的现金流入为依据。 当资产或资产组的可收回金额低于其账面价值时，本集团将其账面价值减记至可收回金额，减记的金额计入当期损益，</w:t>
      </w:r>
    </w:p>
    <w:p>
      <w:pPr>
        <w:pStyle w:val="BodyText"/>
        <w:spacing w:line="357" w:lineRule="auto"/>
        <w:ind w:left="513" w:right="5311" w:hanging="360"/>
        <w:jc w:val="left"/>
      </w:pPr>
      <w:r>
        <w:rPr/>
        <w:t>同时计提相应的资产减值准备。 资产减值损失一经确认，在以后会计期间不再转回。</w:t>
      </w:r>
    </w:p>
    <w:p>
      <w:pPr>
        <w:spacing w:line="240" w:lineRule="auto" w:before="13"/>
        <w:rPr>
          <w:rFonts w:ascii="宋体" w:hAnsi="宋体" w:cs="宋体" w:eastAsia="宋体" w:hint="default"/>
          <w:sz w:val="19"/>
          <w:szCs w:val="19"/>
        </w:rPr>
      </w:pPr>
    </w:p>
    <w:p>
      <w:pPr>
        <w:pStyle w:val="Heading3"/>
        <w:spacing w:line="240" w:lineRule="auto"/>
        <w:ind w:right="184"/>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90" w:firstLine="360"/>
        <w:jc w:val="both"/>
      </w:pPr>
      <w:r>
        <w:rPr>
          <w:spacing w:val="-2"/>
        </w:rPr>
        <w:t>本集团发生的长期待摊费用按实际成本计价，并按预计受益期限平均摊销。对不能使以后会计期间受益的长期待摊费用</w:t>
      </w:r>
      <w:r>
        <w:rPr/>
        <w:t> 项目，其摊余价值全部计入当期损益。</w:t>
      </w:r>
    </w:p>
    <w:p>
      <w:pPr>
        <w:spacing w:line="240" w:lineRule="auto" w:before="3"/>
        <w:rPr>
          <w:rFonts w:ascii="宋体" w:hAnsi="宋体" w:cs="宋体" w:eastAsia="宋体" w:hint="default"/>
          <w:sz w:val="22"/>
          <w:szCs w:val="22"/>
        </w:rPr>
      </w:pPr>
    </w:p>
    <w:p>
      <w:pPr>
        <w:pStyle w:val="Heading3"/>
        <w:spacing w:line="240" w:lineRule="auto"/>
        <w:ind w:right="184"/>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84"/>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9" w:firstLine="360"/>
        <w:jc w:val="both"/>
      </w:pPr>
      <w:r>
        <w:rPr>
          <w:spacing w:val="-2"/>
        </w:rPr>
        <w:t>本集团在职工提供服务的会计期间，将实际发生的职工工资、奖金、按规定的基准和比例为职工缴纳的医疗保险费、工</w:t>
      </w:r>
      <w:r>
        <w:rPr/>
        <w:t> </w:t>
      </w:r>
      <w:r>
        <w:rPr>
          <w:spacing w:val="-2"/>
        </w:rPr>
        <w:t>伤保险费和生育保险费等社会保险费和住房公积金，确认为负债，并计入当期损益或相关资产成本。如果该负债预期在职工</w:t>
      </w:r>
    </w:p>
    <w:p>
      <w:pPr>
        <w:spacing w:after="0" w:line="316" w:lineRule="auto"/>
        <w:jc w:val="both"/>
        <w:sectPr>
          <w:pgSz w:w="11910" w:h="16840"/>
          <w:pgMar w:header="877" w:footer="982" w:top="1100" w:bottom="1180" w:left="980" w:right="940"/>
        </w:sectPr>
      </w:pPr>
    </w:p>
    <w:p>
      <w:pPr>
        <w:spacing w:line="240" w:lineRule="auto" w:before="13"/>
        <w:rPr>
          <w:rFonts w:ascii="宋体" w:hAnsi="宋体" w:cs="宋体" w:eastAsia="宋体" w:hint="default"/>
          <w:sz w:val="21"/>
          <w:szCs w:val="21"/>
        </w:rPr>
      </w:pPr>
    </w:p>
    <w:p>
      <w:pPr>
        <w:pStyle w:val="BodyText"/>
        <w:spacing w:line="240" w:lineRule="auto" w:before="44"/>
        <w:ind w:left="153" w:right="93"/>
        <w:jc w:val="left"/>
      </w:pPr>
      <w:r>
        <w:rPr/>
        <w:t>提供相关服务的年度报告期结束后十二个月内不能完全支付，且财务影响重大的，则该负债将以折现后的金额计量。</w:t>
      </w:r>
    </w:p>
    <w:p>
      <w:pPr>
        <w:spacing w:line="240" w:lineRule="auto" w:before="10"/>
        <w:rPr>
          <w:rFonts w:ascii="宋体" w:hAnsi="宋体" w:cs="宋体" w:eastAsia="宋体" w:hint="default"/>
          <w:sz w:val="26"/>
          <w:szCs w:val="26"/>
        </w:rPr>
      </w:pPr>
    </w:p>
    <w:p>
      <w:pPr>
        <w:pStyle w:val="Heading3"/>
        <w:spacing w:line="240" w:lineRule="auto"/>
        <w:ind w:right="93"/>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289" w:firstLine="360"/>
        <w:jc w:val="both"/>
      </w:pPr>
      <w:r>
        <w:rPr>
          <w:spacing w:val="-2"/>
        </w:rPr>
        <w:t>离职后福利计划包括设定提存计划和设定受益计划。其中，设定提存计划，是指向独立的基金缴存固定费用后，企业不</w:t>
      </w:r>
      <w:r>
        <w:rPr/>
        <w:t> 再承担进一步支付义务的离职后福利计划；本集团无设定受益计划。</w:t>
      </w:r>
    </w:p>
    <w:p>
      <w:pPr>
        <w:pStyle w:val="BodyText"/>
        <w:spacing w:line="360" w:lineRule="auto" w:before="56"/>
        <w:ind w:left="514" w:right="5770"/>
        <w:jc w:val="left"/>
      </w:pPr>
      <w:r>
        <w:rPr/>
        <w:t>设定提存计划 设定提存计划包括基本养老保险、失业保险等。</w:t>
      </w:r>
    </w:p>
    <w:p>
      <w:pPr>
        <w:pStyle w:val="BodyText"/>
        <w:spacing w:line="240" w:lineRule="auto" w:before="26"/>
        <w:ind w:left="514" w:right="93"/>
        <w:jc w:val="left"/>
      </w:pPr>
      <w:r>
        <w:rPr/>
        <w:t>在职工提供服务的会计期间，根据设定提存计划计算的应缴存金额确认为负债，并计入当期损益或相关资产成本。</w:t>
      </w:r>
    </w:p>
    <w:p>
      <w:pPr>
        <w:spacing w:line="240" w:lineRule="auto" w:before="10"/>
        <w:rPr>
          <w:rFonts w:ascii="宋体" w:hAnsi="宋体" w:cs="宋体" w:eastAsia="宋体" w:hint="default"/>
          <w:sz w:val="26"/>
          <w:szCs w:val="26"/>
        </w:rPr>
      </w:pPr>
    </w:p>
    <w:p>
      <w:pPr>
        <w:pStyle w:val="Heading3"/>
        <w:spacing w:line="240" w:lineRule="auto"/>
        <w:ind w:right="93"/>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93" w:firstLine="360"/>
        <w:jc w:val="left"/>
      </w:pPr>
      <w:r>
        <w:rPr/>
        <w:t>本集团向职工提供辞退福利的，在下列两者孰早日确认辞退福利产生的职工薪酬负债，并计入当期损益：本集团不能单 </w:t>
      </w:r>
      <w:r>
        <w:rPr>
          <w:spacing w:val="-2"/>
        </w:rPr>
        <w:t>方面撤回因解除劳动关系计划或裁减建议所提供的辞退福利时；本集团确认与涉及支付辞退福利的重组相关的成本或费用时。</w:t>
      </w:r>
    </w:p>
    <w:p>
      <w:pPr>
        <w:pStyle w:val="BodyText"/>
        <w:spacing w:line="319" w:lineRule="auto" w:before="55"/>
        <w:ind w:right="199" w:firstLine="360"/>
        <w:jc w:val="both"/>
      </w:pPr>
      <w:r>
        <w:rPr/>
        <w:t>实行职工内部退休计划的，在正式退休日之前的经济补偿，属于辞退福利，自职工停止提供服务日至正常退休日期间，</w:t>
      </w:r>
      <w:r>
        <w:rPr>
          <w:spacing w:val="1"/>
        </w:rPr>
        <w:t> </w:t>
      </w:r>
      <w:r>
        <w:rPr/>
        <w:t>拟支付的内退职工工资和缴纳的社会保险费等一次性计入当期损益。正式退休日期之后的经济补偿（如正常养老退休金），</w:t>
      </w:r>
      <w:r>
        <w:rPr>
          <w:spacing w:val="-84"/>
        </w:rPr>
        <w:t> </w:t>
      </w:r>
      <w:r>
        <w:rPr>
          <w:spacing w:val="-84"/>
        </w:rPr>
      </w:r>
      <w:r>
        <w:rPr/>
        <w:t>按照离职后福利处理。</w:t>
      </w:r>
    </w:p>
    <w:p>
      <w:pPr>
        <w:spacing w:line="240" w:lineRule="auto" w:before="4"/>
        <w:rPr>
          <w:rFonts w:ascii="宋体" w:hAnsi="宋体" w:cs="宋体" w:eastAsia="宋体" w:hint="default"/>
          <w:sz w:val="22"/>
          <w:szCs w:val="22"/>
        </w:rPr>
      </w:pPr>
    </w:p>
    <w:p>
      <w:pPr>
        <w:pStyle w:val="Heading3"/>
        <w:spacing w:line="240" w:lineRule="auto"/>
        <w:ind w:right="93"/>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3"/>
        <w:jc w:val="left"/>
      </w:pPr>
      <w:r>
        <w:rPr/>
        <w:t>无。</w:t>
      </w:r>
    </w:p>
    <w:p>
      <w:pPr>
        <w:spacing w:line="240" w:lineRule="auto" w:before="12"/>
        <w:rPr>
          <w:rFonts w:ascii="宋体" w:hAnsi="宋体" w:cs="宋体" w:eastAsia="宋体" w:hint="default"/>
          <w:sz w:val="26"/>
          <w:szCs w:val="26"/>
        </w:rPr>
      </w:pPr>
    </w:p>
    <w:p>
      <w:pPr>
        <w:pStyle w:val="Heading3"/>
        <w:spacing w:line="240" w:lineRule="auto"/>
        <w:ind w:right="93"/>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3" w:right="93"/>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1" w:right="93"/>
        <w:jc w:val="left"/>
      </w:pPr>
      <w:r>
        <w:rPr/>
        <w:t>如果与或有事项相关的义务同时符合以下条件，本集团将其确认为预计负债：</w:t>
      </w:r>
    </w:p>
    <w:p>
      <w:pPr>
        <w:spacing w:line="240" w:lineRule="auto" w:before="12"/>
        <w:rPr>
          <w:rFonts w:ascii="宋体" w:hAnsi="宋体" w:cs="宋体" w:eastAsia="宋体" w:hint="default"/>
          <w:sz w:val="12"/>
          <w:szCs w:val="12"/>
        </w:rPr>
      </w:pPr>
    </w:p>
    <w:p>
      <w:pPr>
        <w:pStyle w:val="BodyText"/>
        <w:spacing w:line="240" w:lineRule="auto"/>
        <w:ind w:left="511" w:right="93"/>
        <w:jc w:val="left"/>
      </w:pPr>
      <w:r>
        <w:rPr>
          <w:rFonts w:ascii="Times New Roman" w:hAnsi="Times New Roman" w:cs="Times New Roman" w:eastAsia="Times New Roman" w:hint="default"/>
        </w:rPr>
        <w:t>1</w:t>
      </w:r>
      <w:r>
        <w:rPr/>
        <w:t>）该义务是本公司承担的现时义务；</w:t>
      </w:r>
    </w:p>
    <w:p>
      <w:pPr>
        <w:pStyle w:val="BodyText"/>
        <w:spacing w:line="240" w:lineRule="auto" w:before="156"/>
        <w:ind w:left="511" w:right="93"/>
        <w:jc w:val="left"/>
      </w:pPr>
      <w:r>
        <w:rPr>
          <w:rFonts w:ascii="Times New Roman" w:hAnsi="Times New Roman" w:cs="Times New Roman" w:eastAsia="Times New Roman" w:hint="default"/>
        </w:rPr>
        <w:t>2</w:t>
      </w:r>
      <w:r>
        <w:rPr/>
        <w:t>）该义务的履行很可能导致经济利益流出本公司；</w:t>
      </w:r>
    </w:p>
    <w:p>
      <w:pPr>
        <w:pStyle w:val="BodyText"/>
        <w:spacing w:line="240" w:lineRule="auto" w:before="155"/>
        <w:ind w:left="511" w:right="93"/>
        <w:jc w:val="left"/>
      </w:pPr>
      <w:r>
        <w:rPr>
          <w:rFonts w:ascii="Times New Roman" w:hAnsi="Times New Roman" w:cs="Times New Roman" w:eastAsia="Times New Roman" w:hint="default"/>
        </w:rPr>
        <w:t>3</w:t>
      </w:r>
      <w:r>
        <w:rPr/>
        <w:t>）该义务的金额能够可靠地计量。</w:t>
      </w:r>
    </w:p>
    <w:p>
      <w:pPr>
        <w:spacing w:line="240" w:lineRule="auto" w:before="11"/>
        <w:rPr>
          <w:rFonts w:ascii="宋体" w:hAnsi="宋体" w:cs="宋体" w:eastAsia="宋体" w:hint="default"/>
          <w:sz w:val="25"/>
          <w:szCs w:val="25"/>
        </w:rPr>
      </w:pPr>
    </w:p>
    <w:p>
      <w:pPr>
        <w:pStyle w:val="Heading3"/>
        <w:spacing w:line="240" w:lineRule="auto"/>
        <w:ind w:right="93"/>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153" w:right="291" w:firstLine="357"/>
        <w:jc w:val="both"/>
      </w:pPr>
      <w:r>
        <w:rPr>
          <w:spacing w:val="-2"/>
        </w:rPr>
        <w:t>预计负债按照履行相关现时义务所需支出的最佳估计数进行初始计量，并综合考虑与或有事项有关的风险、不确定性和</w:t>
      </w:r>
      <w:r>
        <w:rPr/>
        <w:t> </w:t>
      </w:r>
      <w:r>
        <w:rPr>
          <w:spacing w:val="-2"/>
        </w:rPr>
        <w:t>货币时间价值等因素。货币时间价值影响重大的，通过对相关未来现金流出进行折现后确定最佳估计数。本公司于资产负债</w:t>
      </w:r>
      <w:r>
        <w:rPr>
          <w:spacing w:val="-66"/>
        </w:rPr>
        <w:t> </w:t>
      </w:r>
      <w:r>
        <w:rPr>
          <w:spacing w:val="-66"/>
        </w:rPr>
      </w:r>
      <w:r>
        <w:rPr/>
        <w:t>表日对预计负债的账面价值进行复核，并对账面价值进行调整以反映当前最佳估计数。</w:t>
      </w:r>
    </w:p>
    <w:p>
      <w:pPr>
        <w:pStyle w:val="BodyText"/>
        <w:spacing w:line="316" w:lineRule="auto" w:before="112"/>
        <w:ind w:left="153" w:right="291" w:firstLine="357"/>
        <w:jc w:val="both"/>
      </w:pPr>
      <w:r>
        <w:rPr>
          <w:spacing w:val="-2"/>
        </w:rPr>
        <w:t>如果清偿已确认预计负债所需支出全部或部分预期由第三方或其他方补偿，则补偿金额只能在基本确定能收到时，作为</w:t>
      </w:r>
      <w:r>
        <w:rPr/>
        <w:t> 资产单独确认。确认的补偿金额不超过所确认负债的账面价值。</w:t>
      </w:r>
    </w:p>
    <w:p>
      <w:pPr>
        <w:spacing w:line="240" w:lineRule="auto" w:before="6"/>
        <w:rPr>
          <w:rFonts w:ascii="宋体" w:hAnsi="宋体" w:cs="宋体" w:eastAsia="宋体" w:hint="default"/>
          <w:sz w:val="22"/>
          <w:szCs w:val="22"/>
        </w:rPr>
      </w:pPr>
    </w:p>
    <w:p>
      <w:pPr>
        <w:pStyle w:val="Heading3"/>
        <w:spacing w:line="240" w:lineRule="auto"/>
        <w:ind w:left="153" w:right="93"/>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3"/>
        <w:jc w:val="left"/>
      </w:pPr>
      <w:r>
        <w:rPr/>
        <w:t>无。</w:t>
      </w:r>
    </w:p>
    <w:p>
      <w:pPr>
        <w:spacing w:after="0" w:line="240" w:lineRule="auto"/>
        <w:jc w:val="left"/>
        <w:sectPr>
          <w:pgSz w:w="11910" w:h="16840"/>
          <w:pgMar w:header="877" w:footer="982" w:top="1100" w:bottom="1180" w:left="980" w:right="840"/>
        </w:sectPr>
      </w:pPr>
    </w:p>
    <w:p>
      <w:pPr>
        <w:spacing w:line="240" w:lineRule="auto" w:before="10"/>
        <w:rPr>
          <w:rFonts w:ascii="宋体" w:hAnsi="宋体" w:cs="宋体" w:eastAsia="宋体" w:hint="default"/>
          <w:sz w:val="20"/>
          <w:szCs w:val="20"/>
        </w:rPr>
      </w:pPr>
    </w:p>
    <w:p>
      <w:pPr>
        <w:pStyle w:val="Heading3"/>
        <w:spacing w:line="240" w:lineRule="auto" w:before="35"/>
        <w:ind w:right="1258"/>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258"/>
        <w:jc w:val="left"/>
      </w:pPr>
      <w:r>
        <w:rPr/>
        <w:t>无。</w:t>
      </w:r>
    </w:p>
    <w:p>
      <w:pPr>
        <w:spacing w:line="240" w:lineRule="auto" w:before="12"/>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3" w:right="6711"/>
        <w:jc w:val="left"/>
      </w:pPr>
      <w:r>
        <w:rPr/>
        <w:t>公司是否需要遵守特殊行业的披露要求 否</w:t>
      </w:r>
    </w:p>
    <w:p>
      <w:pPr>
        <w:pStyle w:val="BodyText"/>
        <w:spacing w:line="240" w:lineRule="auto" w:before="28"/>
        <w:ind w:left="511" w:right="1258"/>
        <w:jc w:val="left"/>
      </w:pPr>
      <w:r>
        <w:rPr/>
        <w:t>（1）一般原则</w:t>
      </w:r>
    </w:p>
    <w:p>
      <w:pPr>
        <w:spacing w:line="240" w:lineRule="auto" w:before="12"/>
        <w:rPr>
          <w:rFonts w:ascii="宋体" w:hAnsi="宋体" w:cs="宋体" w:eastAsia="宋体" w:hint="default"/>
          <w:sz w:val="12"/>
          <w:szCs w:val="12"/>
        </w:rPr>
      </w:pPr>
    </w:p>
    <w:p>
      <w:pPr>
        <w:pStyle w:val="BodyText"/>
        <w:spacing w:line="412" w:lineRule="auto"/>
        <w:ind w:left="511" w:right="0"/>
        <w:jc w:val="left"/>
      </w:pPr>
      <w:r>
        <w:rPr/>
        <w:t>①销售商品 </w:t>
      </w:r>
      <w:r>
        <w:rPr>
          <w:spacing w:val="-2"/>
        </w:rPr>
        <w:t>在已将商品所有权上的主要风险和报酬转移给购货方，既没有保留通常与所有权相联系的继续管理权，也没有对已售商</w:t>
      </w:r>
    </w:p>
    <w:p>
      <w:pPr>
        <w:pStyle w:val="BodyText"/>
        <w:spacing w:line="182" w:lineRule="exact"/>
        <w:ind w:left="153" w:right="0"/>
        <w:jc w:val="left"/>
      </w:pPr>
      <w:r>
        <w:rPr/>
        <w:t>品实施有效控制，收入的金额能够可靠地计量，相关的经济利益很可能流入企业，相关的已发生或将发生的成本能够可靠地</w:t>
      </w:r>
    </w:p>
    <w:p>
      <w:pPr>
        <w:pStyle w:val="BodyText"/>
        <w:spacing w:line="240" w:lineRule="auto" w:before="76"/>
        <w:ind w:left="153" w:right="1258"/>
        <w:jc w:val="left"/>
      </w:pPr>
      <w:r>
        <w:rPr/>
        <w:t>计量时，确认商品销售收入的实现。</w:t>
      </w:r>
    </w:p>
    <w:p>
      <w:pPr>
        <w:spacing w:line="240" w:lineRule="auto" w:before="12"/>
        <w:rPr>
          <w:rFonts w:ascii="宋体" w:hAnsi="宋体" w:cs="宋体" w:eastAsia="宋体" w:hint="default"/>
          <w:sz w:val="12"/>
          <w:szCs w:val="12"/>
        </w:rPr>
      </w:pPr>
    </w:p>
    <w:p>
      <w:pPr>
        <w:pStyle w:val="BodyText"/>
        <w:spacing w:line="412" w:lineRule="auto"/>
        <w:ind w:left="511" w:right="1493"/>
        <w:jc w:val="left"/>
      </w:pPr>
      <w:r>
        <w:rPr/>
        <w:t>②提供劳务 对在提供劳务交易的结果能够可靠估计的情况下，本集团于资产负债表日按完工百分比法确认收入。 劳务交易的完工进度按已经发生的劳务成本占估计总成本的比例确定。</w:t>
      </w:r>
    </w:p>
    <w:p>
      <w:pPr>
        <w:pStyle w:val="BodyText"/>
        <w:spacing w:line="316" w:lineRule="auto" w:before="40"/>
        <w:ind w:left="153" w:right="151" w:firstLine="357"/>
        <w:jc w:val="both"/>
      </w:pPr>
      <w:r>
        <w:rPr>
          <w:spacing w:val="-5"/>
        </w:rPr>
        <w:t>提供劳务交易的结果能够可靠估计是指同时满足：A、收入的金额能够可靠地计量；B、相关的经济利益很可能流入企业；</w:t>
      </w:r>
      <w:r>
        <w:rPr/>
        <w:t> C、交易的完工程度能够可靠地确定；D、交易中已发生和将发生的成本能够可靠地计量。</w:t>
      </w:r>
    </w:p>
    <w:p>
      <w:pPr>
        <w:pStyle w:val="BodyText"/>
        <w:spacing w:line="316" w:lineRule="auto" w:before="111"/>
        <w:ind w:left="153" w:right="151" w:firstLine="357"/>
        <w:jc w:val="both"/>
      </w:pPr>
      <w:r>
        <w:rPr>
          <w:spacing w:val="-2"/>
        </w:rPr>
        <w:t>如果提供劳务交易的结果不能够可靠估计，则按已经发生并预计能够得到补偿的劳务成本金额确认提供的劳务收入，并</w:t>
      </w:r>
      <w:r>
        <w:rPr/>
        <w:t> 将已发生的劳务成本作为当期费用。已经发生的劳务成本如预计不能得到补偿的，则不确认收入。</w:t>
      </w:r>
    </w:p>
    <w:p>
      <w:pPr>
        <w:pStyle w:val="BodyText"/>
        <w:spacing w:line="412" w:lineRule="auto" w:before="112"/>
        <w:ind w:left="511" w:right="1853"/>
        <w:jc w:val="left"/>
      </w:pPr>
      <w:r>
        <w:rPr/>
        <w:t>③让渡资产使用权 与资产使用权让渡相关的经济利益能够流入及收入的金额能够可靠地计量时，本集团确认收入。</w:t>
      </w:r>
    </w:p>
    <w:p>
      <w:pPr>
        <w:pStyle w:val="BodyText"/>
        <w:spacing w:line="412" w:lineRule="auto" w:before="40"/>
        <w:ind w:left="511" w:right="4193"/>
        <w:jc w:val="left"/>
      </w:pPr>
      <w:r>
        <w:rPr/>
        <w:t>（2）收入确认的具体方法 本集团软件业务收入确认的具体方法如下： A、自行开发软件销售收入的确认原则 自行开发软件收入包括自制开发的软件产品收入和定制软件收入。</w:t>
      </w:r>
    </w:p>
    <w:p>
      <w:pPr>
        <w:pStyle w:val="BodyText"/>
        <w:spacing w:line="316" w:lineRule="auto" w:before="40"/>
        <w:ind w:left="153" w:right="148" w:firstLine="357"/>
        <w:jc w:val="both"/>
      </w:pPr>
      <w:r>
        <w:rPr>
          <w:spacing w:val="-2"/>
        </w:rPr>
        <w:t>自制开发的软件产品是指拥有自主知识产权，无差异化、可批量复制的软件产品，无需根据用户需求进行定制。本公司</w:t>
      </w:r>
      <w:r>
        <w:rPr/>
        <w:t> </w:t>
      </w:r>
      <w:r>
        <w:rPr>
          <w:spacing w:val="-2"/>
        </w:rPr>
        <w:t>销售的自制开发软件产品实质上就是销售不转让所有权的商品，公司在将软件产品移交给购买方时，在会计上按照销售商品</w:t>
      </w:r>
      <w:r>
        <w:rPr>
          <w:spacing w:val="-64"/>
        </w:rPr>
        <w:t> </w:t>
      </w:r>
      <w:r>
        <w:rPr>
          <w:spacing w:val="-64"/>
        </w:rPr>
      </w:r>
      <w:r>
        <w:rPr>
          <w:spacing w:val="-2"/>
        </w:rPr>
        <w:t>收入确认标准确认本业务的收入，即：本公司在已将自行开发的软件产品的主要风险和报酬转移给购货方；公司既没有保留</w:t>
      </w:r>
      <w:r>
        <w:rPr>
          <w:spacing w:val="-66"/>
        </w:rPr>
        <w:t> </w:t>
      </w:r>
      <w:r>
        <w:rPr>
          <w:spacing w:val="-66"/>
        </w:rPr>
      </w:r>
      <w:r>
        <w:rPr>
          <w:spacing w:val="-2"/>
        </w:rPr>
        <w:t>通常与之相联系的继续管理权，也没有对已售出的商品实施有效控制；与交易相关的经济利益能够流入企业；相关的收入和</w:t>
      </w:r>
      <w:r>
        <w:rPr>
          <w:spacing w:val="-66"/>
        </w:rPr>
        <w:t> </w:t>
      </w:r>
      <w:r>
        <w:rPr>
          <w:spacing w:val="-66"/>
        </w:rPr>
      </w:r>
      <w:r>
        <w:rPr/>
        <w:t>成本能可靠计量时，确认收入实现。</w:t>
      </w:r>
    </w:p>
    <w:p>
      <w:pPr>
        <w:pStyle w:val="BodyText"/>
        <w:spacing w:line="316" w:lineRule="auto" w:before="111"/>
        <w:ind w:left="153" w:right="150" w:firstLine="357"/>
        <w:jc w:val="both"/>
      </w:pPr>
      <w:r>
        <w:rPr>
          <w:spacing w:val="-2"/>
        </w:rPr>
        <w:t>定制软件是指根据与客户签订的技术开发、技术转让合同，对用户的业务进行充分实地调查，并根据用户的实际需求进</w:t>
      </w:r>
      <w:r>
        <w:rPr/>
        <w:t> </w:t>
      </w:r>
      <w:r>
        <w:rPr>
          <w:spacing w:val="-2"/>
        </w:rPr>
        <w:t>行专门的软件设计与开发，由此开发出来的软件不具有通用性。本公司在将软件产品移交给购买方时，在会计上按照销售商</w:t>
      </w:r>
      <w:r>
        <w:rPr>
          <w:spacing w:val="-66"/>
        </w:rPr>
        <w:t> </w:t>
      </w:r>
      <w:r>
        <w:rPr>
          <w:spacing w:val="-66"/>
        </w:rPr>
      </w:r>
      <w:r>
        <w:rPr>
          <w:spacing w:val="-2"/>
        </w:rPr>
        <w:t>品收入确认标准确认本业务的收入，即：本公司在已将专门开发的软件产品的主要风险和报酬转移给购货方；公司既没有保</w:t>
      </w:r>
      <w:r>
        <w:rPr>
          <w:spacing w:val="-66"/>
        </w:rPr>
        <w:t> </w:t>
      </w:r>
      <w:r>
        <w:rPr>
          <w:spacing w:val="-66"/>
        </w:rPr>
      </w:r>
      <w:r>
        <w:rPr>
          <w:spacing w:val="-2"/>
        </w:rPr>
        <w:t>留通常与之相联系的继续管理权，也没有对已售出的商品实施有效控制；与交易相关的经济利益能够流入企业；相关的收入</w:t>
      </w:r>
      <w:r>
        <w:rPr>
          <w:spacing w:val="-66"/>
        </w:rPr>
        <w:t> </w:t>
      </w:r>
      <w:r>
        <w:rPr>
          <w:spacing w:val="-66"/>
        </w:rPr>
      </w:r>
      <w:r>
        <w:rPr/>
        <w:t>和成本能可靠计量时，确认收入实现。</w:t>
      </w:r>
    </w:p>
    <w:p>
      <w:pPr>
        <w:pStyle w:val="BodyText"/>
        <w:spacing w:line="412" w:lineRule="auto" w:before="112"/>
        <w:ind w:left="511" w:right="2393"/>
        <w:jc w:val="left"/>
      </w:pPr>
      <w:r>
        <w:rPr/>
        <w:t>对系统集成中包含自行开发软件产品的销售收入，按以下系统集成的收入确认原则确认。 B、系统集成收入确认原则</w:t>
      </w:r>
    </w:p>
    <w:p>
      <w:pPr>
        <w:pStyle w:val="BodyText"/>
        <w:spacing w:line="240" w:lineRule="auto" w:before="40"/>
        <w:ind w:left="511" w:right="0"/>
        <w:jc w:val="left"/>
      </w:pPr>
      <w:r>
        <w:rPr/>
        <w:t>系统集成包括外购商品、软件产品的销售与安装。公司在已将外购商品、软件产品所有权上的主要风险和报酬转移给购</w:t>
      </w:r>
    </w:p>
    <w:p>
      <w:pPr>
        <w:spacing w:after="0" w:line="240" w:lineRule="auto"/>
        <w:jc w:val="left"/>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pStyle w:val="BodyText"/>
        <w:spacing w:line="316" w:lineRule="auto" w:before="44"/>
        <w:ind w:left="153" w:right="91"/>
        <w:jc w:val="left"/>
      </w:pPr>
      <w:r>
        <w:rPr>
          <w:spacing w:val="-2"/>
        </w:rPr>
        <w:t>货方；公司既没有保留通常与所有权相联系的继续管理权，也没有对已售出的商品实施有效控制；系统安装调试完毕已投入</w:t>
      </w:r>
      <w:r>
        <w:rPr>
          <w:spacing w:val="-66"/>
        </w:rPr>
        <w:t> </w:t>
      </w:r>
      <w:r>
        <w:rPr>
          <w:spacing w:val="-66"/>
        </w:rPr>
      </w:r>
      <w:r>
        <w:rPr/>
        <w:t>试运行或取得购货方的初验报告；与交易相关的经济利益能够流入企业；相关的收入和成本能可靠计量时，确认收入实现。</w:t>
      </w:r>
    </w:p>
    <w:p>
      <w:pPr>
        <w:pStyle w:val="BodyText"/>
        <w:spacing w:line="412" w:lineRule="auto" w:before="111"/>
        <w:ind w:left="511" w:right="453"/>
        <w:jc w:val="left"/>
      </w:pPr>
      <w:r>
        <w:rPr/>
        <w:t>C、技术支持与维护收入确认原则 技术支持与维护主要指根据合同规定向用户提供的有偿后续服务，包括系统维护、技术应用与支持、产品升级等。 本公司根据与用户签订的相关合同签订的合同总额与服务期间，按提供服务的进度确认收入。</w:t>
      </w:r>
    </w:p>
    <w:p>
      <w:pPr>
        <w:pStyle w:val="BodyText"/>
        <w:spacing w:line="412" w:lineRule="auto" w:before="40"/>
        <w:ind w:left="511" w:right="184"/>
        <w:jc w:val="left"/>
      </w:pPr>
      <w:r>
        <w:rPr/>
        <w:t>D、技术开发收入 </w:t>
      </w:r>
      <w:r>
        <w:rPr>
          <w:spacing w:val="-2"/>
        </w:rPr>
        <w:t>技术开发收入是指根据用户的需求，对自行研究开发的软件产品再次开发取得的收入。公司在劳务已经提供，收到价款</w:t>
      </w:r>
    </w:p>
    <w:p>
      <w:pPr>
        <w:pStyle w:val="BodyText"/>
        <w:spacing w:line="182" w:lineRule="exact"/>
        <w:ind w:left="153" w:right="184"/>
        <w:jc w:val="left"/>
      </w:pPr>
      <w:r>
        <w:rPr/>
        <w:t>或取得收款的依据，于技术开发项目投入用户试运行或取得用户的初验报告后确认收入的实现。</w:t>
      </w:r>
    </w:p>
    <w:p>
      <w:pPr>
        <w:spacing w:line="240" w:lineRule="auto" w:before="12"/>
        <w:rPr>
          <w:rFonts w:ascii="宋体" w:hAnsi="宋体" w:cs="宋体" w:eastAsia="宋体" w:hint="default"/>
          <w:sz w:val="26"/>
          <w:szCs w:val="26"/>
        </w:rPr>
      </w:pPr>
    </w:p>
    <w:p>
      <w:pPr>
        <w:pStyle w:val="Heading3"/>
        <w:spacing w:line="240" w:lineRule="auto"/>
        <w:ind w:right="184"/>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84"/>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412" w:lineRule="auto"/>
        <w:ind w:left="511" w:right="184"/>
        <w:jc w:val="left"/>
      </w:pPr>
      <w:r>
        <w:rPr/>
        <w:t>政府补助在满足政府补助所附条件并能够收到时确认。 </w:t>
      </w:r>
      <w:r>
        <w:rPr>
          <w:spacing w:val="-2"/>
        </w:rPr>
        <w:t>对于货币性资产的政府补助，按照收到或应收的金额计量。对于非货币性资产的政府补助，按照公允价值计量；公允价</w:t>
      </w:r>
    </w:p>
    <w:p>
      <w:pPr>
        <w:pStyle w:val="BodyText"/>
        <w:spacing w:line="182" w:lineRule="exact"/>
        <w:ind w:left="153" w:right="184"/>
        <w:jc w:val="left"/>
      </w:pPr>
      <w:r>
        <w:rPr/>
        <w:t>值不能够可靠取得的，按照名义金额1元计量。</w:t>
      </w:r>
    </w:p>
    <w:p>
      <w:pPr>
        <w:spacing w:line="240" w:lineRule="auto" w:before="13"/>
        <w:rPr>
          <w:rFonts w:ascii="宋体" w:hAnsi="宋体" w:cs="宋体" w:eastAsia="宋体" w:hint="default"/>
          <w:sz w:val="12"/>
          <w:szCs w:val="12"/>
        </w:rPr>
      </w:pPr>
    </w:p>
    <w:p>
      <w:pPr>
        <w:pStyle w:val="BodyText"/>
        <w:spacing w:line="316" w:lineRule="auto"/>
        <w:ind w:left="153" w:right="188" w:firstLine="357"/>
        <w:jc w:val="both"/>
      </w:pPr>
      <w:r>
        <w:rPr>
          <w:spacing w:val="-2"/>
        </w:rPr>
        <w:t>与资产相关的政府补助，是指本集团取得的、用于购建或以其他方式形成长期资产的政府补助；除此之外，作为与收益</w:t>
      </w:r>
      <w:r>
        <w:rPr/>
        <w:t> 相关的政府补助。</w:t>
      </w:r>
    </w:p>
    <w:p>
      <w:pPr>
        <w:pStyle w:val="BodyText"/>
        <w:spacing w:line="316" w:lineRule="auto" w:before="111"/>
        <w:ind w:left="153" w:right="191" w:firstLine="357"/>
        <w:jc w:val="both"/>
      </w:pPr>
      <w:r>
        <w:rPr>
          <w:spacing w:val="-2"/>
        </w:rPr>
        <w:t>对于政府文件未明确规定补助对象的，能够形成长期资产的，与资产价值相对应的政府补助部分作为与资产相关的政府</w:t>
      </w:r>
      <w:r>
        <w:rPr/>
        <w:t> 补助，其余部分作为与收益相关的政府补助；难以区分的，将政府补助整体作为与收益相关的政府补助。</w:t>
      </w:r>
    </w:p>
    <w:p>
      <w:pPr>
        <w:pStyle w:val="BodyText"/>
        <w:spacing w:line="240" w:lineRule="auto" w:before="112"/>
        <w:ind w:left="511" w:right="184"/>
        <w:jc w:val="left"/>
      </w:pPr>
      <w:r>
        <w:rPr/>
        <w:t>与资产相关的政府补助，确认为递延收益在相关资产使用期限内按照合理、系统的方法分期计入损益。</w:t>
      </w:r>
    </w:p>
    <w:p>
      <w:pPr>
        <w:spacing w:line="240" w:lineRule="auto" w:before="11"/>
        <w:rPr>
          <w:rFonts w:ascii="宋体" w:hAnsi="宋体" w:cs="宋体" w:eastAsia="宋体" w:hint="default"/>
          <w:sz w:val="26"/>
          <w:szCs w:val="26"/>
        </w:rPr>
      </w:pPr>
    </w:p>
    <w:p>
      <w:pPr>
        <w:pStyle w:val="Heading3"/>
        <w:spacing w:line="240" w:lineRule="auto"/>
        <w:ind w:right="184"/>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53" w:right="191" w:firstLine="357"/>
        <w:jc w:val="both"/>
      </w:pPr>
      <w:r>
        <w:rPr>
          <w:spacing w:val="-2"/>
        </w:rPr>
        <w:t>与收益相关的政府补助，用于补偿已发生的相关成本费用或损失的，计入当期损益；用于补偿以后期间的相关成本费用</w:t>
      </w:r>
      <w:r>
        <w:rPr/>
        <w:t> </w:t>
      </w:r>
      <w:r>
        <w:rPr>
          <w:spacing w:val="-2"/>
        </w:rPr>
        <w:t>或损失的，则计入递延收益，于相关成本费用或损失确认期间计入当期损益。按照名义金额计量的政府补助，直接计入当期</w:t>
      </w:r>
      <w:r>
        <w:rPr>
          <w:spacing w:val="-66"/>
        </w:rPr>
        <w:t> </w:t>
      </w:r>
      <w:r>
        <w:rPr>
          <w:spacing w:val="-66"/>
        </w:rPr>
      </w:r>
      <w:r>
        <w:rPr/>
        <w:t>损益。本集团对相同或类似的政府补助业务，采用一致的方法处理。</w:t>
      </w:r>
    </w:p>
    <w:p>
      <w:pPr>
        <w:pStyle w:val="BodyText"/>
        <w:spacing w:line="412" w:lineRule="auto" w:before="111"/>
        <w:ind w:left="511" w:right="93"/>
        <w:jc w:val="left"/>
      </w:pPr>
      <w:r>
        <w:rPr/>
        <w:t>与日常活动相关的政府补助，按照经济业务实质，计入其他收益。与日常活动无关的政府补助，计入营业外收支。 已确认的政府补助需要返还时，初始确认时冲减相关资产账面价值的，调整资产账面价值；存在相关递延收益余额的，</w:t>
      </w:r>
    </w:p>
    <w:p>
      <w:pPr>
        <w:pStyle w:val="BodyText"/>
        <w:spacing w:line="182" w:lineRule="exact"/>
        <w:ind w:left="153" w:right="184"/>
        <w:jc w:val="left"/>
      </w:pPr>
      <w:r>
        <w:rPr/>
        <w:t>冲减相关递延收益账面余额，超出部分计入当期损益；属于其他情况的，直接计入当期损益。</w:t>
      </w:r>
    </w:p>
    <w:p>
      <w:pPr>
        <w:spacing w:line="240" w:lineRule="auto" w:before="11"/>
        <w:rPr>
          <w:rFonts w:ascii="宋体" w:hAnsi="宋体" w:cs="宋体" w:eastAsia="宋体" w:hint="default"/>
          <w:sz w:val="26"/>
          <w:szCs w:val="26"/>
        </w:rPr>
      </w:pPr>
    </w:p>
    <w:p>
      <w:pPr>
        <w:pStyle w:val="Heading3"/>
        <w:spacing w:line="240" w:lineRule="auto"/>
        <w:ind w:right="184"/>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53" w:right="191" w:firstLine="357"/>
        <w:jc w:val="both"/>
      </w:pPr>
      <w:r>
        <w:rPr>
          <w:spacing w:val="-2"/>
        </w:rPr>
        <w:t>所得税包括当期所得税和递延所得税。除由于企业合并产生的调整商誉，或与直接计入所有者权益的交易或者事项相关</w:t>
      </w:r>
      <w:r>
        <w:rPr/>
        <w:t> 的递延所得税计入所有者权益外，均作为所得税费用计入当期损益。</w:t>
      </w:r>
    </w:p>
    <w:p>
      <w:pPr>
        <w:pStyle w:val="BodyText"/>
        <w:spacing w:line="316" w:lineRule="auto" w:before="111"/>
        <w:ind w:left="153" w:right="191" w:firstLine="357"/>
        <w:jc w:val="both"/>
      </w:pPr>
      <w:r>
        <w:rPr>
          <w:spacing w:val="-2"/>
        </w:rPr>
        <w:t>本集团根据资产、负债于资产负债表日的账面价值与计税基础之间的暂时性差异，采用资产负债表债务法确认递延所得</w:t>
      </w:r>
      <w:r>
        <w:rPr/>
        <w:t> 税。</w:t>
      </w:r>
    </w:p>
    <w:p>
      <w:pPr>
        <w:pStyle w:val="BodyText"/>
        <w:spacing w:line="240" w:lineRule="auto" w:before="112"/>
        <w:ind w:left="511" w:right="184"/>
        <w:jc w:val="left"/>
      </w:pPr>
      <w:r>
        <w:rPr/>
        <w:t>各项应纳税暂时性差异均确认相关的递延所得税负债，除非该应纳税暂时性差异是在以下交易中产生的：</w:t>
      </w:r>
    </w:p>
    <w:p>
      <w:pPr>
        <w:spacing w:line="240" w:lineRule="auto" w:before="12"/>
        <w:rPr>
          <w:rFonts w:ascii="宋体" w:hAnsi="宋体" w:cs="宋体" w:eastAsia="宋体" w:hint="default"/>
          <w:sz w:val="12"/>
          <w:szCs w:val="12"/>
        </w:rPr>
      </w:pPr>
    </w:p>
    <w:p>
      <w:pPr>
        <w:pStyle w:val="BodyText"/>
        <w:spacing w:line="316" w:lineRule="auto"/>
        <w:ind w:left="153" w:right="191" w:firstLine="357"/>
        <w:jc w:val="both"/>
      </w:pPr>
      <w:r>
        <w:rPr/>
        <w:t>（1）商誉的初始确认，或者具有以下特征的交易中产生的资产或负债的初始确认：该交易不是企业合并，并且交易发 生时既不影响会计利润也不影响应纳税所得额；</w:t>
      </w:r>
    </w:p>
    <w:p>
      <w:pPr>
        <w:spacing w:after="0" w:line="316" w:lineRule="auto"/>
        <w:jc w:val="both"/>
        <w:sectPr>
          <w:footerReference w:type="default" r:id="rId38"/>
          <w:pgSz w:w="11910" w:h="16840"/>
          <w:pgMar w:footer="982" w:header="877" w:top="1100" w:bottom="1180" w:left="980" w:right="940"/>
        </w:sectPr>
      </w:pPr>
    </w:p>
    <w:p>
      <w:pPr>
        <w:spacing w:line="240" w:lineRule="auto" w:before="12"/>
        <w:rPr>
          <w:rFonts w:ascii="宋体" w:hAnsi="宋体" w:cs="宋体" w:eastAsia="宋体" w:hint="default"/>
          <w:sz w:val="21"/>
          <w:szCs w:val="21"/>
        </w:rPr>
      </w:pPr>
    </w:p>
    <w:p>
      <w:pPr>
        <w:pStyle w:val="BodyText"/>
        <w:spacing w:line="316" w:lineRule="auto" w:before="44"/>
        <w:ind w:left="153" w:right="184" w:firstLine="357"/>
        <w:jc w:val="left"/>
      </w:pPr>
      <w:r>
        <w:rPr/>
        <w:t>（2）对于与子公司、合营企业及联营企业投资相关的应纳税暂时性差异，该暂时性差异转回的时间能够控制并且该暂 时性差异在可预见的未来很可能不会转回。</w:t>
      </w:r>
    </w:p>
    <w:p>
      <w:pPr>
        <w:pStyle w:val="BodyText"/>
        <w:spacing w:line="316" w:lineRule="auto" w:before="111"/>
        <w:ind w:left="153" w:right="91" w:firstLine="357"/>
        <w:jc w:val="left"/>
      </w:pPr>
      <w:r>
        <w:rPr>
          <w:spacing w:val="-4"/>
        </w:rPr>
        <w:t>对于可抵扣暂时性差异、能够结转以后年度的可抵扣亏损和税款抵减，本集团以很可能取得用来抵扣可抵扣暂时性差异、</w:t>
      </w:r>
      <w:r>
        <w:rPr/>
        <w:t> </w:t>
      </w:r>
      <w:r>
        <w:rPr>
          <w:spacing w:val="-2"/>
        </w:rPr>
        <w:t>可抵扣亏损和税款抵减的未来应纳税所得额为限，确认由此产生的递延所得税资产，除非该可抵扣暂时性差异是在以下交易</w:t>
      </w:r>
      <w:r>
        <w:rPr>
          <w:spacing w:val="-64"/>
        </w:rPr>
        <w:t> </w:t>
      </w:r>
      <w:r>
        <w:rPr>
          <w:spacing w:val="-64"/>
        </w:rPr>
      </w:r>
      <w:r>
        <w:rPr/>
        <w:t>中产生的：</w:t>
      </w:r>
    </w:p>
    <w:p>
      <w:pPr>
        <w:pStyle w:val="BodyText"/>
        <w:spacing w:line="240" w:lineRule="auto" w:before="112"/>
        <w:ind w:left="511" w:right="184"/>
        <w:jc w:val="left"/>
      </w:pPr>
      <w:r>
        <w:rPr/>
        <w:t>（1）该交易不是企业合并，并且交易发生时既不影响会计利润也不影响应纳税所得额；</w:t>
      </w:r>
    </w:p>
    <w:p>
      <w:pPr>
        <w:spacing w:line="240" w:lineRule="auto" w:before="12"/>
        <w:rPr>
          <w:rFonts w:ascii="宋体" w:hAnsi="宋体" w:cs="宋体" w:eastAsia="宋体" w:hint="default"/>
          <w:sz w:val="12"/>
          <w:szCs w:val="12"/>
        </w:rPr>
      </w:pPr>
    </w:p>
    <w:p>
      <w:pPr>
        <w:pStyle w:val="BodyText"/>
        <w:spacing w:line="316" w:lineRule="auto"/>
        <w:ind w:left="153" w:right="184" w:firstLine="357"/>
        <w:jc w:val="left"/>
      </w:pPr>
      <w:r>
        <w:rPr/>
        <w:t>（2）对于与子公司、合营企业及联营企业投资相关的可抵扣暂时性差异，同时满足下列条件的，确认相应的递延所得 税资产：暂时性差异在可预见的未来很可能转回，且未来很可能获得用来抵扣可抵扣暂时性差异的应纳税所得额。</w:t>
      </w:r>
    </w:p>
    <w:p>
      <w:pPr>
        <w:pStyle w:val="BodyText"/>
        <w:spacing w:line="316" w:lineRule="auto" w:before="112"/>
        <w:ind w:left="153" w:right="91" w:firstLine="357"/>
        <w:jc w:val="left"/>
      </w:pPr>
      <w:r>
        <w:rPr>
          <w:spacing w:val="-4"/>
        </w:rPr>
        <w:t>于资产负债表日，本集团对递延所得税资产和递延所得税负债，按照预期收回该资产或清偿该负债期间的适用税率计量，</w:t>
      </w:r>
      <w:r>
        <w:rPr/>
        <w:t> 并反映资产负债表日预期收回资产或清偿负债方式的所得税影响。</w:t>
      </w:r>
    </w:p>
    <w:p>
      <w:pPr>
        <w:pStyle w:val="BodyText"/>
        <w:spacing w:line="316" w:lineRule="auto" w:before="111"/>
        <w:ind w:left="153" w:right="190" w:firstLine="357"/>
        <w:jc w:val="both"/>
      </w:pPr>
      <w:r>
        <w:rPr>
          <w:spacing w:val="-2"/>
        </w:rPr>
        <w:t>于资产负债表日，本集团对递延所得税资产的账面价值进行复核。如果未来期间很可能无法获得足够的应纳税所得额用</w:t>
      </w:r>
      <w:r>
        <w:rPr/>
        <w:t> </w:t>
      </w:r>
      <w:r>
        <w:rPr>
          <w:spacing w:val="-2"/>
        </w:rPr>
        <w:t>以抵扣递延所得税资产的利益，减记递延所得税资产的账面价值。在很可能获得足够的应纳税所得额时，减记的金额予以转</w:t>
      </w:r>
      <w:r>
        <w:rPr>
          <w:spacing w:val="-66"/>
        </w:rPr>
        <w:t> </w:t>
      </w:r>
      <w:r>
        <w:rPr>
          <w:spacing w:val="-66"/>
        </w:rPr>
      </w:r>
      <w:r>
        <w:rPr/>
        <w:t>回。</w:t>
      </w:r>
    </w:p>
    <w:p>
      <w:pPr>
        <w:spacing w:line="240" w:lineRule="auto" w:before="7"/>
        <w:rPr>
          <w:rFonts w:ascii="宋体" w:hAnsi="宋体" w:cs="宋体" w:eastAsia="宋体" w:hint="default"/>
          <w:sz w:val="22"/>
          <w:szCs w:val="22"/>
        </w:rPr>
      </w:pPr>
    </w:p>
    <w:p>
      <w:pPr>
        <w:pStyle w:val="Heading3"/>
        <w:spacing w:line="240" w:lineRule="auto"/>
        <w:ind w:right="184"/>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84"/>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412" w:lineRule="auto"/>
        <w:ind w:left="511" w:right="184"/>
        <w:jc w:val="left"/>
      </w:pPr>
      <w:r>
        <w:rPr/>
        <w:t>经营租赁与融资租赁 </w:t>
      </w:r>
      <w:r>
        <w:rPr>
          <w:spacing w:val="-2"/>
        </w:rPr>
        <w:t>本集团将实质上转移了与资产所有权有关的全部风险和报酬的租赁确认为融资租赁，除融资租赁之外的其他租赁确认为</w:t>
      </w:r>
    </w:p>
    <w:p>
      <w:pPr>
        <w:pStyle w:val="BodyText"/>
        <w:spacing w:line="182" w:lineRule="exact"/>
        <w:ind w:left="153" w:right="184"/>
        <w:jc w:val="left"/>
      </w:pPr>
      <w:r>
        <w:rPr/>
        <w:t>经营租赁。</w:t>
      </w:r>
    </w:p>
    <w:p>
      <w:pPr>
        <w:spacing w:line="240" w:lineRule="auto" w:before="13"/>
        <w:rPr>
          <w:rFonts w:ascii="宋体" w:hAnsi="宋体" w:cs="宋体" w:eastAsia="宋体" w:hint="default"/>
          <w:sz w:val="12"/>
          <w:szCs w:val="12"/>
        </w:rPr>
      </w:pPr>
    </w:p>
    <w:p>
      <w:pPr>
        <w:pStyle w:val="BodyText"/>
        <w:spacing w:line="240" w:lineRule="auto"/>
        <w:ind w:left="511" w:right="184"/>
        <w:jc w:val="left"/>
      </w:pPr>
      <w:r>
        <w:rPr/>
        <w:t>报告期内，本集团仅涉及经营租赁。</w:t>
      </w:r>
    </w:p>
    <w:p>
      <w:pPr>
        <w:spacing w:line="240" w:lineRule="auto" w:before="12"/>
        <w:rPr>
          <w:rFonts w:ascii="宋体" w:hAnsi="宋体" w:cs="宋体" w:eastAsia="宋体" w:hint="default"/>
          <w:sz w:val="12"/>
          <w:szCs w:val="12"/>
        </w:rPr>
      </w:pPr>
    </w:p>
    <w:p>
      <w:pPr>
        <w:pStyle w:val="BodyText"/>
        <w:spacing w:line="412" w:lineRule="auto"/>
        <w:ind w:left="511" w:right="453"/>
        <w:jc w:val="left"/>
      </w:pPr>
      <w:r>
        <w:rPr/>
        <w:t>（1）本集团作为出租人 经营租赁中的租金，本集团在租赁期内各个期间按照直线法确认当期损益。发生的初始直接费用，计入当期损益。</w:t>
      </w:r>
    </w:p>
    <w:p>
      <w:pPr>
        <w:pStyle w:val="BodyText"/>
        <w:spacing w:line="412" w:lineRule="auto" w:before="39"/>
        <w:ind w:left="511" w:right="184"/>
        <w:jc w:val="left"/>
      </w:pPr>
      <w:r>
        <w:rPr/>
        <w:t>（2）本集团作为承租人 </w:t>
      </w:r>
      <w:r>
        <w:rPr>
          <w:spacing w:val="-2"/>
        </w:rPr>
        <w:t>经营租赁中的租金，本集团在租赁期内各个期间按照直线法计入相关资产成本或当期损益；发生的初始直接费用，计入</w:t>
      </w:r>
    </w:p>
    <w:p>
      <w:pPr>
        <w:pStyle w:val="BodyText"/>
        <w:spacing w:line="182" w:lineRule="exact"/>
        <w:ind w:left="153" w:right="184"/>
        <w:jc w:val="left"/>
      </w:pPr>
      <w:r>
        <w:rPr/>
        <w:t>当期损益。</w:t>
      </w:r>
    </w:p>
    <w:p>
      <w:pPr>
        <w:spacing w:line="240" w:lineRule="auto" w:before="11"/>
        <w:rPr>
          <w:rFonts w:ascii="宋体" w:hAnsi="宋体" w:cs="宋体" w:eastAsia="宋体" w:hint="default"/>
          <w:sz w:val="26"/>
          <w:szCs w:val="26"/>
        </w:rPr>
      </w:pPr>
    </w:p>
    <w:p>
      <w:pPr>
        <w:pStyle w:val="Heading3"/>
        <w:spacing w:line="240" w:lineRule="auto"/>
        <w:ind w:right="184"/>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84"/>
        <w:jc w:val="left"/>
      </w:pPr>
      <w:r>
        <w:rPr/>
        <w:t>无。</w:t>
      </w:r>
    </w:p>
    <w:p>
      <w:pPr>
        <w:spacing w:line="240" w:lineRule="auto" w:before="12"/>
        <w:rPr>
          <w:rFonts w:ascii="宋体" w:hAnsi="宋体" w:cs="宋体" w:eastAsia="宋体" w:hint="default"/>
          <w:sz w:val="26"/>
          <w:szCs w:val="26"/>
        </w:rPr>
      </w:pPr>
    </w:p>
    <w:p>
      <w:pPr>
        <w:pStyle w:val="Heading3"/>
        <w:spacing w:line="240" w:lineRule="auto"/>
        <w:ind w:right="184"/>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412" w:lineRule="auto"/>
        <w:ind w:left="511" w:right="93"/>
        <w:jc w:val="left"/>
      </w:pPr>
      <w:r>
        <w:rPr/>
        <w:t>本集团根据历史经验和其它因素，包括对未来事项的合理预期，对所采用的重要会计估计和关键假设进行持续的评价。</w:t>
      </w:r>
      <w:r>
        <w:rPr>
          <w:spacing w:val="-82"/>
        </w:rPr>
        <w:t> </w:t>
      </w:r>
      <w:r>
        <w:rPr>
          <w:spacing w:val="-82"/>
        </w:rPr>
      </w:r>
      <w:r>
        <w:rPr/>
        <w:t>很可能导致下一会计年度资产和负债的账面价值出现重大调整风险的重要会计估计和关键假设列示如下：</w:t>
      </w:r>
      <w:r>
        <w:rPr/>
        <w:t> 递延所得税资产 </w:t>
      </w:r>
      <w:r>
        <w:rPr>
          <w:spacing w:val="-2"/>
        </w:rPr>
        <w:t>在很有可能有足够的应纳税利润来抵扣亏损的限度内，应就所有未利用的税务亏损确认递延所得税资产。这需要管理层</w:t>
      </w:r>
    </w:p>
    <w:p>
      <w:pPr>
        <w:pStyle w:val="BodyText"/>
        <w:spacing w:line="182" w:lineRule="exact"/>
        <w:ind w:left="153" w:right="184"/>
        <w:jc w:val="left"/>
      </w:pPr>
      <w:r>
        <w:rPr/>
        <w:t>运用大量的判断来估计未来应纳税利润发生的时间和金额，结合纳税筹划策略，以决定应确认的递延所得税资产的金额。</w:t>
      </w:r>
    </w:p>
    <w:p>
      <w:pPr>
        <w:spacing w:after="0" w:line="182" w:lineRule="exact"/>
        <w:jc w:val="left"/>
        <w:sectPr>
          <w:footerReference w:type="default" r:id="rId39"/>
          <w:pgSz w:w="11910" w:h="16840"/>
          <w:pgMar w:footer="982" w:header="877" w:top="1100" w:bottom="1180" w:left="980" w:right="940"/>
          <w:pgNumType w:start="101"/>
        </w:sectPr>
      </w:pPr>
    </w:p>
    <w:p>
      <w:pPr>
        <w:spacing w:line="240" w:lineRule="auto" w:before="10"/>
        <w:rPr>
          <w:rFonts w:ascii="宋体" w:hAnsi="宋体" w:cs="宋体" w:eastAsia="宋体" w:hint="default"/>
          <w:sz w:val="20"/>
          <w:szCs w:val="20"/>
        </w:rPr>
      </w:pPr>
      <w:r>
        <w:rPr/>
        <w:pict>
          <v:group style="position:absolute;margin-left:262.5pt;margin-top:318.399994pt;width:98.8pt;height:36.4pt;mso-position-horizontal-relative:page;mso-position-vertical-relative:page;z-index:-1147864" coordorigin="5250,6368" coordsize="1976,728">
            <v:shape style="position:absolute;left:5250;top:6368;width:1976;height:728" coordorigin="5250,6368" coordsize="1976,728" path="m5250,7096l7225,7096,7225,6368,5250,6368,5250,7096xe" filled="true" fillcolor="#ffffff" stroked="false">
              <v:path arrowok="t"/>
              <v:fill type="solid"/>
            </v:shape>
            <w10:wrap type="none"/>
          </v:group>
        </w:pict>
      </w:r>
      <w:r>
        <w:rPr/>
        <w:pict>
          <v:group style="position:absolute;margin-left:263.640015pt;margin-top:372.359985pt;width:96.5pt;height:15.6pt;mso-position-horizontal-relative:page;mso-position-vertical-relative:page;z-index:-1147840" coordorigin="5273,7447" coordsize="1930,312">
            <v:shape style="position:absolute;left:5273;top:7447;width:1930;height:312" coordorigin="5273,7447" coordsize="1930,312" path="m5273,7759l7202,7759,7202,7447,5273,7447,5273,7759xe" filled="true" fillcolor="#ffffff" stroked="false">
              <v:path arrowok="t"/>
              <v:fill type="solid"/>
            </v:shape>
            <w10:wrap type="none"/>
          </v:group>
        </w:pict>
      </w:r>
    </w:p>
    <w:p>
      <w:pPr>
        <w:pStyle w:val="Heading3"/>
        <w:spacing w:line="240" w:lineRule="auto" w:before="35"/>
        <w:ind w:right="1258"/>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8"/>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58"/>
        <w:jc w:val="left"/>
      </w:pPr>
      <w:r>
        <w:rPr/>
        <w:pict>
          <v:group style="position:absolute;margin-left:262.5pt;margin-top:37.592041pt;width:98.8pt;height:24.4pt;mso-position-horizontal-relative:page;mso-position-vertical-relative:paragraph;z-index:-1147912" coordorigin="5250,752" coordsize="1976,488">
            <v:shape style="position:absolute;left:5250;top:752;width:1976;height:488" coordorigin="5250,752" coordsize="1976,488" path="m5250,1240l7225,1240,7225,752,5250,752,5250,1240xe" filled="true" fillcolor="#ffffff" stroked="false">
              <v:path arrowok="t"/>
              <v:fill type="solid"/>
            </v:shape>
            <w10:wrap type="none"/>
          </v:group>
        </w:pict>
      </w:r>
      <w:r>
        <w:rPr/>
        <w:pict>
          <v:group style="position:absolute;margin-left:263.640015pt;margin-top:95.23204pt;width:96.5pt;height:31.2pt;mso-position-horizontal-relative:page;mso-position-vertical-relative:paragraph;z-index:-1147888" coordorigin="5273,1905" coordsize="1930,624">
            <v:group style="position:absolute;left:5273;top:1905;width:1930;height:312" coordorigin="5273,1905" coordsize="1930,312">
              <v:shape style="position:absolute;left:5273;top:1905;width:1930;height:312" coordorigin="5273,1905" coordsize="1930,312" path="m5273,2217l7202,2217,7202,1905,5273,1905,5273,2217xe" filled="true" fillcolor="#ffffff" stroked="false">
                <v:path arrowok="t"/>
                <v:fill type="solid"/>
              </v:shape>
            </v:group>
            <v:group style="position:absolute;left:5273;top:2217;width:1930;height:312" coordorigin="5273,2217" coordsize="1930,312">
              <v:shape style="position:absolute;left:5273;top:2217;width:1930;height:312" coordorigin="5273,2217" coordsize="1930,312" path="m5273,2529l7202,2529,7202,2217,5273,2217,5273,2529xe" filled="true" fillcolor="#ffffff" stroked="false">
                <v:path arrowok="t"/>
                <v:fill type="solid"/>
              </v:shape>
            </v:group>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34" w:type="dxa"/>
        <w:tblLayout w:type="fixed"/>
        <w:tblCellMar>
          <w:top w:w="0" w:type="dxa"/>
          <w:left w:w="0" w:type="dxa"/>
          <w:bottom w:w="0" w:type="dxa"/>
          <w:right w:w="0" w:type="dxa"/>
        </w:tblCellMar>
        <w:tblLook w:val="01E0"/>
      </w:tblPr>
      <w:tblGrid>
        <w:gridCol w:w="4137"/>
        <w:gridCol w:w="1973"/>
        <w:gridCol w:w="1622"/>
        <w:gridCol w:w="1933"/>
      </w:tblGrid>
      <w:tr>
        <w:trPr>
          <w:trHeight w:val="401" w:hRule="exact"/>
        </w:trPr>
        <w:tc>
          <w:tcPr>
            <w:tcW w:w="41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77"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14"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5" w:right="0"/>
              <w:jc w:val="left"/>
              <w:rPr>
                <w:rFonts w:ascii="宋体" w:hAnsi="宋体" w:cs="宋体" w:eastAsia="宋体" w:hint="default"/>
                <w:sz w:val="18"/>
                <w:szCs w:val="18"/>
              </w:rPr>
            </w:pPr>
            <w:r>
              <w:rPr>
                <w:rFonts w:ascii="宋体" w:hAnsi="宋体" w:cs="宋体" w:eastAsia="宋体" w:hint="default"/>
                <w:sz w:val="18"/>
                <w:szCs w:val="18"/>
              </w:rPr>
              <w:t>受影响的报表项目</w:t>
            </w:r>
          </w:p>
        </w:tc>
        <w:tc>
          <w:tcPr>
            <w:tcW w:w="19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6" w:right="0"/>
              <w:jc w:val="left"/>
              <w:rPr>
                <w:rFonts w:ascii="宋体" w:hAnsi="宋体" w:cs="宋体" w:eastAsia="宋体" w:hint="default"/>
                <w:sz w:val="18"/>
                <w:szCs w:val="18"/>
              </w:rPr>
            </w:pPr>
            <w:r>
              <w:rPr>
                <w:rFonts w:ascii="宋体" w:hAnsi="宋体" w:cs="宋体" w:eastAsia="宋体" w:hint="default"/>
                <w:sz w:val="18"/>
                <w:szCs w:val="18"/>
              </w:rPr>
              <w:t>影响金额(单位：元）</w:t>
            </w:r>
          </w:p>
        </w:tc>
      </w:tr>
      <w:tr>
        <w:trPr>
          <w:trHeight w:val="363" w:hRule="exact"/>
        </w:trPr>
        <w:tc>
          <w:tcPr>
            <w:tcW w:w="41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根</w:t>
            </w:r>
            <w:r>
              <w:rPr>
                <w:rFonts w:ascii="宋体" w:hAnsi="宋体" w:cs="宋体" w:eastAsia="宋体" w:hint="default"/>
                <w:spacing w:val="-36"/>
                <w:sz w:val="18"/>
                <w:szCs w:val="18"/>
              </w:rPr>
              <w:t>据</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w:t>
            </w:r>
            <w:r>
              <w:rPr>
                <w:rFonts w:ascii="宋体" w:hAnsi="宋体" w:cs="宋体" w:eastAsia="宋体" w:hint="default"/>
                <w:spacing w:val="-126"/>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pacing w:val="-90"/>
                <w:sz w:val="18"/>
                <w:szCs w:val="18"/>
              </w:rPr>
              <w:t>）</w:t>
            </w:r>
            <w:r>
              <w:rPr>
                <w:rFonts w:ascii="宋体" w:hAnsi="宋体" w:cs="宋体" w:eastAsia="宋体" w:hint="default"/>
                <w:sz w:val="18"/>
                <w:szCs w:val="18"/>
              </w:rPr>
            </w:r>
          </w:p>
        </w:tc>
        <w:tc>
          <w:tcPr>
            <w:tcW w:w="19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1622" w:type="dxa"/>
            <w:tcBorders>
              <w:top w:val="single" w:sz="4" w:space="0" w:color="000000"/>
              <w:left w:val="single" w:sz="4" w:space="0" w:color="000000"/>
              <w:bottom w:val="nil" w:sz="6" w:space="0" w:color="auto"/>
              <w:right w:val="single" w:sz="4" w:space="0" w:color="000000"/>
            </w:tcBorders>
          </w:tcPr>
          <w:p>
            <w:pPr/>
          </w:p>
        </w:tc>
        <w:tc>
          <w:tcPr>
            <w:tcW w:w="1933" w:type="dxa"/>
            <w:tcBorders>
              <w:top w:val="single" w:sz="4" w:space="0" w:color="000000"/>
              <w:left w:val="single" w:sz="4" w:space="0" w:color="000000"/>
              <w:bottom w:val="nil" w:sz="6" w:space="0" w:color="auto"/>
              <w:right w:val="single" w:sz="4" w:space="0" w:color="000000"/>
            </w:tcBorders>
          </w:tcPr>
          <w:p>
            <w:pPr/>
          </w:p>
        </w:tc>
      </w:tr>
      <w:tr>
        <w:trPr>
          <w:trHeight w:val="239" w:hRule="exact"/>
        </w:trPr>
        <w:tc>
          <w:tcPr>
            <w:tcW w:w="4137" w:type="dxa"/>
            <w:tcBorders>
              <w:top w:val="nil" w:sz="6" w:space="0" w:color="auto"/>
              <w:left w:val="single" w:sz="4" w:space="0" w:color="000000"/>
              <w:bottom w:val="nil" w:sz="6" w:space="0" w:color="auto"/>
              <w:right w:val="single" w:sz="9" w:space="0" w:color="FFFFFF"/>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政府补助的会计处理方法从总额法改为允许采用净</w:t>
            </w:r>
          </w:p>
        </w:tc>
        <w:tc>
          <w:tcPr>
            <w:tcW w:w="1973" w:type="dxa"/>
            <w:tcBorders>
              <w:top w:val="nil" w:sz="6" w:space="0" w:color="auto"/>
              <w:left w:val="single" w:sz="9" w:space="0" w:color="FFFFFF"/>
              <w:bottom w:val="nil" w:sz="6" w:space="0" w:color="auto"/>
              <w:right w:val="single" w:sz="4" w:space="0" w:color="000000"/>
            </w:tcBorders>
          </w:tcPr>
          <w:p>
            <w:pPr/>
          </w:p>
        </w:tc>
        <w:tc>
          <w:tcPr>
            <w:tcW w:w="1622"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4137" w:type="dxa"/>
            <w:tcBorders>
              <w:top w:val="nil" w:sz="6" w:space="0" w:color="auto"/>
              <w:left w:val="single" w:sz="4" w:space="0" w:color="000000"/>
              <w:bottom w:val="nil" w:sz="6" w:space="0" w:color="auto"/>
              <w:right w:val="single" w:sz="9" w:space="0" w:color="FFFFFF"/>
            </w:tcBorders>
          </w:tcPr>
          <w:p>
            <w:pPr>
              <w:pStyle w:val="TableParagraph"/>
              <w:spacing w:line="240" w:lineRule="auto" w:before="78"/>
              <w:ind w:left="23" w:right="0"/>
              <w:jc w:val="left"/>
              <w:rPr>
                <w:rFonts w:ascii="宋体" w:hAnsi="宋体" w:cs="宋体" w:eastAsia="宋体" w:hint="default"/>
                <w:sz w:val="18"/>
                <w:szCs w:val="18"/>
              </w:rPr>
            </w:pPr>
            <w:r>
              <w:rPr>
                <w:rFonts w:ascii="宋体" w:hAnsi="宋体" w:cs="宋体" w:eastAsia="宋体" w:hint="default"/>
                <w:spacing w:val="-4"/>
                <w:sz w:val="18"/>
                <w:szCs w:val="18"/>
              </w:rPr>
              <w:t>额法，将与资产相关的政府补助相关递延收益的摊销</w:t>
            </w:r>
          </w:p>
        </w:tc>
        <w:tc>
          <w:tcPr>
            <w:tcW w:w="1973" w:type="dxa"/>
            <w:tcBorders>
              <w:top w:val="nil" w:sz="6" w:space="0" w:color="auto"/>
              <w:left w:val="single" w:sz="9" w:space="0" w:color="FFFFFF"/>
              <w:bottom w:val="nil" w:sz="6" w:space="0" w:color="auto"/>
              <w:right w:val="single" w:sz="4" w:space="0" w:color="000000"/>
            </w:tcBorders>
          </w:tcPr>
          <w:p>
            <w:pPr>
              <w:pStyle w:val="TableParagraph"/>
              <w:spacing w:line="192" w:lineRule="exact"/>
              <w:ind w:right="23"/>
              <w:jc w:val="righ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1.其他收益</w:t>
            </w:r>
          </w:p>
        </w:tc>
        <w:tc>
          <w:tcPr>
            <w:tcW w:w="19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8"/>
                <w:szCs w:val="18"/>
              </w:rPr>
            </w:pPr>
            <w:r>
              <w:rPr>
                <w:rFonts w:ascii="Times New Roman"/>
                <w:spacing w:val="-1"/>
                <w:sz w:val="18"/>
              </w:rPr>
              <w:t>3,613,545.02</w:t>
            </w:r>
          </w:p>
        </w:tc>
      </w:tr>
      <w:tr>
        <w:trPr>
          <w:trHeight w:val="312" w:hRule="exact"/>
        </w:trPr>
        <w:tc>
          <w:tcPr>
            <w:tcW w:w="4137" w:type="dxa"/>
            <w:tcBorders>
              <w:top w:val="nil" w:sz="6" w:space="0" w:color="auto"/>
              <w:left w:val="single" w:sz="4" w:space="0" w:color="000000"/>
              <w:bottom w:val="nil" w:sz="6" w:space="0" w:color="auto"/>
              <w:right w:val="single" w:sz="9" w:space="0" w:color="FFFFFF"/>
            </w:tcBorders>
          </w:tcPr>
          <w:p>
            <w:pPr>
              <w:pStyle w:val="TableParagraph"/>
              <w:spacing w:line="240" w:lineRule="auto" w:before="78"/>
              <w:ind w:left="23" w:right="0"/>
              <w:jc w:val="left"/>
              <w:rPr>
                <w:rFonts w:ascii="宋体" w:hAnsi="宋体" w:cs="宋体" w:eastAsia="宋体" w:hint="default"/>
                <w:sz w:val="18"/>
                <w:szCs w:val="18"/>
              </w:rPr>
            </w:pPr>
            <w:r>
              <w:rPr>
                <w:rFonts w:ascii="宋体" w:hAnsi="宋体" w:cs="宋体" w:eastAsia="宋体" w:hint="default"/>
                <w:sz w:val="18"/>
                <w:szCs w:val="18"/>
              </w:rPr>
              <w:t>方式从在相关资产使用寿命内平均分配改为按照合</w:t>
            </w:r>
          </w:p>
        </w:tc>
        <w:tc>
          <w:tcPr>
            <w:tcW w:w="1973" w:type="dxa"/>
            <w:tcBorders>
              <w:top w:val="nil" w:sz="6" w:space="0" w:color="auto"/>
              <w:left w:val="single" w:sz="9" w:space="0" w:color="FFFFFF"/>
              <w:bottom w:val="nil" w:sz="6" w:space="0" w:color="auto"/>
              <w:right w:val="single" w:sz="4" w:space="0" w:color="000000"/>
            </w:tcBorders>
          </w:tcPr>
          <w:p>
            <w:pPr>
              <w:pStyle w:val="TableParagraph"/>
              <w:spacing w:line="178" w:lineRule="exact"/>
              <w:ind w:left="4" w:right="0"/>
              <w:jc w:val="left"/>
              <w:rPr>
                <w:rFonts w:ascii="宋体" w:hAnsi="宋体" w:cs="宋体" w:eastAsia="宋体" w:hint="default"/>
                <w:sz w:val="18"/>
                <w:szCs w:val="18"/>
              </w:rPr>
            </w:pPr>
            <w:r>
              <w:rPr>
                <w:rFonts w:ascii="宋体" w:hAnsi="宋体" w:cs="宋体" w:eastAsia="宋体" w:hint="default"/>
                <w:sz w:val="18"/>
                <w:szCs w:val="18"/>
              </w:rPr>
              <w:t>召开第四届董事会第六</w:t>
            </w:r>
          </w:p>
        </w:tc>
        <w:tc>
          <w:tcPr>
            <w:tcW w:w="1622"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4137" w:type="dxa"/>
            <w:tcBorders>
              <w:top w:val="nil" w:sz="6" w:space="0" w:color="auto"/>
              <w:left w:val="single" w:sz="4" w:space="0" w:color="000000"/>
              <w:bottom w:val="nil" w:sz="6" w:space="0" w:color="auto"/>
              <w:right w:val="single" w:sz="9" w:space="0" w:color="FFFFFF"/>
            </w:tcBorders>
          </w:tcPr>
          <w:p>
            <w:pPr>
              <w:pStyle w:val="TableParagraph"/>
              <w:spacing w:line="240" w:lineRule="auto" w:before="78"/>
              <w:ind w:left="23" w:right="0"/>
              <w:jc w:val="left"/>
              <w:rPr>
                <w:rFonts w:ascii="宋体" w:hAnsi="宋体" w:cs="宋体" w:eastAsia="宋体" w:hint="default"/>
                <w:sz w:val="18"/>
                <w:szCs w:val="18"/>
              </w:rPr>
            </w:pPr>
            <w:r>
              <w:rPr>
                <w:rFonts w:ascii="宋体" w:hAnsi="宋体" w:cs="宋体" w:eastAsia="宋体" w:hint="default"/>
                <w:sz w:val="18"/>
                <w:szCs w:val="18"/>
              </w:rPr>
              <w:t>理</w:t>
            </w:r>
            <w:r>
              <w:rPr>
                <w:rFonts w:ascii="宋体" w:hAnsi="宋体" w:cs="宋体" w:eastAsia="宋体" w:hint="default"/>
                <w:spacing w:val="-81"/>
                <w:sz w:val="18"/>
                <w:szCs w:val="18"/>
              </w:rPr>
              <w:t>、</w:t>
            </w:r>
            <w:r>
              <w:rPr>
                <w:rFonts w:ascii="宋体" w:hAnsi="宋体" w:cs="宋体" w:eastAsia="宋体" w:hint="default"/>
                <w:sz w:val="18"/>
                <w:szCs w:val="18"/>
              </w:rPr>
              <w:t>系统的方法分配</w:t>
            </w:r>
            <w:r>
              <w:rPr>
                <w:rFonts w:ascii="宋体" w:hAnsi="宋体" w:cs="宋体" w:eastAsia="宋体" w:hint="default"/>
                <w:spacing w:val="-81"/>
                <w:sz w:val="18"/>
                <w:szCs w:val="18"/>
              </w:rPr>
              <w:t>，</w:t>
            </w:r>
            <w:r>
              <w:rPr>
                <w:rFonts w:ascii="宋体" w:hAnsi="宋体" w:cs="宋体" w:eastAsia="宋体" w:hint="default"/>
                <w:sz w:val="18"/>
                <w:szCs w:val="18"/>
              </w:rPr>
              <w:t>并修改了政府补助的列报项目</w:t>
            </w:r>
          </w:p>
        </w:tc>
        <w:tc>
          <w:tcPr>
            <w:tcW w:w="1973" w:type="dxa"/>
            <w:tcBorders>
              <w:top w:val="nil" w:sz="6" w:space="0" w:color="auto"/>
              <w:left w:val="single" w:sz="9" w:space="0" w:color="FFFFFF"/>
              <w:bottom w:val="nil" w:sz="6" w:space="0" w:color="auto"/>
              <w:right w:val="single" w:sz="4" w:space="0" w:color="000000"/>
            </w:tcBorders>
          </w:tcPr>
          <w:p>
            <w:pPr>
              <w:pStyle w:val="TableParagraph"/>
              <w:spacing w:line="128" w:lineRule="exact"/>
              <w:ind w:left="4" w:right="0"/>
              <w:jc w:val="left"/>
              <w:rPr>
                <w:rFonts w:ascii="宋体" w:hAnsi="宋体" w:cs="宋体" w:eastAsia="宋体" w:hint="default"/>
                <w:sz w:val="18"/>
                <w:szCs w:val="18"/>
              </w:rPr>
            </w:pPr>
            <w:r>
              <w:rPr>
                <w:rFonts w:ascii="宋体" w:hAnsi="宋体" w:cs="宋体" w:eastAsia="宋体" w:hint="default"/>
                <w:spacing w:val="-5"/>
                <w:sz w:val="18"/>
                <w:szCs w:val="18"/>
              </w:rPr>
              <w:t>次会议审议通过。公司独</w:t>
            </w:r>
          </w:p>
          <w:p>
            <w:pPr>
              <w:pStyle w:val="TableParagraph"/>
              <w:spacing w:line="186" w:lineRule="exact"/>
              <w:ind w:left="-141" w:right="0"/>
              <w:jc w:val="left"/>
              <w:rPr>
                <w:rFonts w:ascii="宋体" w:hAnsi="宋体" w:cs="宋体" w:eastAsia="宋体" w:hint="default"/>
                <w:sz w:val="18"/>
                <w:szCs w:val="18"/>
              </w:rPr>
            </w:pPr>
            <w:r>
              <w:rPr>
                <w:rFonts w:ascii="宋体" w:hAnsi="宋体" w:cs="宋体" w:eastAsia="宋体" w:hint="default"/>
                <w:sz w:val="18"/>
                <w:szCs w:val="18"/>
              </w:rPr>
              <w:t>。</w:t>
            </w:r>
          </w:p>
        </w:tc>
        <w:tc>
          <w:tcPr>
            <w:tcW w:w="1622" w:type="dxa"/>
            <w:tcBorders>
              <w:top w:val="nil" w:sz="6" w:space="0" w:color="auto"/>
              <w:left w:val="single" w:sz="4" w:space="0" w:color="000000"/>
              <w:bottom w:val="nil" w:sz="6" w:space="0" w:color="auto"/>
              <w:right w:val="single" w:sz="4" w:space="0" w:color="000000"/>
            </w:tcBorders>
          </w:tcPr>
          <w:p>
            <w:pPr/>
          </w:p>
        </w:tc>
        <w:tc>
          <w:tcPr>
            <w:tcW w:w="1933" w:type="dxa"/>
            <w:tcBorders>
              <w:top w:val="nil" w:sz="6" w:space="0" w:color="auto"/>
              <w:left w:val="single" w:sz="4" w:space="0" w:color="000000"/>
              <w:bottom w:val="nil" w:sz="6" w:space="0" w:color="auto"/>
              <w:right w:val="single" w:sz="4" w:space="0" w:color="000000"/>
            </w:tcBorders>
          </w:tcPr>
          <w:p>
            <w:pPr/>
          </w:p>
        </w:tc>
      </w:tr>
      <w:tr>
        <w:trPr>
          <w:trHeight w:val="92" w:hRule="exact"/>
        </w:trPr>
        <w:tc>
          <w:tcPr>
            <w:tcW w:w="4137" w:type="dxa"/>
            <w:vMerge w:val="restart"/>
            <w:tcBorders>
              <w:top w:val="nil" w:sz="6" w:space="0" w:color="auto"/>
              <w:left w:val="single" w:sz="4" w:space="0" w:color="000000"/>
              <w:right w:val="single" w:sz="9" w:space="0" w:color="FFFFFF"/>
            </w:tcBorders>
          </w:tcPr>
          <w:p>
            <w:pPr>
              <w:pStyle w:val="TableParagraph"/>
              <w:spacing w:line="302" w:lineRule="auto" w:before="77"/>
              <w:ind w:left="23"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日尚未摊销完毕的政府补助和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 取得的政府补助适用修订后的准则。</w:t>
            </w:r>
          </w:p>
        </w:tc>
        <w:tc>
          <w:tcPr>
            <w:tcW w:w="1973" w:type="dxa"/>
            <w:vMerge w:val="restart"/>
            <w:tcBorders>
              <w:top w:val="nil" w:sz="6" w:space="0" w:color="auto"/>
              <w:left w:val="single" w:sz="9" w:space="0" w:color="FFFFFF"/>
              <w:right w:val="single" w:sz="4" w:space="0" w:color="000000"/>
            </w:tcBorders>
          </w:tcPr>
          <w:p>
            <w:pPr>
              <w:pStyle w:val="TableParagraph"/>
              <w:spacing w:line="177" w:lineRule="exact"/>
              <w:ind w:left="4" w:right="0"/>
              <w:jc w:val="left"/>
              <w:rPr>
                <w:rFonts w:ascii="宋体" w:hAnsi="宋体" w:cs="宋体" w:eastAsia="宋体" w:hint="default"/>
                <w:sz w:val="18"/>
                <w:szCs w:val="18"/>
              </w:rPr>
            </w:pPr>
            <w:r>
              <w:rPr>
                <w:rFonts w:ascii="宋体" w:hAnsi="宋体" w:cs="宋体" w:eastAsia="宋体" w:hint="default"/>
                <w:sz w:val="18"/>
                <w:szCs w:val="18"/>
              </w:rPr>
              <w:t>立董事对该事项发表了</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pacing w:val="-5"/>
                <w:sz w:val="18"/>
                <w:szCs w:val="18"/>
              </w:rPr>
              <w:t>独立意见，监事会发表了</w:t>
            </w:r>
          </w:p>
        </w:tc>
        <w:tc>
          <w:tcPr>
            <w:tcW w:w="1622" w:type="dxa"/>
            <w:tcBorders>
              <w:top w:val="nil" w:sz="6" w:space="0" w:color="auto"/>
              <w:left w:val="single" w:sz="4" w:space="0" w:color="000000"/>
              <w:bottom w:val="single" w:sz="4" w:space="0" w:color="000000"/>
              <w:right w:val="single" w:sz="4" w:space="0" w:color="000000"/>
            </w:tcBorders>
          </w:tcPr>
          <w:p>
            <w:pPr/>
          </w:p>
        </w:tc>
        <w:tc>
          <w:tcPr>
            <w:tcW w:w="1933" w:type="dxa"/>
            <w:tcBorders>
              <w:top w:val="nil" w:sz="6" w:space="0" w:color="auto"/>
              <w:left w:val="single" w:sz="4" w:space="0" w:color="000000"/>
              <w:bottom w:val="single" w:sz="4" w:space="0" w:color="000000"/>
              <w:right w:val="single" w:sz="4" w:space="0" w:color="000000"/>
            </w:tcBorders>
          </w:tcPr>
          <w:p>
            <w:pPr/>
          </w:p>
        </w:tc>
      </w:tr>
      <w:tr>
        <w:trPr>
          <w:trHeight w:val="532" w:hRule="exact"/>
        </w:trPr>
        <w:tc>
          <w:tcPr>
            <w:tcW w:w="4137" w:type="dxa"/>
            <w:vMerge/>
            <w:tcBorders>
              <w:left w:val="single" w:sz="4" w:space="0" w:color="000000"/>
              <w:bottom w:val="nil" w:sz="6" w:space="0" w:color="auto"/>
              <w:right w:val="single" w:sz="9" w:space="0" w:color="FFFFFF"/>
            </w:tcBorders>
          </w:tcPr>
          <w:p>
            <w:pPr/>
          </w:p>
        </w:tc>
        <w:tc>
          <w:tcPr>
            <w:tcW w:w="1973" w:type="dxa"/>
            <w:vMerge/>
            <w:tcBorders>
              <w:left w:val="single" w:sz="9" w:space="0" w:color="FFFFFF"/>
              <w:bottom w:val="nil" w:sz="6" w:space="0" w:color="auto"/>
              <w:right w:val="single" w:sz="4" w:space="0" w:color="000000"/>
            </w:tcBorders>
          </w:tcPr>
          <w:p>
            <w:pP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2.营业外收入</w:t>
            </w:r>
          </w:p>
        </w:tc>
        <w:tc>
          <w:tcPr>
            <w:tcW w:w="19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896" w:right="0"/>
              <w:jc w:val="left"/>
              <w:rPr>
                <w:rFonts w:ascii="Times New Roman" w:hAnsi="Times New Roman" w:cs="Times New Roman" w:eastAsia="Times New Roman" w:hint="default"/>
                <w:sz w:val="18"/>
                <w:szCs w:val="18"/>
              </w:rPr>
            </w:pPr>
            <w:r>
              <w:rPr>
                <w:rFonts w:ascii="Times New Roman"/>
                <w:sz w:val="18"/>
              </w:rPr>
              <w:t>-3,613,545.02</w:t>
            </w:r>
          </w:p>
        </w:tc>
      </w:tr>
      <w:tr>
        <w:trPr>
          <w:trHeight w:val="419" w:hRule="exact"/>
        </w:trPr>
        <w:tc>
          <w:tcPr>
            <w:tcW w:w="4137" w:type="dxa"/>
            <w:tcBorders>
              <w:top w:val="nil" w:sz="6" w:space="0" w:color="auto"/>
              <w:left w:val="single" w:sz="4" w:space="0" w:color="000000"/>
              <w:bottom w:val="nil" w:sz="6" w:space="0" w:color="auto"/>
              <w:right w:val="single" w:sz="9" w:space="0" w:color="FFFFFF"/>
            </w:tcBorders>
          </w:tcPr>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pacing w:val="-4"/>
                <w:sz w:val="18"/>
                <w:szCs w:val="18"/>
              </w:rPr>
              <w:t>对新的披露要求不需提供比较信息，不对比较报表中</w:t>
            </w:r>
          </w:p>
        </w:tc>
        <w:tc>
          <w:tcPr>
            <w:tcW w:w="1973" w:type="dxa"/>
            <w:tcBorders>
              <w:top w:val="nil" w:sz="6" w:space="0" w:color="auto"/>
              <w:left w:val="single" w:sz="9" w:space="0" w:color="FFFFFF"/>
              <w:bottom w:val="nil" w:sz="6" w:space="0" w:color="auto"/>
              <w:right w:val="single" w:sz="4" w:space="0" w:color="000000"/>
            </w:tcBorders>
          </w:tcPr>
          <w:p>
            <w:pPr>
              <w:pStyle w:val="TableParagraph"/>
              <w:spacing w:line="178" w:lineRule="exact"/>
              <w:ind w:left="4" w:right="0"/>
              <w:jc w:val="left"/>
              <w:rPr>
                <w:rFonts w:ascii="宋体" w:hAnsi="宋体" w:cs="宋体" w:eastAsia="宋体" w:hint="default"/>
                <w:sz w:val="18"/>
                <w:szCs w:val="18"/>
              </w:rPr>
            </w:pPr>
            <w:r>
              <w:rPr>
                <w:rFonts w:ascii="宋体" w:hAnsi="宋体" w:cs="宋体" w:eastAsia="宋体" w:hint="default"/>
                <w:sz w:val="18"/>
                <w:szCs w:val="18"/>
              </w:rPr>
              <w:t>审核意见。</w:t>
            </w:r>
          </w:p>
        </w:tc>
        <w:tc>
          <w:tcPr>
            <w:tcW w:w="1622" w:type="dxa"/>
            <w:vMerge/>
            <w:tcBorders>
              <w:left w:val="single" w:sz="4" w:space="0" w:color="000000"/>
              <w:right w:val="single" w:sz="4" w:space="0" w:color="000000"/>
            </w:tcBorders>
          </w:tcPr>
          <w:p>
            <w:pPr/>
          </w:p>
        </w:tc>
        <w:tc>
          <w:tcPr>
            <w:tcW w:w="1933" w:type="dxa"/>
            <w:vMerge/>
            <w:tcBorders>
              <w:left w:val="single" w:sz="4" w:space="0" w:color="000000"/>
              <w:right w:val="single" w:sz="4" w:space="0" w:color="000000"/>
            </w:tcBorders>
          </w:tcPr>
          <w:p>
            <w:pPr/>
          </w:p>
        </w:tc>
      </w:tr>
      <w:tr>
        <w:trPr>
          <w:trHeight w:val="357" w:hRule="exact"/>
        </w:trPr>
        <w:tc>
          <w:tcPr>
            <w:tcW w:w="41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其他收益的列报进行相应调整。</w:t>
            </w:r>
          </w:p>
        </w:tc>
        <w:tc>
          <w:tcPr>
            <w:tcW w:w="1973" w:type="dxa"/>
            <w:tcBorders>
              <w:top w:val="nil" w:sz="6" w:space="0" w:color="auto"/>
              <w:left w:val="single" w:sz="4" w:space="0" w:color="000000"/>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1933" w:type="dxa"/>
            <w:vMerge/>
            <w:tcBorders>
              <w:left w:val="single" w:sz="4" w:space="0" w:color="000000"/>
              <w:bottom w:val="single" w:sz="4" w:space="0" w:color="000000"/>
              <w:right w:val="single" w:sz="4" w:space="0" w:color="000000"/>
            </w:tcBorders>
          </w:tcPr>
          <w:p>
            <w:pPr/>
          </w:p>
        </w:tc>
      </w:tr>
      <w:tr>
        <w:trPr>
          <w:trHeight w:val="449" w:hRule="exact"/>
        </w:trPr>
        <w:tc>
          <w:tcPr>
            <w:tcW w:w="41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4"/>
              <w:ind w:left="23" w:right="-37"/>
              <w:jc w:val="left"/>
              <w:rPr>
                <w:rFonts w:ascii="宋体" w:hAnsi="宋体" w:cs="宋体" w:eastAsia="宋体" w:hint="default"/>
                <w:sz w:val="18"/>
                <w:szCs w:val="18"/>
              </w:rPr>
            </w:pPr>
            <w:r>
              <w:rPr>
                <w:rFonts w:ascii="宋体" w:hAnsi="宋体" w:cs="宋体" w:eastAsia="宋体" w:hint="default"/>
                <w:sz w:val="18"/>
                <w:szCs w:val="18"/>
              </w:rPr>
              <w:t>根据《关于修订印发一般企业财务报表格式的通知》</w:t>
            </w:r>
          </w:p>
        </w:tc>
        <w:tc>
          <w:tcPr>
            <w:tcW w:w="1973" w:type="dxa"/>
            <w:tcBorders>
              <w:top w:val="single" w:sz="4" w:space="0" w:color="000000"/>
              <w:left w:val="single" w:sz="4" w:space="0" w:color="000000"/>
              <w:bottom w:val="nil" w:sz="6" w:space="0" w:color="auto"/>
              <w:right w:val="single" w:sz="4" w:space="0" w:color="000000"/>
            </w:tcBorders>
          </w:tcPr>
          <w:p>
            <w:pPr/>
          </w:p>
        </w:tc>
        <w:tc>
          <w:tcPr>
            <w:tcW w:w="3556"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156" w:hRule="exact"/>
        </w:trPr>
        <w:tc>
          <w:tcPr>
            <w:tcW w:w="4137" w:type="dxa"/>
            <w:vMerge w:val="restart"/>
            <w:tcBorders>
              <w:top w:val="nil" w:sz="6" w:space="0" w:color="auto"/>
              <w:left w:val="single" w:sz="4" w:space="0" w:color="000000"/>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（财会</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z w:val="18"/>
                <w:szCs w:val="18"/>
              </w:rPr>
              <w:t>，在利润表中新增</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资</w:t>
            </w:r>
            <w:r>
              <w:rPr>
                <w:rFonts w:ascii="宋体" w:hAnsi="宋体" w:cs="宋体" w:eastAsia="宋体" w:hint="default"/>
                <w:spacing w:val="1"/>
                <w:sz w:val="18"/>
                <w:szCs w:val="18"/>
              </w:rPr>
              <w:t>产</w:t>
            </w:r>
            <w:r>
              <w:rPr>
                <w:rFonts w:ascii="宋体" w:hAnsi="宋体" w:cs="宋体" w:eastAsia="宋体" w:hint="default"/>
                <w:sz w:val="18"/>
                <w:szCs w:val="18"/>
              </w:rPr>
              <w:t>处置收</w:t>
            </w:r>
          </w:p>
        </w:tc>
        <w:tc>
          <w:tcPr>
            <w:tcW w:w="1973" w:type="dxa"/>
            <w:vMerge w:val="restart"/>
            <w:tcBorders>
              <w:top w:val="nil" w:sz="6" w:space="0" w:color="auto"/>
              <w:left w:val="single" w:sz="4" w:space="0" w:color="000000"/>
              <w:right w:val="single" w:sz="4" w:space="0" w:color="000000"/>
            </w:tcBorders>
          </w:tcPr>
          <w:p>
            <w:pPr/>
          </w:p>
        </w:tc>
        <w:tc>
          <w:tcPr>
            <w:tcW w:w="3556" w:type="dxa"/>
            <w:gridSpan w:val="2"/>
            <w:tcBorders>
              <w:top w:val="nil" w:sz="6" w:space="0" w:color="auto"/>
              <w:left w:val="single" w:sz="4" w:space="0" w:color="000000"/>
              <w:bottom w:val="single" w:sz="4" w:space="0" w:color="000000"/>
              <w:right w:val="single" w:sz="4" w:space="0" w:color="000000"/>
            </w:tcBorders>
          </w:tcPr>
          <w:p>
            <w:pPr/>
          </w:p>
        </w:tc>
      </w:tr>
      <w:tr>
        <w:trPr>
          <w:trHeight w:val="151" w:hRule="exact"/>
        </w:trPr>
        <w:tc>
          <w:tcPr>
            <w:tcW w:w="4137" w:type="dxa"/>
            <w:vMerge/>
            <w:tcBorders>
              <w:left w:val="single" w:sz="4" w:space="0" w:color="000000"/>
              <w:bottom w:val="nil" w:sz="6" w:space="0" w:color="auto"/>
              <w:right w:val="single" w:sz="4" w:space="0" w:color="000000"/>
            </w:tcBorders>
          </w:tcPr>
          <w:p>
            <w:pPr/>
          </w:p>
        </w:tc>
        <w:tc>
          <w:tcPr>
            <w:tcW w:w="1973" w:type="dxa"/>
            <w:vMerge/>
            <w:tcBorders>
              <w:left w:val="single" w:sz="4" w:space="0" w:color="000000"/>
              <w:bottom w:val="nil" w:sz="6" w:space="0" w:color="auto"/>
              <w:right w:val="single" w:sz="4" w:space="0" w:color="000000"/>
            </w:tcBorders>
          </w:tcPr>
          <w:p>
            <w:pP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1.资产处置收益</w:t>
            </w:r>
          </w:p>
        </w:tc>
        <w:tc>
          <w:tcPr>
            <w:tcW w:w="193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0" w:right="0"/>
              <w:jc w:val="left"/>
              <w:rPr>
                <w:rFonts w:ascii="Times New Roman" w:hAnsi="Times New Roman" w:cs="Times New Roman" w:eastAsia="Times New Roman" w:hint="default"/>
                <w:sz w:val="18"/>
                <w:szCs w:val="18"/>
              </w:rPr>
            </w:pPr>
            <w:r>
              <w:rPr>
                <w:rFonts w:ascii="Times New Roman"/>
                <w:sz w:val="18"/>
              </w:rPr>
              <w:t>-101,944.42</w:t>
            </w:r>
          </w:p>
        </w:tc>
      </w:tr>
      <w:tr>
        <w:trPr>
          <w:trHeight w:val="323" w:hRule="exact"/>
        </w:trPr>
        <w:tc>
          <w:tcPr>
            <w:tcW w:w="4137" w:type="dxa"/>
            <w:tcBorders>
              <w:top w:val="nil" w:sz="6" w:space="0" w:color="auto"/>
              <w:left w:val="single" w:sz="4" w:space="0" w:color="000000"/>
              <w:bottom w:val="nil" w:sz="6" w:space="0" w:color="auto"/>
              <w:right w:val="single" w:sz="9" w:space="0" w:color="FFFFFF"/>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益</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行项目，反映企业出售划分为持有待售的非流动</w:t>
            </w:r>
          </w:p>
        </w:tc>
        <w:tc>
          <w:tcPr>
            <w:tcW w:w="1973" w:type="dxa"/>
            <w:tcBorders>
              <w:top w:val="nil" w:sz="6" w:space="0" w:color="auto"/>
              <w:left w:val="single" w:sz="9" w:space="0" w:color="FFFFFF"/>
              <w:bottom w:val="nil" w:sz="6" w:space="0" w:color="auto"/>
              <w:right w:val="single" w:sz="4" w:space="0" w:color="000000"/>
            </w:tcBorders>
          </w:tcPr>
          <w:p>
            <w:pPr>
              <w:pStyle w:val="TableParagraph"/>
              <w:spacing w:line="240" w:lineRule="auto" w:before="27"/>
              <w:ind w:right="62"/>
              <w:jc w:val="righ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2" w:type="dxa"/>
            <w:vMerge/>
            <w:tcBorders>
              <w:left w:val="single" w:sz="4" w:space="0" w:color="000000"/>
              <w:right w:val="single" w:sz="4" w:space="0" w:color="000000"/>
            </w:tcBorders>
          </w:tcPr>
          <w:p>
            <w:pPr/>
          </w:p>
        </w:tc>
        <w:tc>
          <w:tcPr>
            <w:tcW w:w="1933" w:type="dxa"/>
            <w:vMerge/>
            <w:tcBorders>
              <w:left w:val="single" w:sz="4" w:space="0" w:color="000000"/>
              <w:right w:val="single" w:sz="4" w:space="0" w:color="000000"/>
            </w:tcBorders>
          </w:tcPr>
          <w:p>
            <w:pPr/>
          </w:p>
        </w:tc>
      </w:tr>
      <w:tr>
        <w:trPr>
          <w:trHeight w:val="128" w:hRule="exact"/>
        </w:trPr>
        <w:tc>
          <w:tcPr>
            <w:tcW w:w="4137" w:type="dxa"/>
            <w:vMerge w:val="restart"/>
            <w:tcBorders>
              <w:top w:val="nil" w:sz="6" w:space="0" w:color="auto"/>
              <w:left w:val="single" w:sz="4" w:space="0" w:color="000000"/>
              <w:right w:val="single" w:sz="9" w:space="0" w:color="FFFFFF"/>
            </w:tcBorders>
          </w:tcPr>
          <w:p>
            <w:pPr>
              <w:pStyle w:val="TableParagraph"/>
              <w:spacing w:line="230" w:lineRule="exact"/>
              <w:ind w:left="23" w:right="-28"/>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81"/>
                <w:sz w:val="18"/>
                <w:szCs w:val="18"/>
              </w:rPr>
              <w:t>产</w:t>
            </w:r>
            <w:r>
              <w:rPr>
                <w:rFonts w:ascii="宋体" w:hAnsi="宋体" w:cs="宋体" w:eastAsia="宋体" w:hint="default"/>
                <w:sz w:val="18"/>
                <w:szCs w:val="18"/>
              </w:rPr>
              <w:t>（金融工具</w:t>
            </w:r>
            <w:r>
              <w:rPr>
                <w:rFonts w:ascii="宋体" w:hAnsi="宋体" w:cs="宋体" w:eastAsia="宋体" w:hint="default"/>
                <w:spacing w:val="-81"/>
                <w:sz w:val="18"/>
                <w:szCs w:val="18"/>
              </w:rPr>
              <w:t>、</w:t>
            </w:r>
            <w:r>
              <w:rPr>
                <w:rFonts w:ascii="宋体" w:hAnsi="宋体" w:cs="宋体" w:eastAsia="宋体" w:hint="default"/>
                <w:sz w:val="18"/>
                <w:szCs w:val="18"/>
              </w:rPr>
              <w:t>长期股权投资和投资性房地产除外</w:t>
            </w:r>
            <w:r>
              <w:rPr>
                <w:rFonts w:ascii="宋体" w:hAnsi="宋体" w:cs="宋体" w:eastAsia="宋体" w:hint="default"/>
                <w:spacing w:val="-35"/>
                <w:sz w:val="18"/>
                <w:szCs w:val="18"/>
              </w:rPr>
              <w:t>）</w:t>
            </w:r>
            <w:r>
              <w:rPr>
                <w:rFonts w:ascii="宋体" w:hAnsi="宋体" w:cs="宋体" w:eastAsia="宋体" w:hint="default"/>
                <w:sz w:val="18"/>
                <w:szCs w:val="18"/>
              </w:rPr>
            </w:r>
          </w:p>
        </w:tc>
        <w:tc>
          <w:tcPr>
            <w:tcW w:w="1973" w:type="dxa"/>
            <w:vMerge w:val="restart"/>
            <w:tcBorders>
              <w:top w:val="nil" w:sz="6" w:space="0" w:color="auto"/>
              <w:left w:val="single" w:sz="9" w:space="0" w:color="FFFFFF"/>
              <w:right w:val="single" w:sz="4"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召开第四届董事会第九</w:t>
            </w:r>
          </w:p>
        </w:tc>
        <w:tc>
          <w:tcPr>
            <w:tcW w:w="1622" w:type="dxa"/>
            <w:vMerge/>
            <w:tcBorders>
              <w:left w:val="single" w:sz="4" w:space="0" w:color="000000"/>
              <w:bottom w:val="single" w:sz="4" w:space="0" w:color="000000"/>
              <w:right w:val="single" w:sz="4" w:space="0" w:color="000000"/>
            </w:tcBorders>
          </w:tcPr>
          <w:p>
            <w:pPr/>
          </w:p>
        </w:tc>
        <w:tc>
          <w:tcPr>
            <w:tcW w:w="1933" w:type="dxa"/>
            <w:vMerge/>
            <w:tcBorders>
              <w:left w:val="single" w:sz="4" w:space="0" w:color="000000"/>
              <w:bottom w:val="single" w:sz="4" w:space="0" w:color="000000"/>
              <w:right w:val="single" w:sz="4" w:space="0" w:color="000000"/>
            </w:tcBorders>
          </w:tcPr>
          <w:p>
            <w:pPr/>
          </w:p>
        </w:tc>
      </w:tr>
      <w:tr>
        <w:trPr>
          <w:trHeight w:val="178" w:hRule="exact"/>
        </w:trPr>
        <w:tc>
          <w:tcPr>
            <w:tcW w:w="4137" w:type="dxa"/>
            <w:vMerge/>
            <w:tcBorders>
              <w:left w:val="single" w:sz="4" w:space="0" w:color="000000"/>
              <w:bottom w:val="nil" w:sz="6" w:space="0" w:color="auto"/>
              <w:right w:val="single" w:sz="9" w:space="0" w:color="FFFFFF"/>
            </w:tcBorders>
          </w:tcPr>
          <w:p>
            <w:pPr/>
          </w:p>
        </w:tc>
        <w:tc>
          <w:tcPr>
            <w:tcW w:w="1973" w:type="dxa"/>
            <w:vMerge/>
            <w:tcBorders>
              <w:left w:val="single" w:sz="9" w:space="0" w:color="FFFFFF"/>
              <w:bottom w:val="nil" w:sz="6" w:space="0" w:color="auto"/>
              <w:right w:val="single" w:sz="4" w:space="0" w:color="000000"/>
            </w:tcBorders>
          </w:tcPr>
          <w:p>
            <w:pP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2.营业外支出</w:t>
            </w:r>
          </w:p>
        </w:tc>
        <w:tc>
          <w:tcPr>
            <w:tcW w:w="193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30" w:right="0"/>
              <w:jc w:val="left"/>
              <w:rPr>
                <w:rFonts w:ascii="Times New Roman" w:hAnsi="Times New Roman" w:cs="Times New Roman" w:eastAsia="Times New Roman" w:hint="default"/>
                <w:sz w:val="18"/>
                <w:szCs w:val="18"/>
              </w:rPr>
            </w:pPr>
            <w:r>
              <w:rPr>
                <w:rFonts w:ascii="Times New Roman"/>
                <w:sz w:val="18"/>
              </w:rPr>
              <w:t>-101,944.42</w:t>
            </w:r>
          </w:p>
        </w:tc>
      </w:tr>
      <w:tr>
        <w:trPr>
          <w:trHeight w:val="312" w:hRule="exact"/>
        </w:trPr>
        <w:tc>
          <w:tcPr>
            <w:tcW w:w="4137" w:type="dxa"/>
            <w:tcBorders>
              <w:top w:val="nil" w:sz="6" w:space="0" w:color="auto"/>
              <w:left w:val="single" w:sz="4" w:space="0" w:color="000000"/>
              <w:bottom w:val="nil" w:sz="6" w:space="0" w:color="auto"/>
              <w:right w:val="single" w:sz="9" w:space="0" w:color="FFFFFF"/>
            </w:tcBorders>
          </w:tcPr>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4"/>
                <w:sz w:val="18"/>
                <w:szCs w:val="18"/>
              </w:rPr>
              <w:t>或处置组时确认的处置利得或损失，处置未划分为持</w:t>
            </w:r>
          </w:p>
        </w:tc>
        <w:tc>
          <w:tcPr>
            <w:tcW w:w="1973" w:type="dxa"/>
            <w:tcBorders>
              <w:top w:val="nil" w:sz="6" w:space="0" w:color="auto"/>
              <w:left w:val="single" w:sz="9" w:space="0" w:color="FFFFFF"/>
              <w:bottom w:val="nil" w:sz="6" w:space="0" w:color="auto"/>
              <w:right w:val="single" w:sz="4" w:space="0" w:color="000000"/>
            </w:tcBorders>
          </w:tcPr>
          <w:p>
            <w:pPr>
              <w:pStyle w:val="TableParagraph"/>
              <w:spacing w:line="240" w:lineRule="auto" w:before="20"/>
              <w:ind w:right="20"/>
              <w:jc w:val="right"/>
              <w:rPr>
                <w:rFonts w:ascii="宋体" w:hAnsi="宋体" w:cs="宋体" w:eastAsia="宋体" w:hint="default"/>
                <w:sz w:val="18"/>
                <w:szCs w:val="18"/>
              </w:rPr>
            </w:pPr>
            <w:r>
              <w:rPr>
                <w:rFonts w:ascii="宋体" w:hAnsi="宋体" w:cs="宋体" w:eastAsia="宋体" w:hint="default"/>
                <w:spacing w:val="-5"/>
                <w:sz w:val="18"/>
                <w:szCs w:val="18"/>
              </w:rPr>
              <w:t>次会议审议通过。公司独</w:t>
            </w:r>
          </w:p>
        </w:tc>
        <w:tc>
          <w:tcPr>
            <w:tcW w:w="1622" w:type="dxa"/>
            <w:vMerge/>
            <w:tcBorders>
              <w:left w:val="single" w:sz="4" w:space="0" w:color="000000"/>
              <w:right w:val="single" w:sz="4" w:space="0" w:color="000000"/>
            </w:tcBorders>
          </w:tcPr>
          <w:p>
            <w:pPr/>
          </w:p>
        </w:tc>
        <w:tc>
          <w:tcPr>
            <w:tcW w:w="1933" w:type="dxa"/>
            <w:vMerge/>
            <w:tcBorders>
              <w:left w:val="single" w:sz="4" w:space="0" w:color="000000"/>
              <w:right w:val="single" w:sz="4" w:space="0" w:color="000000"/>
            </w:tcBorders>
          </w:tcPr>
          <w:p>
            <w:pPr/>
          </w:p>
        </w:tc>
      </w:tr>
      <w:tr>
        <w:trPr>
          <w:trHeight w:val="111" w:hRule="exact"/>
        </w:trPr>
        <w:tc>
          <w:tcPr>
            <w:tcW w:w="4137" w:type="dxa"/>
            <w:vMerge w:val="restart"/>
            <w:tcBorders>
              <w:top w:val="nil" w:sz="6" w:space="0" w:color="auto"/>
              <w:left w:val="single" w:sz="4" w:space="0" w:color="000000"/>
              <w:right w:val="single" w:sz="9" w:space="0" w:color="FFFFFF"/>
            </w:tcBorders>
          </w:tcPr>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4"/>
                <w:sz w:val="18"/>
                <w:szCs w:val="18"/>
              </w:rPr>
              <w:t>有待售的固定资产、在建工程、生产性生物资产及无</w:t>
            </w:r>
          </w:p>
        </w:tc>
        <w:tc>
          <w:tcPr>
            <w:tcW w:w="1973" w:type="dxa"/>
            <w:vMerge w:val="restart"/>
            <w:tcBorders>
              <w:top w:val="nil" w:sz="6" w:space="0" w:color="auto"/>
              <w:left w:val="single" w:sz="9" w:space="0" w:color="FFFFFF"/>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立董事对该事项发表了</w:t>
            </w:r>
          </w:p>
        </w:tc>
        <w:tc>
          <w:tcPr>
            <w:tcW w:w="1622" w:type="dxa"/>
            <w:vMerge/>
            <w:tcBorders>
              <w:left w:val="single" w:sz="4" w:space="0" w:color="000000"/>
              <w:bottom w:val="single" w:sz="4" w:space="0" w:color="000000"/>
              <w:right w:val="single" w:sz="4" w:space="0" w:color="000000"/>
            </w:tcBorders>
          </w:tcPr>
          <w:p>
            <w:pPr/>
          </w:p>
        </w:tc>
        <w:tc>
          <w:tcPr>
            <w:tcW w:w="1933" w:type="dxa"/>
            <w:vMerge/>
            <w:tcBorders>
              <w:left w:val="single" w:sz="4" w:space="0" w:color="000000"/>
              <w:bottom w:val="single" w:sz="4" w:space="0" w:color="000000"/>
              <w:right w:val="single" w:sz="4" w:space="0" w:color="000000"/>
            </w:tcBorders>
          </w:tcPr>
          <w:p>
            <w:pPr/>
          </w:p>
        </w:tc>
      </w:tr>
      <w:tr>
        <w:trPr>
          <w:trHeight w:val="201" w:hRule="exact"/>
        </w:trPr>
        <w:tc>
          <w:tcPr>
            <w:tcW w:w="4137" w:type="dxa"/>
            <w:vMerge/>
            <w:tcBorders>
              <w:left w:val="single" w:sz="4" w:space="0" w:color="000000"/>
              <w:bottom w:val="nil" w:sz="6" w:space="0" w:color="auto"/>
              <w:right w:val="single" w:sz="9" w:space="0" w:color="FFFFFF"/>
            </w:tcBorders>
          </w:tcPr>
          <w:p>
            <w:pPr/>
          </w:p>
        </w:tc>
        <w:tc>
          <w:tcPr>
            <w:tcW w:w="1973" w:type="dxa"/>
            <w:vMerge/>
            <w:tcBorders>
              <w:left w:val="single" w:sz="9" w:space="0" w:color="FFFFFF"/>
              <w:bottom w:val="nil" w:sz="6" w:space="0" w:color="auto"/>
              <w:right w:val="single" w:sz="4" w:space="0" w:color="000000"/>
            </w:tcBorders>
          </w:tcPr>
          <w:p>
            <w:pPr/>
          </w:p>
        </w:tc>
        <w:tc>
          <w:tcPr>
            <w:tcW w:w="3556" w:type="dxa"/>
            <w:gridSpan w:val="2"/>
            <w:vMerge w:val="restart"/>
            <w:tcBorders>
              <w:top w:val="single" w:sz="4" w:space="0" w:color="000000"/>
              <w:left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312" w:hRule="exact"/>
        </w:trPr>
        <w:tc>
          <w:tcPr>
            <w:tcW w:w="4137" w:type="dxa"/>
            <w:tcBorders>
              <w:top w:val="nil" w:sz="6" w:space="0" w:color="auto"/>
              <w:left w:val="single" w:sz="4" w:space="0" w:color="000000"/>
              <w:bottom w:val="nil" w:sz="6" w:space="0" w:color="auto"/>
              <w:right w:val="single" w:sz="9" w:space="0" w:color="FFFFFF"/>
            </w:tcBorders>
          </w:tcPr>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4"/>
                <w:sz w:val="18"/>
                <w:szCs w:val="18"/>
              </w:rPr>
              <w:t>形资产而产生的处置利得或损失，以及债务重组中因</w:t>
            </w:r>
          </w:p>
        </w:tc>
        <w:tc>
          <w:tcPr>
            <w:tcW w:w="1973" w:type="dxa"/>
            <w:tcBorders>
              <w:top w:val="nil" w:sz="6" w:space="0" w:color="auto"/>
              <w:left w:val="single" w:sz="9" w:space="0" w:color="FFFFFF"/>
              <w:bottom w:val="nil" w:sz="6" w:space="0" w:color="auto"/>
              <w:right w:val="single" w:sz="4" w:space="0" w:color="000000"/>
            </w:tcBorders>
          </w:tcPr>
          <w:p>
            <w:pPr>
              <w:pStyle w:val="TableParagraph"/>
              <w:spacing w:line="240" w:lineRule="auto" w:before="20"/>
              <w:ind w:right="22"/>
              <w:jc w:val="right"/>
              <w:rPr>
                <w:rFonts w:ascii="宋体" w:hAnsi="宋体" w:cs="宋体" w:eastAsia="宋体" w:hint="default"/>
                <w:sz w:val="18"/>
                <w:szCs w:val="18"/>
              </w:rPr>
            </w:pPr>
            <w:r>
              <w:rPr>
                <w:rFonts w:ascii="宋体" w:hAnsi="宋体" w:cs="宋体" w:eastAsia="宋体" w:hint="default"/>
                <w:spacing w:val="-5"/>
                <w:sz w:val="18"/>
                <w:szCs w:val="18"/>
              </w:rPr>
              <w:t>独立意见，监事会发表了</w:t>
            </w:r>
          </w:p>
        </w:tc>
        <w:tc>
          <w:tcPr>
            <w:tcW w:w="3556" w:type="dxa"/>
            <w:gridSpan w:val="2"/>
            <w:vMerge/>
            <w:tcBorders>
              <w:left w:val="single" w:sz="4" w:space="0" w:color="000000"/>
              <w:right w:val="single" w:sz="4" w:space="0" w:color="000000"/>
            </w:tcBorders>
          </w:tcPr>
          <w:p>
            <w:pPr/>
          </w:p>
        </w:tc>
      </w:tr>
      <w:tr>
        <w:trPr>
          <w:trHeight w:val="89" w:hRule="exact"/>
        </w:trPr>
        <w:tc>
          <w:tcPr>
            <w:tcW w:w="4137" w:type="dxa"/>
            <w:vMerge w:val="restart"/>
            <w:tcBorders>
              <w:top w:val="nil" w:sz="6" w:space="0" w:color="auto"/>
              <w:left w:val="single" w:sz="4" w:space="0" w:color="000000"/>
              <w:right w:val="single" w:sz="9" w:space="0" w:color="FFFFFF"/>
            </w:tcBorders>
          </w:tcPr>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处置非流动资产产生的利得或损失和非货币性资产</w:t>
            </w:r>
          </w:p>
        </w:tc>
        <w:tc>
          <w:tcPr>
            <w:tcW w:w="1973" w:type="dxa"/>
            <w:vMerge w:val="restart"/>
            <w:tcBorders>
              <w:top w:val="nil" w:sz="6" w:space="0" w:color="auto"/>
              <w:left w:val="single" w:sz="9" w:space="0" w:color="FFFFFF"/>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审核意见。</w:t>
            </w:r>
          </w:p>
        </w:tc>
        <w:tc>
          <w:tcPr>
            <w:tcW w:w="3556" w:type="dxa"/>
            <w:gridSpan w:val="2"/>
            <w:vMerge/>
            <w:tcBorders>
              <w:left w:val="single" w:sz="4" w:space="0" w:color="000000"/>
              <w:bottom w:val="single" w:sz="4" w:space="0" w:color="000000"/>
              <w:right w:val="single" w:sz="4" w:space="0" w:color="000000"/>
            </w:tcBorders>
          </w:tcPr>
          <w:p>
            <w:pPr/>
          </w:p>
        </w:tc>
      </w:tr>
      <w:tr>
        <w:trPr>
          <w:trHeight w:val="224" w:hRule="exact"/>
        </w:trPr>
        <w:tc>
          <w:tcPr>
            <w:tcW w:w="4137" w:type="dxa"/>
            <w:vMerge/>
            <w:tcBorders>
              <w:left w:val="single" w:sz="4" w:space="0" w:color="000000"/>
              <w:bottom w:val="nil" w:sz="6" w:space="0" w:color="auto"/>
              <w:right w:val="single" w:sz="9" w:space="0" w:color="FFFFFF"/>
            </w:tcBorders>
          </w:tcPr>
          <w:p>
            <w:pPr/>
          </w:p>
        </w:tc>
        <w:tc>
          <w:tcPr>
            <w:tcW w:w="1973" w:type="dxa"/>
            <w:vMerge/>
            <w:tcBorders>
              <w:left w:val="single" w:sz="9" w:space="0" w:color="FFFFFF"/>
              <w:bottom w:val="nil" w:sz="6" w:space="0" w:color="auto"/>
              <w:right w:val="single" w:sz="4" w:space="0" w:color="000000"/>
            </w:tcBorders>
          </w:tcPr>
          <w:p>
            <w:pP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1.资产处置收益</w:t>
            </w:r>
          </w:p>
        </w:tc>
        <w:tc>
          <w:tcPr>
            <w:tcW w:w="193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0" w:right="0"/>
              <w:jc w:val="left"/>
              <w:rPr>
                <w:rFonts w:ascii="Times New Roman" w:hAnsi="Times New Roman" w:cs="Times New Roman" w:eastAsia="Times New Roman" w:hint="default"/>
                <w:sz w:val="18"/>
                <w:szCs w:val="18"/>
              </w:rPr>
            </w:pPr>
            <w:r>
              <w:rPr>
                <w:rFonts w:ascii="Times New Roman"/>
                <w:sz w:val="18"/>
              </w:rPr>
              <w:t>-127,534.48</w:t>
            </w:r>
          </w:p>
        </w:tc>
      </w:tr>
      <w:tr>
        <w:trPr>
          <w:trHeight w:val="378" w:hRule="exact"/>
        </w:trPr>
        <w:tc>
          <w:tcPr>
            <w:tcW w:w="4137"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交换产生的利得或损失。</w:t>
            </w:r>
          </w:p>
        </w:tc>
        <w:tc>
          <w:tcPr>
            <w:tcW w:w="1973" w:type="dxa"/>
            <w:tcBorders>
              <w:top w:val="nil" w:sz="6" w:space="0" w:color="auto"/>
              <w:left w:val="single" w:sz="4" w:space="0" w:color="000000"/>
              <w:bottom w:val="nil" w:sz="6" w:space="0" w:color="auto"/>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1933" w:type="dxa"/>
            <w:vMerge/>
            <w:tcBorders>
              <w:left w:val="single" w:sz="4" w:space="0" w:color="000000"/>
              <w:bottom w:val="single" w:sz="4" w:space="0" w:color="000000"/>
              <w:right w:val="single" w:sz="4" w:space="0" w:color="000000"/>
            </w:tcBorders>
          </w:tcPr>
          <w:p>
            <w:pPr/>
          </w:p>
        </w:tc>
      </w:tr>
      <w:tr>
        <w:trPr>
          <w:trHeight w:val="402" w:hRule="exact"/>
        </w:trPr>
        <w:tc>
          <w:tcPr>
            <w:tcW w:w="4137"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对比较报表的列报进行了相应调整。</w:t>
            </w:r>
          </w:p>
        </w:tc>
        <w:tc>
          <w:tcPr>
            <w:tcW w:w="1973" w:type="dxa"/>
            <w:tcBorders>
              <w:top w:val="nil" w:sz="6" w:space="0" w:color="auto"/>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2.营业外支出</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-127,534.48</w:t>
            </w: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258"/>
        <w:jc w:val="left"/>
        <w:rPr>
          <w:b w:val="0"/>
          <w:bCs w:val="0"/>
        </w:rPr>
      </w:pPr>
      <w:r>
        <w:rPr>
          <w:rFonts w:ascii="Times New Roman" w:hAnsi="Times New Roman" w:cs="Times New Roman" w:eastAsia="Times New Roman" w:hint="default"/>
        </w:rPr>
        <w:t>34</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58"/>
        <w:jc w:val="left"/>
      </w:pPr>
      <w:r>
        <w:rPr/>
        <w:t>无。</w:t>
      </w:r>
    </w:p>
    <w:p>
      <w:pPr>
        <w:spacing w:line="240" w:lineRule="auto" w:before="2"/>
        <w:rPr>
          <w:rFonts w:ascii="宋体" w:hAnsi="宋体" w:cs="宋体" w:eastAsia="宋体" w:hint="default"/>
          <w:sz w:val="25"/>
          <w:szCs w:val="25"/>
        </w:rPr>
      </w:pPr>
    </w:p>
    <w:p>
      <w:pPr>
        <w:pStyle w:val="Heading2"/>
        <w:spacing w:line="240" w:lineRule="auto"/>
        <w:ind w:right="1258"/>
        <w:jc w:val="left"/>
        <w:rPr>
          <w:b w:val="0"/>
          <w:bCs w:val="0"/>
        </w:rPr>
      </w:pP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8"/>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1258"/>
        <w:jc w:val="left"/>
      </w:pPr>
      <w:r>
        <w:rPr/>
        <w:pict>
          <v:group style="position:absolute;margin-left:296.040009pt;margin-top:59.712013pt;width:237.7pt;height:20.8pt;mso-position-horizontal-relative:page;mso-position-vertical-relative:paragraph;z-index:-1147816" coordorigin="5921,1194" coordsize="4754,416">
            <v:group style="position:absolute;left:5932;top:1206;width:2;height:393" coordorigin="5932,1206" coordsize="2,393">
              <v:shape style="position:absolute;left:5932;top:1206;width:2;height:393" coordorigin="5932,1206" coordsize="0,393" path="m5932,1206l5932,1598e" filled="false" stroked="true" strokeweight="1.140pt" strokecolor="#ffffff">
                <v:path arrowok="t"/>
              </v:shape>
            </v:group>
            <v:group style="position:absolute;left:5944;top:1206;width:4731;height:393" coordorigin="5944,1206" coordsize="4731,393">
              <v:shape style="position:absolute;left:5944;top:1206;width:4731;height:393" coordorigin="5944,1206" coordsize="4731,393" path="m5944,1598l10674,1598,10674,1206,5944,1206,5944,1598xe" filled="true" fillcolor="#ffffff" stroked="false">
                <v:path arrowok="t"/>
                <v:fill type="solid"/>
              </v:shape>
            </v:group>
            <w10:wrap type="none"/>
          </v:group>
        </w:pict>
      </w: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所得税税率（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上海榕基软件开发有限公司（以下简称上海榕基公司）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33"/>
              <w:jc w:val="left"/>
              <w:rPr>
                <w:rFonts w:ascii="宋体" w:hAnsi="宋体" w:cs="宋体" w:eastAsia="宋体" w:hint="default"/>
                <w:sz w:val="18"/>
                <w:szCs w:val="18"/>
              </w:rPr>
            </w:pPr>
            <w:r>
              <w:rPr>
                <w:rFonts w:ascii="宋体" w:hAnsi="宋体" w:cs="宋体" w:eastAsia="宋体" w:hint="default"/>
                <w:spacing w:val="-3"/>
                <w:sz w:val="18"/>
                <w:szCs w:val="18"/>
              </w:rPr>
              <w:t>福州创华电气自动化系统有限公司（以下简称福州创华公司）</w:t>
            </w:r>
            <w:r>
              <w:rPr>
                <w:rFonts w:ascii="宋体" w:hAnsi="宋体" w:cs="宋体" w:eastAsia="宋体" w:hint="default"/>
                <w:sz w:val="18"/>
                <w:szCs w:val="18"/>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浙江榕基信息技术有限公司（以下简称浙江榕基公司）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榕基五一（北京）信息技术有限公司（以下简称榕基五一公 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福建榕基软件工程有限公司（以下简称榕基软件工程公司）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河南榕基信息技术有限公司（以下简称河南榕基公司）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北京中榕基信息技术有限公司（以下简称北京中榕基公司）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马鞍山榕基软件信息科技有限公司（以下简称马鞍山软件信 息公司）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福建榕基投资有限公司（以下简称榕基投资公司）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马鞍山榕基置业投资有限公司（以下简称榕基置业公司）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信阳榕基信息技术有限公司（以下简称信阳榕基公司）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榕基国际控股有限公司（以下简称榕基国际公司）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河南豫础置业有限公司（以下简称豫础置业公司）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沈阳榕基信息技术有限公司（以下简称沈阳榕基公司）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河南裕信德置业有限公司（以下简称裕信德公司）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浙江检榕网络科技有限公司（以下简称浙江检榕公司）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福州榕易付网络科技有限公司（以下简称福州榕易付公司）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福建星榕基信息科技有限责任公司（以下简称福建星榕基公 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榕基国计（北京）信息技术有限公司（以下简称榕基国计公 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福建容大物联网科技有限公司（以下简称容大物联网）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81" w:lineRule="auto"/>
        <w:ind w:left="514" w:right="140"/>
        <w:jc w:val="left"/>
      </w:pPr>
      <w:r>
        <w:rPr/>
        <w:t>（1）增值税 根据《财政部、国家税务总局关于软件产品增值税政策的通知》（财税［2011］100号），增值税一般纳税人销售其自</w:t>
      </w:r>
    </w:p>
    <w:p>
      <w:pPr>
        <w:pStyle w:val="BodyText"/>
        <w:spacing w:line="206" w:lineRule="exact"/>
        <w:ind w:right="1258"/>
        <w:jc w:val="left"/>
      </w:pPr>
      <w:r>
        <w:rPr/>
        <w:t>行开发生产的软件产品，按17%税率征收增值税后，对其增值税实际税负超过3%的部分实行即征即退政策。</w:t>
      </w:r>
    </w:p>
    <w:p>
      <w:pPr>
        <w:pStyle w:val="BodyText"/>
        <w:spacing w:line="240" w:lineRule="auto" w:before="139"/>
        <w:ind w:left="514" w:right="1258"/>
        <w:jc w:val="left"/>
      </w:pPr>
      <w:r>
        <w:rPr/>
        <w:t>（2）企业所得税</w:t>
      </w:r>
    </w:p>
    <w:p>
      <w:pPr>
        <w:pStyle w:val="BodyText"/>
        <w:spacing w:line="381" w:lineRule="auto" w:before="137"/>
        <w:ind w:left="514" w:right="0"/>
        <w:jc w:val="left"/>
      </w:pPr>
      <w:r>
        <w:rPr/>
        <w:t>①高新技术企业所得税优惠 </w:t>
      </w:r>
      <w:r>
        <w:rPr>
          <w:spacing w:val="-2"/>
        </w:rPr>
        <w:t>根据《中华人民共和国企业所得税法》（主席令第63号），科技部、财政部、国家税务总局下发的《高新技术企业认定</w:t>
      </w:r>
    </w:p>
    <w:p>
      <w:pPr>
        <w:spacing w:after="0" w:line="381" w:lineRule="auto"/>
        <w:jc w:val="left"/>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pStyle w:val="BodyText"/>
        <w:spacing w:line="316" w:lineRule="auto" w:before="44"/>
        <w:ind w:left="153" w:right="141"/>
        <w:jc w:val="left"/>
      </w:pPr>
      <w:r>
        <w:rPr/>
        <w:t>管理办法（2016修订）》（国科发［2016］32号）的规定，国家需要重点扶持的高新技术企业，减按15%的税率征收企业所 得税。</w:t>
      </w:r>
    </w:p>
    <w:p>
      <w:pPr>
        <w:pStyle w:val="BodyText"/>
        <w:spacing w:line="316" w:lineRule="auto" w:before="81"/>
        <w:ind w:left="153" w:right="151" w:firstLine="360"/>
        <w:jc w:val="both"/>
      </w:pPr>
      <w:r>
        <w:rPr>
          <w:spacing w:val="-2"/>
        </w:rPr>
        <w:t>2017年10月23日，榕基软件公司取得由福建省科学技术厅、福建省财政厅、福建省国家税务局、福建省地方税务局颁发</w:t>
      </w:r>
      <w:r>
        <w:rPr/>
        <w:t> 的《高新技术企业证书》，证书编号GR201735000059，该证书的有效期从2017年至2019年。</w:t>
      </w:r>
    </w:p>
    <w:p>
      <w:pPr>
        <w:pStyle w:val="BodyText"/>
        <w:spacing w:line="316" w:lineRule="auto" w:before="80"/>
        <w:ind w:left="153" w:right="151" w:firstLine="360"/>
        <w:jc w:val="both"/>
      </w:pPr>
      <w:r>
        <w:rPr>
          <w:spacing w:val="-2"/>
        </w:rPr>
        <w:t>2017年11月13日，浙江榕基公司取得由浙江省科学技术厅、浙江省财政厅、浙江省国家税务局、浙江省地方税务局颁发</w:t>
      </w:r>
      <w:r>
        <w:rPr/>
        <w:t> 的《高新技术企业证书》，证书编号GR201733003137，该证书的有效期从2017年至2019年。</w:t>
      </w:r>
    </w:p>
    <w:p>
      <w:pPr>
        <w:pStyle w:val="BodyText"/>
        <w:spacing w:line="316" w:lineRule="auto" w:before="81"/>
        <w:ind w:left="153" w:right="158" w:firstLine="360"/>
        <w:jc w:val="both"/>
      </w:pPr>
      <w:r>
        <w:rPr/>
        <w:t>2015年9月21日，榕基软件工程公司取得由福建省科学技术厅、福建省财政厅、福建省国家税务局、福建省地方税务局 颁发的《高新技术企业证书》，证书编号GR201535000144，该证书的有效期从2015年至2017年。</w:t>
      </w:r>
    </w:p>
    <w:p>
      <w:pPr>
        <w:pStyle w:val="BodyText"/>
        <w:spacing w:line="379" w:lineRule="auto" w:before="81"/>
        <w:ind w:left="513" w:right="0"/>
        <w:jc w:val="left"/>
      </w:pPr>
      <w:r>
        <w:rPr/>
        <w:t>②重点软件企业所得税优惠 </w:t>
      </w:r>
      <w:r>
        <w:rPr>
          <w:spacing w:val="-2"/>
        </w:rPr>
        <w:t>根据《关于进一步鼓励软件产业和集成电路产业发展企业所得税政策的通知》（财税［2012］27号）的有关规定，国家</w:t>
      </w:r>
    </w:p>
    <w:p>
      <w:pPr>
        <w:pStyle w:val="BodyText"/>
        <w:spacing w:line="208" w:lineRule="exact"/>
        <w:ind w:left="153" w:right="1258"/>
        <w:jc w:val="left"/>
      </w:pPr>
      <w:r>
        <w:rPr/>
        <w:t>规划布局内的重点软件企业，如当年未享受免税优惠的，可减按10.00%的税率征收企业所得税。</w:t>
      </w:r>
    </w:p>
    <w:p>
      <w:pPr>
        <w:pStyle w:val="BodyText"/>
        <w:spacing w:line="316" w:lineRule="auto" w:before="139"/>
        <w:ind w:left="153" w:right="148" w:firstLine="360"/>
        <w:jc w:val="both"/>
      </w:pPr>
      <w:r>
        <w:rPr>
          <w:spacing w:val="-2"/>
        </w:rPr>
        <w:t>根据《财政部、国家税务总局、发展改革委、工业化信息部关于软件和集成电路产业企业所得税优惠政策有关问题的通</w:t>
      </w:r>
      <w:r>
        <w:rPr/>
        <w:t> </w:t>
      </w:r>
      <w:r>
        <w:rPr>
          <w:spacing w:val="-2"/>
        </w:rPr>
        <w:t>知》（财税［2016］49号）以及《国家发展改革委、工业化信息部、财政部、税务总局关于印发国家规划布局内重点软件和</w:t>
      </w:r>
      <w:r>
        <w:rPr>
          <w:spacing w:val="-63"/>
        </w:rPr>
        <w:t> </w:t>
      </w:r>
      <w:r>
        <w:rPr>
          <w:spacing w:val="-63"/>
        </w:rPr>
      </w:r>
      <w:r>
        <w:rPr>
          <w:spacing w:val="-2"/>
        </w:rPr>
        <w:t>集成电路设计领域的通知》（发改高技［2016］1056号）的有关规定，享受财税［2012］27号文件规定的税收优惠政策的软</w:t>
      </w:r>
      <w:r>
        <w:rPr>
          <w:spacing w:val="-53"/>
        </w:rPr>
        <w:t> </w:t>
      </w:r>
      <w:r>
        <w:rPr>
          <w:spacing w:val="-53"/>
        </w:rPr>
      </w:r>
      <w:r>
        <w:rPr>
          <w:spacing w:val="-2"/>
        </w:rPr>
        <w:t>件、集成电路企业，每年汇算清缴时应按照《国家税务总局关于发布〈企业所得税优惠政策事项办理办法〉的公告》（国家</w:t>
      </w:r>
      <w:r>
        <w:rPr>
          <w:spacing w:val="-65"/>
        </w:rPr>
        <w:t> </w:t>
      </w:r>
      <w:r>
        <w:rPr>
          <w:spacing w:val="-65"/>
        </w:rPr>
      </w:r>
      <w:r>
        <w:rPr>
          <w:spacing w:val="-2"/>
        </w:rPr>
        <w:t>税务总局公告2015年第76号）规定向税务机关备案，同时提交《享受企业所得税优惠政策的软件和集成电路企业备案资料明</w:t>
      </w:r>
      <w:r>
        <w:rPr>
          <w:spacing w:val="-60"/>
        </w:rPr>
        <w:t> </w:t>
      </w:r>
      <w:r>
        <w:rPr>
          <w:spacing w:val="-60"/>
        </w:rPr>
      </w:r>
      <w:r>
        <w:rPr>
          <w:spacing w:val="-2"/>
        </w:rPr>
        <w:t>细表》规定的备案资料；在软件、集成电路企业享受优惠政策后，税务部门转请发展改革、工业和信息化部门进行核查；对</w:t>
      </w:r>
      <w:r>
        <w:rPr>
          <w:spacing w:val="-67"/>
        </w:rPr>
        <w:t> </w:t>
      </w:r>
      <w:r>
        <w:rPr>
          <w:spacing w:val="-67"/>
        </w:rPr>
      </w:r>
      <w:r>
        <w:rPr>
          <w:spacing w:val="-2"/>
        </w:rPr>
        <w:t>经核查不符合软件、集成电路企业条件的，由税务部门追缴其已经享受的企业所得税优惠，并按照税收征管法的规定进行处</w:t>
      </w:r>
      <w:r>
        <w:rPr>
          <w:spacing w:val="-66"/>
        </w:rPr>
        <w:t> </w:t>
      </w:r>
      <w:r>
        <w:rPr>
          <w:spacing w:val="-66"/>
        </w:rPr>
      </w:r>
      <w:r>
        <w:rPr/>
        <w:t>理。</w:t>
      </w:r>
    </w:p>
    <w:p>
      <w:pPr>
        <w:pStyle w:val="BodyText"/>
        <w:spacing w:line="316" w:lineRule="auto" w:before="81"/>
        <w:ind w:left="153" w:right="150" w:firstLine="360"/>
        <w:jc w:val="both"/>
      </w:pPr>
      <w:r>
        <w:rPr>
          <w:spacing w:val="-2"/>
        </w:rPr>
        <w:t>榕基软件公司2017年度经逐条对照，符合国家规划布局内重点软件企业的条件，经备案后可享受10.00%企业所得税优惠</w:t>
      </w:r>
      <w:r>
        <w:rPr/>
        <w:t> 税率，故2017年度按10.00%税率计提企业所得税。</w:t>
      </w:r>
    </w:p>
    <w:p>
      <w:pPr>
        <w:pStyle w:val="BodyText"/>
        <w:spacing w:line="381" w:lineRule="auto" w:before="80"/>
        <w:ind w:left="513" w:right="141"/>
        <w:jc w:val="left"/>
      </w:pPr>
      <w:r>
        <w:rPr/>
        <w:t>③新办软件企业所得税优惠 根据财政部、国家税务总局《关于企业所得税若干优惠政策》（财税［2008］1号）规定：我国境内新办软件生产企业</w:t>
      </w:r>
    </w:p>
    <w:p>
      <w:pPr>
        <w:pStyle w:val="BodyText"/>
        <w:spacing w:line="206" w:lineRule="exact"/>
        <w:ind w:left="153" w:right="1258"/>
        <w:jc w:val="left"/>
      </w:pPr>
      <w:r>
        <w:rPr/>
        <w:t>经认定后，自获利年度起，第一年和第二年免征企业所得税，第三年至第五年减半征收企业所得税。</w:t>
      </w:r>
    </w:p>
    <w:p>
      <w:pPr>
        <w:pStyle w:val="BodyText"/>
        <w:spacing w:line="316" w:lineRule="auto" w:before="139"/>
        <w:ind w:left="153" w:right="151" w:firstLine="360"/>
        <w:jc w:val="both"/>
      </w:pPr>
      <w:r>
        <w:rPr>
          <w:spacing w:val="-2"/>
        </w:rPr>
        <w:t>2012年12月，马鞍山软件信息公司被认定为软件企业，自2012年起享受“免二减三”的税收优惠；其自成立以来尚未盈</w:t>
      </w:r>
      <w:r>
        <w:rPr/>
        <w:t> 利，未享受过“免二减三”税收优惠，故2017年度该公司企业所得税税率为0.00%。</w:t>
      </w:r>
    </w:p>
    <w:p>
      <w:pPr>
        <w:pStyle w:val="BodyText"/>
        <w:spacing w:line="316" w:lineRule="auto" w:before="80"/>
        <w:ind w:left="153" w:right="148" w:firstLine="360"/>
        <w:jc w:val="both"/>
      </w:pPr>
      <w:r>
        <w:rPr>
          <w:spacing w:val="-2"/>
        </w:rPr>
        <w:t>福建星榕基公司2015年成立，2016年度经逐条对照，符合《财政部、国家税务总局、发展改革委、工业化信息部关于软</w:t>
      </w:r>
      <w:r>
        <w:rPr/>
        <w:t> </w:t>
      </w:r>
      <w:r>
        <w:rPr>
          <w:spacing w:val="-2"/>
        </w:rPr>
        <w:t>件和集成电路产业企业所得税优惠政策有关问题的通知》（财税［2016］49号）规定的软件企业的条件，按规定向税务机关</w:t>
      </w:r>
      <w:r>
        <w:rPr>
          <w:spacing w:val="-63"/>
        </w:rPr>
        <w:t> </w:t>
      </w:r>
      <w:r>
        <w:rPr>
          <w:spacing w:val="-63"/>
        </w:rPr>
      </w:r>
      <w:r>
        <w:rPr/>
        <w:t>备案，取得软件企业证书，自2016年起享受“免二减三”的税收优惠，故2017年度该公司企业所得税税率为0.00%。</w:t>
      </w:r>
    </w:p>
    <w:p>
      <w:pPr>
        <w:spacing w:line="240" w:lineRule="auto" w:before="7"/>
        <w:rPr>
          <w:rFonts w:ascii="宋体" w:hAnsi="宋体" w:cs="宋体" w:eastAsia="宋体" w:hint="default"/>
          <w:sz w:val="22"/>
          <w:szCs w:val="22"/>
        </w:rPr>
      </w:pPr>
    </w:p>
    <w:p>
      <w:pPr>
        <w:pStyle w:val="Heading3"/>
        <w:spacing w:line="240" w:lineRule="auto"/>
        <w:ind w:right="1258"/>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258"/>
        <w:jc w:val="left"/>
      </w:pPr>
      <w:r>
        <w:rPr/>
        <w:t>无。</w:t>
      </w:r>
    </w:p>
    <w:p>
      <w:pPr>
        <w:spacing w:line="240" w:lineRule="auto" w:before="2"/>
        <w:rPr>
          <w:rFonts w:ascii="宋体" w:hAnsi="宋体" w:cs="宋体" w:eastAsia="宋体" w:hint="default"/>
          <w:sz w:val="25"/>
          <w:szCs w:val="25"/>
        </w:rPr>
      </w:pPr>
    </w:p>
    <w:p>
      <w:pPr>
        <w:pStyle w:val="Heading2"/>
        <w:spacing w:line="240" w:lineRule="auto"/>
        <w:ind w:right="1258"/>
        <w:jc w:val="left"/>
        <w:rPr>
          <w:b w:val="0"/>
          <w:bCs w:val="0"/>
        </w:rPr>
      </w:pP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8"/>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8"/>
        <w:gridCol w:w="3190"/>
        <w:gridCol w:w="3190"/>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131,309.02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278,510.57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91,792,707.00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481,531,648.89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115,812,968.63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71,165,280.76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207,736,984.65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552,975,440.22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1,692,686.71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1,812,100.91</w:t>
            </w:r>
          </w:p>
        </w:tc>
      </w:tr>
    </w:tbl>
    <w:p>
      <w:pPr>
        <w:pStyle w:val="BodyText"/>
        <w:spacing w:line="240" w:lineRule="auto" w:before="51"/>
        <w:ind w:right="1258"/>
        <w:jc w:val="left"/>
      </w:pPr>
      <w:r>
        <w:rPr/>
        <w:t>其他说明</w:t>
      </w:r>
    </w:p>
    <w:p>
      <w:pPr>
        <w:pStyle w:val="BodyText"/>
        <w:spacing w:line="316" w:lineRule="auto" w:before="139"/>
        <w:ind w:right="770" w:firstLine="360"/>
        <w:jc w:val="left"/>
      </w:pPr>
      <w:r>
        <w:rPr/>
        <w:t>说明：期末，其他货币资金中定期存款84,291,180.00元、保函保证金25,835,076.16元及银行承兑汇票保证金 5,686,712.47元，本集团在编制现金流量表时未将其作为现金或现金等价物。</w:t>
      </w:r>
    </w:p>
    <w:p>
      <w:pPr>
        <w:spacing w:line="240" w:lineRule="auto" w:before="7"/>
        <w:rPr>
          <w:rFonts w:ascii="宋体" w:hAnsi="宋体" w:cs="宋体" w:eastAsia="宋体" w:hint="default"/>
          <w:sz w:val="22"/>
          <w:szCs w:val="22"/>
        </w:rPr>
      </w:pPr>
    </w:p>
    <w:p>
      <w:pPr>
        <w:pStyle w:val="Heading3"/>
        <w:spacing w:line="240" w:lineRule="auto"/>
        <w:ind w:right="1258"/>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125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258"/>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258"/>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1,945,500.00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2,017,874.00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1,945,500.00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2,017,874.00</w:t>
            </w: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4777;top:14;width:2;height:393" coordorigin="4777,14" coordsize="2,393">
              <v:shape style="position:absolute;left:4777;top:14;width:2;height:393" coordorigin="4777,14" coordsize="0,393" path="m4777,14l4777,407e" filled="false" stroked="true" strokeweight="1.140pt" strokecolor="#d3d3d3">
                <v:path arrowok="t"/>
              </v:shape>
            </v:group>
            <v:group style="position:absolute;left:37;top:14;width:4728;height:393" coordorigin="37,14" coordsize="4728,393">
              <v:shape style="position:absolute;left:37;top:14;width:4728;height:393" coordorigin="37,14" coordsize="4728,393" path="m37,407l4765,407,4765,14,37,14,37,407xe" filled="true" fillcolor="#d3d3d3" stroked="false">
                <v:path arrowok="t"/>
                <v:fill type="solid"/>
              </v:shape>
            </v:group>
            <v:group style="position:absolute;left:4810;top:14;width:2;height:393" coordorigin="4810,14" coordsize="2,393">
              <v:shape style="position:absolute;left:4810;top:14;width:2;height:393" coordorigin="4810,14" coordsize="0,393" path="m4810,14l4810,407e" filled="false" stroked="true" strokeweight="1.140pt" strokecolor="#d3d3d3">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d3d3d3">
                <v:path arrowok="t"/>
              </v:shape>
            </v:group>
            <v:group style="position:absolute;left:4822;top:14;width:4728;height:393" coordorigin="4822,14" coordsize="4728,393">
              <v:shape style="position:absolute;left:4822;top:14;width:4728;height:393" coordorigin="4822,14" coordsize="4728,393" path="m4822,407l9550,407,9550,14,4822,14,48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5;height:2" coordorigin="5,412" coordsize="4785,2">
              <v:shape style="position:absolute;left:5;top:412;width:4785;height:2" coordorigin="5,412" coordsize="4785,0" path="m5,412l4789,412e" filled="false" stroked="true" strokeweight=".48001pt" strokecolor="#000000">
                <v:path arrowok="t"/>
              </v:shape>
            </v:group>
            <v:group style="position:absolute;left:4794;top:14;width:2;height:402" coordorigin="4794,14" coordsize="2,402">
              <v:shape style="position:absolute;left:4794;top:14;width:2;height:402" coordorigin="4794,14" coordsize="0,402" path="m4794,14l4794,416e" filled="false" stroked="true" strokeweight=".48001pt" strokecolor="#000000">
                <v:path arrowok="t"/>
              </v:shape>
            </v:group>
            <v:group style="position:absolute;left:4799;top:412;width:4774;height:2" coordorigin="4799,412" coordsize="4774,2">
              <v:shape style="position:absolute;left:4799;top:412;width:4774;height:2" coordorigin="4799,412" coordsize="4774,0" path="m4799,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期末已质押金额</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877" w:footer="982" w:top="1100" w:bottom="1180" w:left="980" w:right="980"/>
        </w:sectPr>
      </w:pPr>
    </w:p>
    <w:p>
      <w:pPr>
        <w:spacing w:line="240" w:lineRule="auto" w:before="2"/>
        <w:rPr>
          <w:rFonts w:ascii="宋体" w:hAnsi="宋体" w:cs="宋体" w:eastAsia="宋体" w:hint="default"/>
          <w:sz w:val="24"/>
          <w:szCs w:val="24"/>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4777;top:14;width:2;height:393" coordorigin="4777,14" coordsize="2,393">
              <v:shape style="position:absolute;left:4777;top:14;width:2;height:393" coordorigin="4777,14" coordsize="0,393" path="m4777,14l4777,407e" filled="false" stroked="true" strokeweight="1.140pt" strokecolor="#d3d3d3">
                <v:path arrowok="t"/>
              </v:shape>
            </v:group>
            <v:group style="position:absolute;left:37;top:14;width:4728;height:393" coordorigin="37,14" coordsize="4728,393">
              <v:shape style="position:absolute;left:37;top:14;width:4728;height:393" coordorigin="37,14" coordsize="4728,393" path="m37,407l4765,407,4765,14,37,14,37,407xe" filled="true" fillcolor="#d3d3d3" stroked="false">
                <v:path arrowok="t"/>
                <v:fill type="solid"/>
              </v:shape>
            </v:group>
            <v:group style="position:absolute;left:4810;top:14;width:2;height:393" coordorigin="4810,14" coordsize="2,393">
              <v:shape style="position:absolute;left:4810;top:14;width:2;height:393" coordorigin="4810,14" coordsize="0,393" path="m4810,14l4810,407e" filled="false" stroked="true" strokeweight="1.140pt" strokecolor="#d3d3d3">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d3d3d3">
                <v:path arrowok="t"/>
              </v:shape>
            </v:group>
            <v:group style="position:absolute;left:4822;top:14;width:4728;height:393" coordorigin="4822,14" coordsize="4728,393">
              <v:shape style="position:absolute;left:4822;top:14;width:4728;height:393" coordorigin="4822,14" coordsize="4728,393" path="m4822,407l9550,407,9550,14,4822,14,48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5;height:2" coordorigin="5,412" coordsize="4785,2">
              <v:shape style="position:absolute;left:5;top:412;width:4785;height:2" coordorigin="5,412" coordsize="4785,0" path="m5,412l4789,412e" filled="false" stroked="true" strokeweight=".47998pt" strokecolor="#000000">
                <v:path arrowok="t"/>
              </v:shape>
            </v:group>
            <v:group style="position:absolute;left:4794;top:14;width:2;height:402" coordorigin="4794,14" coordsize="2,402">
              <v:shape style="position:absolute;left:4794;top:14;width:2;height:402" coordorigin="4794,14" coordsize="0,402" path="m4794,14l4794,416e" filled="false" stroked="true" strokeweight=".48001pt" strokecolor="#000000">
                <v:path arrowok="t"/>
              </v:shape>
            </v:group>
            <v:group style="position:absolute;left:4799;top:412;width:4774;height:2" coordorigin="4799,412" coordsize="4774,2">
              <v:shape style="position:absolute;left:4799;top:412;width:4774;height:2" coordorigin="4799,412" coordsize="4774,0" path="m4799,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6"/>
                        <w:ind w:left="1581" w:right="0" w:firstLine="0"/>
                        <w:jc w:val="left"/>
                        <w:rPr>
                          <w:rFonts w:ascii="宋体" w:hAnsi="宋体" w:cs="宋体" w:eastAsia="宋体" w:hint="default"/>
                          <w:sz w:val="18"/>
                          <w:szCs w:val="18"/>
                        </w:rPr>
                      </w:pPr>
                      <w:r>
                        <w:rPr>
                          <w:rFonts w:ascii="宋体" w:hAnsi="宋体" w:cs="宋体" w:eastAsia="宋体" w:hint="default"/>
                          <w:sz w:val="18"/>
                          <w:szCs w:val="18"/>
                        </w:rPr>
                        <w:t>期末转应收账款金额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1258"/>
        <w:jc w:val="left"/>
      </w:pPr>
      <w:r>
        <w:rPr/>
        <w:t>其他说明</w:t>
      </w:r>
    </w:p>
    <w:p>
      <w:pPr>
        <w:pStyle w:val="BodyText"/>
        <w:spacing w:line="240" w:lineRule="auto" w:before="139"/>
        <w:ind w:left="514" w:right="1258"/>
        <w:jc w:val="left"/>
      </w:pPr>
      <w:r>
        <w:rPr/>
        <w:t>说明：不存在客观证据表明本集团应收票据发生减值，未计提应收票据减值准备。</w:t>
      </w:r>
    </w:p>
    <w:p>
      <w:pPr>
        <w:pStyle w:val="BodyText"/>
        <w:spacing w:line="240" w:lineRule="auto" w:before="137"/>
        <w:ind w:left="514" w:right="1258"/>
        <w:jc w:val="left"/>
      </w:pPr>
      <w:r>
        <w:rPr/>
        <w:t>（1）期末本集团无已质押的应收票据。</w:t>
      </w:r>
    </w:p>
    <w:p>
      <w:pPr>
        <w:pStyle w:val="BodyText"/>
        <w:spacing w:line="240" w:lineRule="auto" w:before="139"/>
        <w:ind w:left="514" w:right="1258"/>
        <w:jc w:val="left"/>
      </w:pPr>
      <w:r>
        <w:rPr/>
        <w:t>（2）期末本集团无已背书或贴现但尚未到期的应收票据。</w:t>
      </w:r>
    </w:p>
    <w:p>
      <w:pPr>
        <w:pStyle w:val="BodyText"/>
        <w:spacing w:line="240" w:lineRule="auto" w:before="137"/>
        <w:ind w:left="514" w:right="1258"/>
        <w:jc w:val="left"/>
      </w:pPr>
      <w:r>
        <w:rPr/>
        <w:t>（3）期末本集团无因出票人未履约而将其转应收账款的票据。</w:t>
      </w:r>
    </w:p>
    <w:p>
      <w:pPr>
        <w:spacing w:line="240" w:lineRule="auto" w:before="12"/>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8"/>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2"/>
        <w:gridCol w:w="764"/>
        <w:gridCol w:w="762"/>
        <w:gridCol w:w="762"/>
        <w:gridCol w:w="762"/>
        <w:gridCol w:w="801"/>
        <w:gridCol w:w="643"/>
        <w:gridCol w:w="762"/>
        <w:gridCol w:w="812"/>
        <w:gridCol w:w="932"/>
        <w:gridCol w:w="932"/>
      </w:tblGrid>
      <w:tr>
        <w:trPr>
          <w:trHeight w:val="402" w:hRule="exact"/>
        </w:trPr>
        <w:tc>
          <w:tcPr>
            <w:tcW w:w="1622" w:type="dxa"/>
            <w:vMerge w:val="restart"/>
            <w:tcBorders>
              <w:top w:val="single" w:sz="4" w:space="0" w:color="000000"/>
              <w:left w:val="single" w:sz="4" w:space="0" w:color="000000"/>
              <w:right w:val="single" w:sz="4" w:space="0" w:color="000000"/>
            </w:tcBorders>
            <w:shd w:val="clear" w:color="auto" w:fill="D3D3D3"/>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2" w:type="dxa"/>
            <w:vMerge/>
            <w:tcBorders>
              <w:left w:val="single" w:sz="4" w:space="0" w:color="000000"/>
              <w:bottom w:val="nil" w:sz="6" w:space="0" w:color="auto"/>
              <w:right w:val="single" w:sz="4" w:space="0" w:color="000000"/>
            </w:tcBorders>
            <w:shd w:val="clear" w:color="auto" w:fill="D3D3D3"/>
          </w:tcPr>
          <w:p>
            <w:pPr/>
          </w:p>
        </w:tc>
        <w:tc>
          <w:tcPr>
            <w:tcW w:w="15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01" w:type="dxa"/>
            <w:vMerge w:val="restart"/>
            <w:tcBorders>
              <w:top w:val="single" w:sz="4" w:space="0" w:color="000000"/>
              <w:left w:val="single" w:sz="4" w:space="0" w:color="000000"/>
              <w:right w:val="single" w:sz="4" w:space="0" w:color="000000"/>
            </w:tcBorders>
            <w:shd w:val="clear" w:color="auto" w:fill="D3D3D3"/>
          </w:tcPr>
          <w:p>
            <w:pPr/>
          </w:p>
        </w:tc>
        <w:tc>
          <w:tcPr>
            <w:tcW w:w="140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
        </w:tc>
      </w:tr>
      <w:tr>
        <w:trPr>
          <w:trHeight w:val="241" w:hRule="exact"/>
        </w:trPr>
        <w:tc>
          <w:tcPr>
            <w:tcW w:w="162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6" w:type="dxa"/>
            <w:gridSpan w:val="2"/>
            <w:vMerge/>
            <w:tcBorders>
              <w:left w:val="single" w:sz="4" w:space="0" w:color="000000"/>
              <w:bottom w:val="single" w:sz="4" w:space="0" w:color="000000"/>
              <w:right w:val="single" w:sz="4" w:space="0" w:color="000000"/>
            </w:tcBorders>
            <w:shd w:val="clear" w:color="auto" w:fill="D3D3D3"/>
          </w:tcPr>
          <w:p>
            <w:pPr/>
          </w:p>
        </w:tc>
        <w:tc>
          <w:tcPr>
            <w:tcW w:w="1524" w:type="dxa"/>
            <w:gridSpan w:val="2"/>
            <w:vMerge/>
            <w:tcBorders>
              <w:left w:val="single" w:sz="4" w:space="0" w:color="000000"/>
              <w:bottom w:val="single" w:sz="4" w:space="0" w:color="000000"/>
              <w:right w:val="single" w:sz="4" w:space="0" w:color="000000"/>
            </w:tcBorders>
            <w:shd w:val="clear" w:color="auto" w:fill="D3D3D3"/>
          </w:tcPr>
          <w:p>
            <w:pPr/>
          </w:p>
        </w:tc>
        <w:tc>
          <w:tcPr>
            <w:tcW w:w="801" w:type="dxa"/>
            <w:vMerge/>
            <w:tcBorders>
              <w:left w:val="single" w:sz="4" w:space="0" w:color="000000"/>
              <w:bottom w:val="nil" w:sz="6" w:space="0" w:color="auto"/>
              <w:right w:val="single" w:sz="4" w:space="0" w:color="000000"/>
            </w:tcBorders>
            <w:shd w:val="clear" w:color="auto" w:fill="D3D3D3"/>
          </w:tcPr>
          <w:p>
            <w:pPr/>
          </w:p>
        </w:tc>
        <w:tc>
          <w:tcPr>
            <w:tcW w:w="1405" w:type="dxa"/>
            <w:gridSpan w:val="2"/>
            <w:vMerge/>
            <w:tcBorders>
              <w:left w:val="single" w:sz="4" w:space="0" w:color="000000"/>
              <w:bottom w:val="single" w:sz="4" w:space="0" w:color="000000"/>
              <w:right w:val="single" w:sz="4" w:space="0" w:color="000000"/>
            </w:tcBorders>
            <w:shd w:val="clear" w:color="auto" w:fill="D3D3D3"/>
          </w:tcPr>
          <w:p>
            <w:pPr/>
          </w:p>
        </w:tc>
        <w:tc>
          <w:tcPr>
            <w:tcW w:w="1745" w:type="dxa"/>
            <w:gridSpan w:val="2"/>
            <w:vMerge/>
            <w:tcBorders>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158" w:hRule="exact"/>
        </w:trPr>
        <w:tc>
          <w:tcPr>
            <w:tcW w:w="1622" w:type="dxa"/>
            <w:vMerge/>
            <w:tcBorders>
              <w:left w:val="single" w:sz="4" w:space="0" w:color="000000"/>
              <w:bottom w:val="single" w:sz="4" w:space="0" w:color="FFFFFF"/>
              <w:right w:val="single" w:sz="4" w:space="0" w:color="000000"/>
            </w:tcBorders>
            <w:shd w:val="clear" w:color="auto" w:fill="D3D3D3"/>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76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0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43" w:type="dxa"/>
            <w:tcBorders>
              <w:top w:val="single" w:sz="4" w:space="0" w:color="000000"/>
              <w:left w:val="single" w:sz="4" w:space="0" w:color="000000"/>
              <w:bottom w:val="nil" w:sz="6" w:space="0" w:color="auto"/>
              <w:right w:val="single" w:sz="4" w:space="0" w:color="000000"/>
            </w:tcBorders>
            <w:shd w:val="clear" w:color="auto" w:fill="D3D3D3"/>
          </w:tcPr>
          <w:p>
            <w:pPr/>
          </w:p>
        </w:tc>
        <w:tc>
          <w:tcPr>
            <w:tcW w:w="762" w:type="dxa"/>
            <w:tcBorders>
              <w:top w:val="single" w:sz="4" w:space="0" w:color="000000"/>
              <w:left w:val="single" w:sz="4" w:space="0" w:color="000000"/>
              <w:bottom w:val="nil" w:sz="6" w:space="0" w:color="auto"/>
              <w:right w:val="single" w:sz="4" w:space="0" w:color="000000"/>
            </w:tcBorders>
            <w:shd w:val="clear" w:color="auto" w:fill="D3D3D3"/>
          </w:tcPr>
          <w:p>
            <w:pPr/>
          </w:p>
        </w:tc>
        <w:tc>
          <w:tcPr>
            <w:tcW w:w="81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2" w:type="dxa"/>
            <w:vMerge w:val="restart"/>
            <w:tcBorders>
              <w:top w:val="single" w:sz="4" w:space="0" w:color="FFFFFF"/>
              <w:left w:val="single" w:sz="4" w:space="0" w:color="000000"/>
              <w:right w:val="single" w:sz="4" w:space="0" w:color="000000"/>
            </w:tcBorders>
            <w:shd w:val="clear" w:color="auto" w:fill="D3D3D3"/>
          </w:tcPr>
          <w:p>
            <w:pPr/>
          </w:p>
        </w:tc>
        <w:tc>
          <w:tcPr>
            <w:tcW w:w="764" w:type="dxa"/>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3D3D3"/>
          </w:tcPr>
          <w:p>
            <w:pPr/>
          </w:p>
        </w:tc>
        <w:tc>
          <w:tcPr>
            <w:tcW w:w="801" w:type="dxa"/>
            <w:vMerge/>
            <w:tcBorders>
              <w:left w:val="single" w:sz="4" w:space="0" w:color="000000"/>
              <w:bottom w:val="nil" w:sz="6" w:space="0" w:color="auto"/>
              <w:right w:val="single" w:sz="4" w:space="0" w:color="000000"/>
            </w:tcBorders>
            <w:shd w:val="clear" w:color="auto" w:fill="D3D3D3"/>
          </w:tcPr>
          <w:p>
            <w:pPr/>
          </w:p>
        </w:tc>
        <w:tc>
          <w:tcPr>
            <w:tcW w:w="64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3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200" w:hRule="exact"/>
        </w:trPr>
        <w:tc>
          <w:tcPr>
            <w:tcW w:w="1622" w:type="dxa"/>
            <w:vMerge/>
            <w:tcBorders>
              <w:left w:val="single" w:sz="4" w:space="0" w:color="000000"/>
              <w:right w:val="single" w:sz="4" w:space="0" w:color="000000"/>
            </w:tcBorders>
            <w:shd w:val="clear" w:color="auto" w:fill="D3D3D3"/>
          </w:tcPr>
          <w:p>
            <w:pPr/>
          </w:p>
        </w:tc>
        <w:tc>
          <w:tcPr>
            <w:tcW w:w="764"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right w:val="single" w:sz="4" w:space="0" w:color="000000"/>
            </w:tcBorders>
            <w:shd w:val="clear" w:color="auto" w:fill="D3D3D3"/>
          </w:tcPr>
          <w:p>
            <w:pPr/>
          </w:p>
        </w:tc>
        <w:tc>
          <w:tcPr>
            <w:tcW w:w="801" w:type="dxa"/>
            <w:vMerge w:val="restart"/>
            <w:tcBorders>
              <w:top w:val="nil" w:sz="6" w:space="0" w:color="auto"/>
              <w:left w:val="single" w:sz="4" w:space="0" w:color="000000"/>
              <w:right w:val="single" w:sz="4" w:space="0" w:color="000000"/>
            </w:tcBorders>
            <w:shd w:val="clear" w:color="auto" w:fill="D3D3D3"/>
          </w:tcPr>
          <w:p>
            <w:pPr/>
          </w:p>
        </w:tc>
        <w:tc>
          <w:tcPr>
            <w:tcW w:w="643"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812" w:type="dxa"/>
            <w:vMerge/>
            <w:tcBorders>
              <w:left w:val="single" w:sz="4" w:space="0" w:color="000000"/>
              <w:bottom w:val="nil" w:sz="6" w:space="0" w:color="auto"/>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
        </w:tc>
      </w:tr>
      <w:tr>
        <w:trPr>
          <w:trHeight w:val="162" w:hRule="exact"/>
        </w:trPr>
        <w:tc>
          <w:tcPr>
            <w:tcW w:w="1622" w:type="dxa"/>
            <w:vMerge/>
            <w:tcBorders>
              <w:left w:val="single" w:sz="4" w:space="0" w:color="000000"/>
              <w:bottom w:val="single" w:sz="4" w:space="0" w:color="000000"/>
              <w:right w:val="single" w:sz="4" w:space="0" w:color="000000"/>
            </w:tcBorders>
            <w:shd w:val="clear" w:color="auto" w:fill="D3D3D3"/>
          </w:tcPr>
          <w:p>
            <w:pPr/>
          </w:p>
        </w:tc>
        <w:tc>
          <w:tcPr>
            <w:tcW w:w="76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vMerge/>
            <w:tcBorders>
              <w:left w:val="single" w:sz="4" w:space="0" w:color="000000"/>
              <w:bottom w:val="single" w:sz="4" w:space="0" w:color="000000"/>
              <w:right w:val="single" w:sz="4" w:space="0" w:color="000000"/>
            </w:tcBorders>
            <w:shd w:val="clear" w:color="auto" w:fill="D3D3D3"/>
          </w:tcPr>
          <w:p>
            <w:pPr/>
          </w:p>
        </w:tc>
        <w:tc>
          <w:tcPr>
            <w:tcW w:w="801" w:type="dxa"/>
            <w:vMerge/>
            <w:tcBorders>
              <w:left w:val="single" w:sz="4" w:space="0" w:color="000000"/>
              <w:bottom w:val="single" w:sz="4" w:space="0" w:color="000000"/>
              <w:right w:val="single" w:sz="4" w:space="0" w:color="000000"/>
            </w:tcBorders>
            <w:shd w:val="clear" w:color="auto" w:fill="D3D3D3"/>
          </w:tcPr>
          <w:p>
            <w:pPr/>
          </w:p>
        </w:tc>
        <w:tc>
          <w:tcPr>
            <w:tcW w:w="643"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81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141,251,</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446.66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21,896,4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40.06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15.50%</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119,355,0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06.60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130,385</w:t>
            </w:r>
          </w:p>
          <w:p>
            <w:pPr>
              <w:pStyle w:val="TableParagraph"/>
              <w:spacing w:line="240" w:lineRule="auto" w:before="105"/>
              <w:ind w:left="69" w:right="0"/>
              <w:jc w:val="left"/>
              <w:rPr>
                <w:rFonts w:ascii="Times New Roman" w:hAnsi="Times New Roman" w:cs="Times New Roman" w:eastAsia="Times New Roman" w:hint="default"/>
                <w:sz w:val="18"/>
                <w:szCs w:val="18"/>
              </w:rPr>
            </w:pPr>
            <w:r>
              <w:rPr>
                <w:rFonts w:ascii="Times New Roman"/>
                <w:sz w:val="18"/>
              </w:rPr>
              <w:t>,605.55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14,332,70</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1.09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116,052,90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4.46</w:t>
            </w:r>
          </w:p>
        </w:tc>
      </w:tr>
      <w:tr>
        <w:trPr>
          <w:trHeight w:val="161" w:hRule="exact"/>
        </w:trPr>
        <w:tc>
          <w:tcPr>
            <w:tcW w:w="1622" w:type="dxa"/>
            <w:tcBorders>
              <w:top w:val="single" w:sz="4" w:space="0" w:color="000000"/>
              <w:left w:val="single" w:sz="4" w:space="0" w:color="000000"/>
              <w:bottom w:val="nil" w:sz="6" w:space="0" w:color="auto"/>
              <w:right w:val="single" w:sz="4" w:space="0" w:color="000000"/>
            </w:tcBorders>
            <w:shd w:val="clear" w:color="auto" w:fill="D3D3D3"/>
          </w:tcPr>
          <w:p>
            <w:pPr/>
          </w:p>
        </w:tc>
        <w:tc>
          <w:tcPr>
            <w:tcW w:w="764" w:type="dxa"/>
            <w:vMerge w:val="restart"/>
            <w:tcBorders>
              <w:top w:val="single" w:sz="4" w:space="0" w:color="000000"/>
              <w:left w:val="single" w:sz="9" w:space="0" w:color="D3D3D3"/>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141,251,</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446.66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21,896,4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40.06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15.50%</w:t>
            </w:r>
          </w:p>
        </w:tc>
        <w:tc>
          <w:tcPr>
            <w:tcW w:w="801"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119,355,0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06.60</w:t>
            </w:r>
          </w:p>
        </w:tc>
        <w:tc>
          <w:tcPr>
            <w:tcW w:w="643"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130,385</w:t>
            </w:r>
          </w:p>
          <w:p>
            <w:pPr>
              <w:pStyle w:val="TableParagraph"/>
              <w:spacing w:line="240" w:lineRule="auto" w:before="105"/>
              <w:ind w:left="69" w:right="0"/>
              <w:jc w:val="left"/>
              <w:rPr>
                <w:rFonts w:ascii="Times New Roman" w:hAnsi="Times New Roman" w:cs="Times New Roman" w:eastAsia="Times New Roman" w:hint="default"/>
                <w:sz w:val="18"/>
                <w:szCs w:val="18"/>
              </w:rPr>
            </w:pPr>
            <w:r>
              <w:rPr>
                <w:rFonts w:ascii="Times New Roman"/>
                <w:sz w:val="18"/>
              </w:rPr>
              <w:t>,605.55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2"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14,332,70</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1.09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10.99%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116,052,90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4.46</w:t>
            </w:r>
          </w:p>
        </w:tc>
      </w:tr>
      <w:tr>
        <w:trPr>
          <w:trHeight w:val="392" w:hRule="exact"/>
        </w:trPr>
        <w:tc>
          <w:tcPr>
            <w:tcW w:w="16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vMerge/>
            <w:tcBorders>
              <w:left w:val="single" w:sz="9" w:space="0" w:color="D3D3D3"/>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01" w:type="dxa"/>
            <w:vMerge/>
            <w:tcBorders>
              <w:left w:val="single" w:sz="4" w:space="0" w:color="000000"/>
              <w:right w:val="single" w:sz="4" w:space="0" w:color="000000"/>
            </w:tcBorders>
          </w:tcPr>
          <w:p>
            <w:pPr/>
          </w:p>
        </w:tc>
        <w:tc>
          <w:tcPr>
            <w:tcW w:w="643"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4" w:type="dxa"/>
            <w:vMerge/>
            <w:tcBorders>
              <w:left w:val="single" w:sz="9" w:space="0" w:color="D3D3D3"/>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01"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2"/>
        <w:gridCol w:w="2392"/>
      </w:tblGrid>
      <w:tr>
        <w:trPr>
          <w:trHeight w:val="207" w:hRule="exact"/>
        </w:trPr>
        <w:tc>
          <w:tcPr>
            <w:tcW w:w="2375" w:type="dxa"/>
            <w:tcBorders>
              <w:top w:val="single" w:sz="4" w:space="0" w:color="000000"/>
              <w:left w:val="single" w:sz="4" w:space="0" w:color="000000"/>
              <w:bottom w:val="nil" w:sz="6" w:space="0" w:color="auto"/>
              <w:right w:val="single" w:sz="4" w:space="0" w:color="000000"/>
            </w:tcBorders>
            <w:shd w:val="clear" w:color="auto" w:fill="D3D3D3"/>
          </w:tcPr>
          <w:p>
            <w:pPr/>
          </w:p>
        </w:tc>
        <w:tc>
          <w:tcPr>
            <w:tcW w:w="7181"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5" w:hRule="exact"/>
        </w:trPr>
        <w:tc>
          <w:tcPr>
            <w:tcW w:w="237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181" w:type="dxa"/>
            <w:gridSpan w:val="3"/>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2375" w:type="dxa"/>
            <w:vMerge/>
            <w:tcBorders>
              <w:left w:val="single" w:sz="4" w:space="0" w:color="000000"/>
              <w:bottom w:val="nil" w:sz="6" w:space="0" w:color="auto"/>
              <w:right w:val="single" w:sz="4" w:space="0" w:color="000000"/>
            </w:tcBorders>
            <w:shd w:val="clear" w:color="auto" w:fill="D3D3D3"/>
          </w:tcPr>
          <w:p>
            <w:pPr/>
          </w:p>
        </w:tc>
        <w:tc>
          <w:tcPr>
            <w:tcW w:w="23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5" w:hRule="exact"/>
        </w:trPr>
        <w:tc>
          <w:tcPr>
            <w:tcW w:w="237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8"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5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95,325,401.68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4,766,270.09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23,073,086.36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2,307,308.64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10,037,621.61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2,007,524.32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12,815,337.01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12,815,337.01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141,251,446.66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21,896,440.06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15.50%</w:t>
            </w:r>
          </w:p>
        </w:tc>
      </w:tr>
    </w:tbl>
    <w:p>
      <w:pPr>
        <w:pStyle w:val="BodyText"/>
        <w:spacing w:line="357" w:lineRule="auto" w:before="51"/>
        <w:ind w:left="153" w:right="7791"/>
        <w:jc w:val="left"/>
      </w:pPr>
      <w:r>
        <w:rPr/>
        <w:t>确定该组合依据的说明： 无。</w:t>
      </w:r>
    </w:p>
    <w:p>
      <w:pPr>
        <w:pStyle w:val="BodyText"/>
        <w:spacing w:line="240" w:lineRule="auto" w:before="29"/>
        <w:ind w:left="153" w:right="1258"/>
        <w:jc w:val="left"/>
      </w:pPr>
      <w:r>
        <w:rPr/>
        <w:t>组合中，采用余额百分比法计提坏账准备的应收账款：</w:t>
      </w:r>
    </w:p>
    <w:p>
      <w:pPr>
        <w:pStyle w:val="BodyText"/>
        <w:spacing w:line="240" w:lineRule="auto" w:before="117"/>
        <w:ind w:left="153"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80" w:left="980" w:right="980"/>
        </w:sectPr>
      </w:pPr>
    </w:p>
    <w:p>
      <w:pPr>
        <w:spacing w:line="240" w:lineRule="auto" w:before="13"/>
        <w:rPr>
          <w:rFonts w:ascii="宋体" w:hAnsi="宋体" w:cs="宋体" w:eastAsia="宋体" w:hint="default"/>
          <w:sz w:val="21"/>
          <w:szCs w:val="21"/>
        </w:rPr>
      </w:pPr>
    </w:p>
    <w:p>
      <w:pPr>
        <w:pStyle w:val="BodyText"/>
        <w:spacing w:line="240" w:lineRule="auto" w:before="44"/>
        <w:ind w:left="153" w:right="1258"/>
        <w:jc w:val="left"/>
      </w:pPr>
      <w:r>
        <w:rPr/>
        <w:t>组合中，采用其他方法计提坏账准备的应收账款：</w:t>
      </w:r>
    </w:p>
    <w:p>
      <w:pPr>
        <w:spacing w:line="240" w:lineRule="auto" w:before="10"/>
        <w:rPr>
          <w:rFonts w:ascii="宋体" w:hAnsi="宋体" w:cs="宋体" w:eastAsia="宋体" w:hint="default"/>
          <w:sz w:val="26"/>
          <w:szCs w:val="26"/>
        </w:rPr>
      </w:pPr>
    </w:p>
    <w:p>
      <w:pPr>
        <w:pStyle w:val="Heading3"/>
        <w:spacing w:line="240" w:lineRule="auto"/>
        <w:ind w:right="1258"/>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980" w:right="980"/>
        </w:sectPr>
      </w:pPr>
    </w:p>
    <w:p>
      <w:pPr>
        <w:pStyle w:val="BodyText"/>
        <w:spacing w:line="338" w:lineRule="auto" w:before="44"/>
        <w:ind w:right="-19"/>
        <w:jc w:val="left"/>
      </w:pPr>
      <w:r>
        <w:rPr/>
        <w:t>本期计提坏账准备金额</w:t>
      </w:r>
      <w:r>
        <w:rPr>
          <w:spacing w:val="-46"/>
        </w:rPr>
        <w:t> </w:t>
      </w:r>
      <w:r>
        <w:rPr>
          <w:rFonts w:ascii="Times New Roman" w:hAnsi="Times New Roman" w:cs="Times New Roman" w:eastAsia="Times New Roman" w:hint="default"/>
        </w:rPr>
        <w:t>7,563,738.97</w:t>
      </w:r>
      <w:r>
        <w:rPr>
          <w:rFonts w:ascii="Times New Roman" w:hAnsi="Times New Roman" w:cs="Times New Roman" w:eastAsia="Times New Roman" w:hint="default"/>
          <w:spacing w:val="-1"/>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6049" w:space="2779"/>
            <w:col w:w="1122"/>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4777;top:14;width:2;height:393" coordorigin="4777,14" coordsize="2,393">
              <v:shape style="position:absolute;left:4777;top:14;width:2;height:393" coordorigin="4777,14" coordsize="0,393" path="m4777,14l4777,407e" filled="false" stroked="true" strokeweight="1.140pt" strokecolor="#d3d3d3">
                <v:path arrowok="t"/>
              </v:shape>
            </v:group>
            <v:group style="position:absolute;left:37;top:14;width:4728;height:393" coordorigin="37,14" coordsize="4728,393">
              <v:shape style="position:absolute;left:37;top:14;width:4728;height:393" coordorigin="37,14" coordsize="4728,393" path="m37,407l4765,407,4765,14,37,14,37,407xe" filled="true" fillcolor="#d3d3d3" stroked="false">
                <v:path arrowok="t"/>
                <v:fill type="solid"/>
              </v:shape>
            </v:group>
            <v:group style="position:absolute;left:4810;top:14;width:2;height:393" coordorigin="4810,14" coordsize="2,393">
              <v:shape style="position:absolute;left:4810;top:14;width:2;height:393" coordorigin="4810,14" coordsize="0,393" path="m4810,14l4810,407e" filled="false" stroked="true" strokeweight="1.140pt" strokecolor="#d3d3d3">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d3d3d3">
                <v:path arrowok="t"/>
              </v:shape>
            </v:group>
            <v:group style="position:absolute;left:4822;top:14;width:4728;height:393" coordorigin="4822,14" coordsize="4728,393">
              <v:shape style="position:absolute;left:4822;top:14;width:4728;height:393" coordorigin="4822,14" coordsize="4728,393" path="m4822,407l9550,407,9550,14,4822,14,48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5;height:2" coordorigin="5,412" coordsize="4785,2">
              <v:shape style="position:absolute;left:5;top:412;width:4785;height:2" coordorigin="5,412" coordsize="4785,0" path="m5,412l4789,412e" filled="false" stroked="true" strokeweight=".47998pt" strokecolor="#000000">
                <v:path arrowok="t"/>
              </v:shape>
            </v:group>
            <v:group style="position:absolute;left:4794;top:14;width:2;height:402" coordorigin="4794,14" coordsize="2,402">
              <v:shape style="position:absolute;left:4794;top:14;width:2;height:402" coordorigin="4794,14" coordsize="0,402" path="m4794,14l4794,416e" filled="false" stroked="true" strokeweight=".48001pt" strokecolor="#000000">
                <v:path arrowok="t"/>
              </v:shape>
            </v:group>
            <v:group style="position:absolute;left:4799;top:412;width:4774;height:2" coordorigin="4799,412" coordsize="4774,2">
              <v:shape style="position:absolute;left:4799;top:412;width:4774;height:2" coordorigin="4799,412" coordsize="4774,0" path="m4799,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1258"/>
        <w:jc w:val="left"/>
      </w:pPr>
      <w:r>
        <w:rPr/>
        <w:t>其中重要的应收账款核销情况：</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1258"/>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4" w:type="dxa"/>
        <w:tblLayout w:type="fixed"/>
        <w:tblCellMar>
          <w:top w:w="0" w:type="dxa"/>
          <w:left w:w="0" w:type="dxa"/>
          <w:bottom w:w="0" w:type="dxa"/>
          <w:right w:w="0" w:type="dxa"/>
        </w:tblCellMar>
        <w:tblLook w:val="01E0"/>
      </w:tblPr>
      <w:tblGrid>
        <w:gridCol w:w="3402"/>
        <w:gridCol w:w="1702"/>
        <w:gridCol w:w="2834"/>
        <w:gridCol w:w="1560"/>
      </w:tblGrid>
      <w:tr>
        <w:trPr>
          <w:trHeight w:val="352" w:hRule="exact"/>
        </w:trPr>
        <w:tc>
          <w:tcPr>
            <w:tcW w:w="3402"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2"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240" w:lineRule="auto" w:before="21"/>
              <w:ind w:left="119"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834"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240" w:lineRule="auto" w:before="21"/>
              <w:ind w:right="11"/>
              <w:jc w:val="right"/>
              <w:rPr>
                <w:rFonts w:ascii="宋体" w:hAnsi="宋体" w:cs="宋体" w:eastAsia="宋体" w:hint="default"/>
                <w:sz w:val="18"/>
                <w:szCs w:val="18"/>
              </w:rPr>
            </w:pPr>
            <w:r>
              <w:rPr>
                <w:rFonts w:ascii="宋体" w:hAnsi="宋体" w:cs="宋体" w:eastAsia="宋体" w:hint="default"/>
                <w:sz w:val="18"/>
                <w:szCs w:val="18"/>
              </w:rPr>
              <w:t>占应收账款期末余额合计数的比例%</w:t>
            </w:r>
          </w:p>
        </w:tc>
        <w:tc>
          <w:tcPr>
            <w:tcW w:w="1560"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240" w:lineRule="auto" w:before="21"/>
              <w:ind w:right="4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52" w:hRule="exact"/>
        </w:trPr>
        <w:tc>
          <w:tcPr>
            <w:tcW w:w="3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left"/>
              <w:rPr>
                <w:rFonts w:ascii="宋体" w:hAnsi="宋体" w:cs="宋体" w:eastAsia="宋体" w:hint="default"/>
                <w:sz w:val="18"/>
                <w:szCs w:val="18"/>
              </w:rPr>
            </w:pPr>
            <w:r>
              <w:rPr>
                <w:rFonts w:ascii="宋体" w:hAnsi="宋体" w:cs="宋体" w:eastAsia="宋体" w:hint="default"/>
                <w:sz w:val="18"/>
                <w:szCs w:val="18"/>
              </w:rPr>
              <w:t>福建省星云大数据应用服务有限公司</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z w:val="18"/>
              </w:rPr>
              <w:t>16,064,448.67</w:t>
            </w:r>
          </w:p>
        </w:tc>
        <w:tc>
          <w:tcPr>
            <w:tcW w:w="2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sz w:val="18"/>
              </w:rPr>
              <w:t>11.37</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
              <w:jc w:val="right"/>
              <w:rPr>
                <w:rFonts w:ascii="宋体" w:hAnsi="宋体" w:cs="宋体" w:eastAsia="宋体" w:hint="default"/>
                <w:sz w:val="18"/>
                <w:szCs w:val="18"/>
              </w:rPr>
            </w:pPr>
            <w:r>
              <w:rPr>
                <w:rFonts w:ascii="宋体"/>
                <w:sz w:val="18"/>
              </w:rPr>
              <w:t>803,222.43</w:t>
            </w:r>
          </w:p>
        </w:tc>
      </w:tr>
      <w:tr>
        <w:trPr>
          <w:trHeight w:val="352" w:hRule="exact"/>
        </w:trPr>
        <w:tc>
          <w:tcPr>
            <w:tcW w:w="3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福建省闽江监狱</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7,175,520.00</w:t>
            </w:r>
          </w:p>
        </w:tc>
        <w:tc>
          <w:tcPr>
            <w:tcW w:w="2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5.08</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358,776.00</w:t>
            </w:r>
          </w:p>
        </w:tc>
      </w:tr>
      <w:tr>
        <w:trPr>
          <w:trHeight w:val="353" w:hRule="exact"/>
        </w:trPr>
        <w:tc>
          <w:tcPr>
            <w:tcW w:w="3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河南信大科技有限公司</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3,904,000.00</w:t>
            </w:r>
          </w:p>
        </w:tc>
        <w:tc>
          <w:tcPr>
            <w:tcW w:w="2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2.76</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780,800.00</w:t>
            </w:r>
          </w:p>
        </w:tc>
      </w:tr>
      <w:tr>
        <w:trPr>
          <w:trHeight w:val="352" w:hRule="exact"/>
        </w:trPr>
        <w:tc>
          <w:tcPr>
            <w:tcW w:w="3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北京国电通网络技术有限公司</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3,668,000.00</w:t>
            </w:r>
          </w:p>
        </w:tc>
        <w:tc>
          <w:tcPr>
            <w:tcW w:w="2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2.60</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183,400.00</w:t>
            </w:r>
          </w:p>
        </w:tc>
      </w:tr>
      <w:tr>
        <w:trPr>
          <w:trHeight w:val="352" w:hRule="exact"/>
        </w:trPr>
        <w:tc>
          <w:tcPr>
            <w:tcW w:w="3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中国联合网络通信有限公司福州市分公司</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3,641,368.90</w:t>
            </w:r>
          </w:p>
        </w:tc>
        <w:tc>
          <w:tcPr>
            <w:tcW w:w="2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2.58</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364,136.89</w:t>
            </w:r>
          </w:p>
        </w:tc>
      </w:tr>
      <w:tr>
        <w:trPr>
          <w:trHeight w:val="353" w:hRule="exact"/>
        </w:trPr>
        <w:tc>
          <w:tcPr>
            <w:tcW w:w="3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  计</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b/>
                <w:w w:val="95"/>
                <w:sz w:val="18"/>
              </w:rPr>
              <w:t>34,453,337.57</w:t>
            </w:r>
            <w:r>
              <w:rPr>
                <w:rFonts w:ascii="宋体"/>
                <w:sz w:val="18"/>
              </w:rPr>
            </w:r>
          </w:p>
        </w:tc>
        <w:tc>
          <w:tcPr>
            <w:tcW w:w="2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b/>
                <w:w w:val="95"/>
                <w:sz w:val="18"/>
              </w:rPr>
              <w:t>24.39</w:t>
            </w:r>
            <w:r>
              <w:rPr>
                <w:rFonts w:ascii="宋体"/>
                <w:sz w:val="18"/>
              </w:rPr>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b/>
                <w:w w:val="95"/>
                <w:sz w:val="18"/>
              </w:rPr>
              <w:t>2,490,335.32</w:t>
            </w:r>
            <w:r>
              <w:rPr>
                <w:rFonts w:ascii="宋体"/>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8"/>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5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8"/>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7" w:hRule="exact"/>
        </w:trPr>
        <w:tc>
          <w:tcPr>
            <w:tcW w:w="1889" w:type="dxa"/>
            <w:tcBorders>
              <w:top w:val="single" w:sz="4" w:space="0" w:color="000000"/>
              <w:left w:val="single" w:sz="4" w:space="0" w:color="000000"/>
              <w:bottom w:val="nil" w:sz="6" w:space="0" w:color="auto"/>
              <w:right w:val="single" w:sz="4" w:space="0" w:color="000000"/>
            </w:tcBorders>
            <w:shd w:val="clear" w:color="auto" w:fill="D3D3D3"/>
          </w:tcPr>
          <w:p>
            <w:pPr/>
          </w:p>
        </w:tc>
        <w:tc>
          <w:tcPr>
            <w:tcW w:w="384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5" w:hRule="exact"/>
        </w:trPr>
        <w:tc>
          <w:tcPr>
            <w:tcW w:w="188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3D3D3"/>
          </w:tcPr>
          <w:p>
            <w:pPr/>
          </w:p>
        </w:tc>
        <w:tc>
          <w:tcPr>
            <w:tcW w:w="3829" w:type="dxa"/>
            <w:gridSpan w:val="2"/>
            <w:vMerge/>
            <w:tcBorders>
              <w:left w:val="single" w:sz="4" w:space="0" w:color="000000"/>
              <w:bottom w:val="single" w:sz="4" w:space="0" w:color="000000"/>
              <w:right w:val="single" w:sz="4" w:space="0" w:color="000000"/>
            </w:tcBorders>
            <w:shd w:val="clear" w:color="auto" w:fill="D3D3D3"/>
          </w:tcPr>
          <w:p>
            <w:pPr/>
          </w:p>
        </w:tc>
      </w:tr>
      <w:tr>
        <w:trPr>
          <w:trHeight w:val="195" w:hRule="exact"/>
        </w:trPr>
        <w:tc>
          <w:tcPr>
            <w:tcW w:w="1889" w:type="dxa"/>
            <w:vMerge/>
            <w:tcBorders>
              <w:left w:val="single" w:sz="4" w:space="0" w:color="000000"/>
              <w:bottom w:val="nil" w:sz="6" w:space="0" w:color="auto"/>
              <w:right w:val="single" w:sz="4" w:space="0" w:color="000000"/>
            </w:tcBorders>
            <w:shd w:val="clear" w:color="auto" w:fill="D3D3D3"/>
          </w:tcPr>
          <w:p>
            <w:pPr/>
          </w:p>
        </w:tc>
        <w:tc>
          <w:tcPr>
            <w:tcW w:w="19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7" w:hRule="exact"/>
        </w:trPr>
        <w:tc>
          <w:tcPr>
            <w:tcW w:w="1889" w:type="dxa"/>
            <w:tcBorders>
              <w:top w:val="nil" w:sz="6" w:space="0" w:color="auto"/>
              <w:left w:val="single" w:sz="4" w:space="0" w:color="000000"/>
              <w:bottom w:val="single" w:sz="4" w:space="0" w:color="000000"/>
              <w:right w:val="single" w:sz="4" w:space="0" w:color="000000"/>
            </w:tcBorders>
            <w:shd w:val="clear" w:color="auto" w:fill="D3D3D3"/>
          </w:tcPr>
          <w:p>
            <w:pPr/>
          </w:p>
        </w:tc>
        <w:tc>
          <w:tcPr>
            <w:tcW w:w="1927"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8,412,968.54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8,585,808.35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73.23%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650,008.94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1,447,728.86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672,368.10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1,416,875.58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763,459.44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274,824.03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9" w:space="0" w:color="D3D3D3"/>
              <w:bottom w:val="single" w:sz="4" w:space="0" w:color="000000"/>
              <w:right w:val="single" w:sz="9"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10,498,805.02</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11,725,236.82</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258"/>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0"/>
        <w:rPr>
          <w:rFonts w:ascii="宋体" w:hAnsi="宋体" w:cs="宋体" w:eastAsia="宋体" w:hint="default"/>
          <w:sz w:val="25"/>
          <w:szCs w:val="25"/>
        </w:rPr>
      </w:pPr>
    </w:p>
    <w:p>
      <w:pPr>
        <w:pStyle w:val="Heading3"/>
        <w:spacing w:line="240" w:lineRule="auto"/>
        <w:ind w:right="1258"/>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511"/>
        <w:jc w:val="right"/>
      </w:pPr>
      <w:r>
        <w:rPr/>
        <w:t>单位：元</w:t>
      </w:r>
    </w:p>
    <w:p>
      <w:pPr>
        <w:spacing w:line="240" w:lineRule="auto" w:before="0"/>
        <w:rPr>
          <w:rFonts w:ascii="宋体" w:hAnsi="宋体" w:cs="宋体" w:eastAsia="宋体" w:hint="default"/>
          <w:sz w:val="5"/>
          <w:szCs w:val="5"/>
        </w:rPr>
      </w:pPr>
    </w:p>
    <w:tbl>
      <w:tblPr>
        <w:tblW w:w="0" w:type="auto"/>
        <w:jc w:val="left"/>
        <w:tblInd w:w="144" w:type="dxa"/>
        <w:tblLayout w:type="fixed"/>
        <w:tblCellMar>
          <w:top w:w="0" w:type="dxa"/>
          <w:left w:w="0" w:type="dxa"/>
          <w:bottom w:w="0" w:type="dxa"/>
          <w:right w:w="0" w:type="dxa"/>
        </w:tblCellMar>
        <w:tblLook w:val="01E0"/>
      </w:tblPr>
      <w:tblGrid>
        <w:gridCol w:w="3796"/>
        <w:gridCol w:w="2300"/>
        <w:gridCol w:w="3185"/>
      </w:tblGrid>
      <w:tr>
        <w:trPr>
          <w:trHeight w:val="346" w:hRule="exact"/>
        </w:trPr>
        <w:tc>
          <w:tcPr>
            <w:tcW w:w="3796"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00"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240" w:lineRule="auto" w:before="21"/>
              <w:ind w:left="419" w:right="0"/>
              <w:jc w:val="left"/>
              <w:rPr>
                <w:rFonts w:ascii="宋体" w:hAnsi="宋体" w:cs="宋体" w:eastAsia="宋体" w:hint="default"/>
                <w:sz w:val="18"/>
                <w:szCs w:val="18"/>
              </w:rPr>
            </w:pPr>
            <w:r>
              <w:rPr>
                <w:rFonts w:ascii="宋体" w:hAnsi="宋体" w:cs="宋体" w:eastAsia="宋体" w:hint="default"/>
                <w:sz w:val="18"/>
                <w:szCs w:val="18"/>
              </w:rPr>
              <w:t>预付款项期末余额</w:t>
            </w:r>
          </w:p>
        </w:tc>
        <w:tc>
          <w:tcPr>
            <w:tcW w:w="3185"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240" w:lineRule="auto" w:before="21"/>
              <w:ind w:left="187" w:right="0"/>
              <w:jc w:val="left"/>
              <w:rPr>
                <w:rFonts w:ascii="宋体" w:hAnsi="宋体" w:cs="宋体" w:eastAsia="宋体" w:hint="default"/>
                <w:sz w:val="18"/>
                <w:szCs w:val="18"/>
              </w:rPr>
            </w:pPr>
            <w:r>
              <w:rPr>
                <w:rFonts w:ascii="宋体" w:hAnsi="宋体" w:cs="宋体" w:eastAsia="宋体" w:hint="default"/>
                <w:sz w:val="18"/>
                <w:szCs w:val="18"/>
              </w:rPr>
              <w:t>占预付款项期末余额合计数的比例%</w:t>
            </w:r>
          </w:p>
        </w:tc>
      </w:tr>
      <w:tr>
        <w:trPr>
          <w:trHeight w:val="437" w:hRule="exact"/>
        </w:trPr>
        <w:tc>
          <w:tcPr>
            <w:tcW w:w="379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武汉赛尔联智科技有限公司</w:t>
            </w:r>
          </w:p>
        </w:tc>
        <w:tc>
          <w:tcPr>
            <w:tcW w:w="2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1"/>
              <w:jc w:val="right"/>
              <w:rPr>
                <w:rFonts w:ascii="Times New Roman" w:hAnsi="Times New Roman" w:cs="Times New Roman" w:eastAsia="Times New Roman" w:hint="default"/>
                <w:sz w:val="18"/>
                <w:szCs w:val="18"/>
              </w:rPr>
            </w:pPr>
            <w:r>
              <w:rPr>
                <w:rFonts w:ascii="Times New Roman"/>
                <w:spacing w:val="-1"/>
                <w:sz w:val="18"/>
              </w:rPr>
              <w:t>1,432,448.50</w:t>
            </w:r>
          </w:p>
        </w:tc>
        <w:tc>
          <w:tcPr>
            <w:tcW w:w="318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13.64</w:t>
            </w:r>
          </w:p>
        </w:tc>
      </w:tr>
      <w:tr>
        <w:trPr>
          <w:trHeight w:val="432" w:hRule="exact"/>
        </w:trPr>
        <w:tc>
          <w:tcPr>
            <w:tcW w:w="3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河南聪元电子科技有限公司</w:t>
            </w:r>
          </w:p>
        </w:tc>
        <w:tc>
          <w:tcPr>
            <w:tcW w:w="2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826,519.50</w:t>
            </w:r>
          </w:p>
        </w:tc>
        <w:tc>
          <w:tcPr>
            <w:tcW w:w="31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7.87</w:t>
            </w:r>
          </w:p>
        </w:tc>
      </w:tr>
      <w:tr>
        <w:trPr>
          <w:trHeight w:val="432" w:hRule="exact"/>
        </w:trPr>
        <w:tc>
          <w:tcPr>
            <w:tcW w:w="3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福州新势力信息工程有限公司</w:t>
            </w:r>
          </w:p>
        </w:tc>
        <w:tc>
          <w:tcPr>
            <w:tcW w:w="2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403,229.00</w:t>
            </w:r>
          </w:p>
        </w:tc>
        <w:tc>
          <w:tcPr>
            <w:tcW w:w="31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3.84</w:t>
            </w:r>
          </w:p>
        </w:tc>
      </w:tr>
      <w:tr>
        <w:trPr>
          <w:trHeight w:val="432" w:hRule="exact"/>
        </w:trPr>
        <w:tc>
          <w:tcPr>
            <w:tcW w:w="3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福建海都信息科技有限公司</w:t>
            </w:r>
          </w:p>
        </w:tc>
        <w:tc>
          <w:tcPr>
            <w:tcW w:w="2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401,045.80</w:t>
            </w:r>
          </w:p>
        </w:tc>
        <w:tc>
          <w:tcPr>
            <w:tcW w:w="31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3.82</w:t>
            </w:r>
          </w:p>
        </w:tc>
      </w:tr>
      <w:tr>
        <w:trPr>
          <w:trHeight w:val="432" w:hRule="exact"/>
        </w:trPr>
        <w:tc>
          <w:tcPr>
            <w:tcW w:w="3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南京众睿特智能工程有限公司</w:t>
            </w:r>
          </w:p>
        </w:tc>
        <w:tc>
          <w:tcPr>
            <w:tcW w:w="2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304,000.00</w:t>
            </w:r>
          </w:p>
        </w:tc>
        <w:tc>
          <w:tcPr>
            <w:tcW w:w="31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2.90</w:t>
            </w:r>
          </w:p>
        </w:tc>
      </w:tr>
      <w:tr>
        <w:trPr>
          <w:trHeight w:val="433" w:hRule="exact"/>
        </w:trPr>
        <w:tc>
          <w:tcPr>
            <w:tcW w:w="37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  计</w:t>
            </w:r>
          </w:p>
        </w:tc>
        <w:tc>
          <w:tcPr>
            <w:tcW w:w="2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3,367,242.80</w:t>
            </w:r>
          </w:p>
        </w:tc>
        <w:tc>
          <w:tcPr>
            <w:tcW w:w="31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32.07</w:t>
            </w:r>
          </w:p>
        </w:tc>
      </w:tr>
    </w:tbl>
    <w:p>
      <w:pPr>
        <w:spacing w:line="240" w:lineRule="auto" w:before="5"/>
        <w:rPr>
          <w:rFonts w:ascii="宋体" w:hAnsi="宋体" w:cs="宋体" w:eastAsia="宋体" w:hint="default"/>
          <w:sz w:val="24"/>
          <w:szCs w:val="24"/>
        </w:rPr>
      </w:pPr>
    </w:p>
    <w:p>
      <w:pPr>
        <w:pStyle w:val="BodyText"/>
        <w:spacing w:line="240" w:lineRule="auto" w:before="44"/>
        <w:ind w:right="125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258"/>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88"/>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172,951.90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1,185,696.85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172,951.90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1,185,696.85</w:t>
            </w: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1258"/>
        <w:jc w:val="left"/>
      </w:pPr>
      <w:r>
        <w:rPr/>
        <w:t>其他说明：</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1258"/>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258"/>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8"/>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15,605,000.00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15,605,000.00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厦门国际银行股份有限公司</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2,182,365.92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15,605,000.00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17,787,365.92</w:t>
            </w: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2</w:t>
      </w:r>
      <w:r>
        <w:rPr/>
        <w:t>）重要的账龄超过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福建亿榕信息技术有限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15,605,000.00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被投资单位尚未支付股 利</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否，期后收回股利</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15,605,000.00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25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258"/>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2"/>
        <w:gridCol w:w="764"/>
        <w:gridCol w:w="762"/>
        <w:gridCol w:w="762"/>
        <w:gridCol w:w="762"/>
        <w:gridCol w:w="801"/>
        <w:gridCol w:w="643"/>
        <w:gridCol w:w="762"/>
        <w:gridCol w:w="812"/>
        <w:gridCol w:w="932"/>
        <w:gridCol w:w="932"/>
      </w:tblGrid>
      <w:tr>
        <w:trPr>
          <w:trHeight w:val="402" w:hRule="exact"/>
        </w:trPr>
        <w:tc>
          <w:tcPr>
            <w:tcW w:w="1622" w:type="dxa"/>
            <w:vMerge w:val="restart"/>
            <w:tcBorders>
              <w:top w:val="single" w:sz="4" w:space="0" w:color="000000"/>
              <w:left w:val="single" w:sz="4" w:space="0" w:color="000000"/>
              <w:right w:val="single" w:sz="4" w:space="0" w:color="000000"/>
            </w:tcBorders>
            <w:shd w:val="clear" w:color="auto" w:fill="D3D3D3"/>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22" w:type="dxa"/>
            <w:vMerge/>
            <w:tcBorders>
              <w:left w:val="single" w:sz="4" w:space="0" w:color="000000"/>
              <w:bottom w:val="nil" w:sz="6" w:space="0" w:color="auto"/>
              <w:right w:val="single" w:sz="4" w:space="0" w:color="000000"/>
            </w:tcBorders>
            <w:shd w:val="clear" w:color="auto" w:fill="D3D3D3"/>
          </w:tcPr>
          <w:p>
            <w:pPr/>
          </w:p>
        </w:tc>
        <w:tc>
          <w:tcPr>
            <w:tcW w:w="15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01" w:type="dxa"/>
            <w:vMerge w:val="restart"/>
            <w:tcBorders>
              <w:top w:val="single" w:sz="4" w:space="0" w:color="000000"/>
              <w:left w:val="single" w:sz="4" w:space="0" w:color="000000"/>
              <w:right w:val="single" w:sz="4" w:space="0" w:color="000000"/>
            </w:tcBorders>
            <w:shd w:val="clear" w:color="auto" w:fill="D3D3D3"/>
          </w:tcPr>
          <w:p>
            <w:pPr/>
          </w:p>
        </w:tc>
        <w:tc>
          <w:tcPr>
            <w:tcW w:w="140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
        </w:tc>
      </w:tr>
      <w:tr>
        <w:trPr>
          <w:trHeight w:val="241" w:hRule="exact"/>
        </w:trPr>
        <w:tc>
          <w:tcPr>
            <w:tcW w:w="162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6" w:type="dxa"/>
            <w:gridSpan w:val="2"/>
            <w:vMerge/>
            <w:tcBorders>
              <w:left w:val="single" w:sz="4" w:space="0" w:color="000000"/>
              <w:bottom w:val="single" w:sz="4" w:space="0" w:color="000000"/>
              <w:right w:val="single" w:sz="4" w:space="0" w:color="000000"/>
            </w:tcBorders>
            <w:shd w:val="clear" w:color="auto" w:fill="D3D3D3"/>
          </w:tcPr>
          <w:p>
            <w:pPr/>
          </w:p>
        </w:tc>
        <w:tc>
          <w:tcPr>
            <w:tcW w:w="1524" w:type="dxa"/>
            <w:gridSpan w:val="2"/>
            <w:vMerge/>
            <w:tcBorders>
              <w:left w:val="single" w:sz="4" w:space="0" w:color="000000"/>
              <w:bottom w:val="single" w:sz="4" w:space="0" w:color="000000"/>
              <w:right w:val="single" w:sz="4" w:space="0" w:color="000000"/>
            </w:tcBorders>
            <w:shd w:val="clear" w:color="auto" w:fill="D3D3D3"/>
          </w:tcPr>
          <w:p>
            <w:pPr/>
          </w:p>
        </w:tc>
        <w:tc>
          <w:tcPr>
            <w:tcW w:w="801" w:type="dxa"/>
            <w:vMerge/>
            <w:tcBorders>
              <w:left w:val="single" w:sz="4" w:space="0" w:color="000000"/>
              <w:bottom w:val="nil" w:sz="6" w:space="0" w:color="auto"/>
              <w:right w:val="single" w:sz="4" w:space="0" w:color="000000"/>
            </w:tcBorders>
            <w:shd w:val="clear" w:color="auto" w:fill="D3D3D3"/>
          </w:tcPr>
          <w:p>
            <w:pPr/>
          </w:p>
        </w:tc>
        <w:tc>
          <w:tcPr>
            <w:tcW w:w="1405" w:type="dxa"/>
            <w:gridSpan w:val="2"/>
            <w:vMerge/>
            <w:tcBorders>
              <w:left w:val="single" w:sz="4" w:space="0" w:color="000000"/>
              <w:bottom w:val="single" w:sz="4" w:space="0" w:color="000000"/>
              <w:right w:val="single" w:sz="4" w:space="0" w:color="000000"/>
            </w:tcBorders>
            <w:shd w:val="clear" w:color="auto" w:fill="D3D3D3"/>
          </w:tcPr>
          <w:p>
            <w:pPr/>
          </w:p>
        </w:tc>
        <w:tc>
          <w:tcPr>
            <w:tcW w:w="1745" w:type="dxa"/>
            <w:gridSpan w:val="2"/>
            <w:vMerge/>
            <w:tcBorders>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159" w:hRule="exact"/>
        </w:trPr>
        <w:tc>
          <w:tcPr>
            <w:tcW w:w="1622" w:type="dxa"/>
            <w:vMerge/>
            <w:tcBorders>
              <w:left w:val="single" w:sz="4" w:space="0" w:color="000000"/>
              <w:bottom w:val="single" w:sz="4" w:space="0" w:color="FFFFFF"/>
              <w:right w:val="single" w:sz="4" w:space="0" w:color="000000"/>
            </w:tcBorders>
            <w:shd w:val="clear" w:color="auto" w:fill="D3D3D3"/>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76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0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43" w:type="dxa"/>
            <w:tcBorders>
              <w:top w:val="single" w:sz="4" w:space="0" w:color="000000"/>
              <w:left w:val="single" w:sz="4" w:space="0" w:color="000000"/>
              <w:bottom w:val="nil" w:sz="6" w:space="0" w:color="auto"/>
              <w:right w:val="single" w:sz="4" w:space="0" w:color="000000"/>
            </w:tcBorders>
            <w:shd w:val="clear" w:color="auto" w:fill="D3D3D3"/>
          </w:tcPr>
          <w:p>
            <w:pPr/>
          </w:p>
        </w:tc>
        <w:tc>
          <w:tcPr>
            <w:tcW w:w="762" w:type="dxa"/>
            <w:tcBorders>
              <w:top w:val="single" w:sz="4" w:space="0" w:color="000000"/>
              <w:left w:val="single" w:sz="4" w:space="0" w:color="000000"/>
              <w:bottom w:val="nil" w:sz="6" w:space="0" w:color="auto"/>
              <w:right w:val="single" w:sz="4" w:space="0" w:color="000000"/>
            </w:tcBorders>
            <w:shd w:val="clear" w:color="auto" w:fill="D3D3D3"/>
          </w:tcPr>
          <w:p>
            <w:pPr/>
          </w:p>
        </w:tc>
        <w:tc>
          <w:tcPr>
            <w:tcW w:w="81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2" w:type="dxa"/>
            <w:vMerge w:val="restart"/>
            <w:tcBorders>
              <w:top w:val="single" w:sz="4" w:space="0" w:color="FFFFFF"/>
              <w:left w:val="single" w:sz="4" w:space="0" w:color="000000"/>
              <w:right w:val="single" w:sz="4" w:space="0" w:color="000000"/>
            </w:tcBorders>
            <w:shd w:val="clear" w:color="auto" w:fill="D3D3D3"/>
          </w:tcPr>
          <w:p>
            <w:pPr/>
          </w:p>
        </w:tc>
        <w:tc>
          <w:tcPr>
            <w:tcW w:w="764" w:type="dxa"/>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3D3D3"/>
          </w:tcPr>
          <w:p>
            <w:pPr/>
          </w:p>
        </w:tc>
        <w:tc>
          <w:tcPr>
            <w:tcW w:w="801" w:type="dxa"/>
            <w:vMerge/>
            <w:tcBorders>
              <w:left w:val="single" w:sz="4" w:space="0" w:color="000000"/>
              <w:bottom w:val="nil" w:sz="6" w:space="0" w:color="auto"/>
              <w:right w:val="single" w:sz="4" w:space="0" w:color="000000"/>
            </w:tcBorders>
            <w:shd w:val="clear" w:color="auto" w:fill="D3D3D3"/>
          </w:tcPr>
          <w:p>
            <w:pPr/>
          </w:p>
        </w:tc>
        <w:tc>
          <w:tcPr>
            <w:tcW w:w="64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3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200" w:hRule="exact"/>
        </w:trPr>
        <w:tc>
          <w:tcPr>
            <w:tcW w:w="1622" w:type="dxa"/>
            <w:vMerge/>
            <w:tcBorders>
              <w:left w:val="single" w:sz="4" w:space="0" w:color="000000"/>
              <w:right w:val="single" w:sz="4" w:space="0" w:color="000000"/>
            </w:tcBorders>
            <w:shd w:val="clear" w:color="auto" w:fill="D3D3D3"/>
          </w:tcPr>
          <w:p>
            <w:pPr/>
          </w:p>
        </w:tc>
        <w:tc>
          <w:tcPr>
            <w:tcW w:w="764"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right w:val="single" w:sz="4" w:space="0" w:color="000000"/>
            </w:tcBorders>
            <w:shd w:val="clear" w:color="auto" w:fill="D3D3D3"/>
          </w:tcPr>
          <w:p>
            <w:pPr/>
          </w:p>
        </w:tc>
        <w:tc>
          <w:tcPr>
            <w:tcW w:w="801" w:type="dxa"/>
            <w:vMerge w:val="restart"/>
            <w:tcBorders>
              <w:top w:val="nil" w:sz="6" w:space="0" w:color="auto"/>
              <w:left w:val="single" w:sz="4" w:space="0" w:color="000000"/>
              <w:right w:val="single" w:sz="4" w:space="0" w:color="000000"/>
            </w:tcBorders>
            <w:shd w:val="clear" w:color="auto" w:fill="D3D3D3"/>
          </w:tcPr>
          <w:p>
            <w:pPr/>
          </w:p>
        </w:tc>
        <w:tc>
          <w:tcPr>
            <w:tcW w:w="643"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812" w:type="dxa"/>
            <w:vMerge/>
            <w:tcBorders>
              <w:left w:val="single" w:sz="4" w:space="0" w:color="000000"/>
              <w:bottom w:val="nil" w:sz="6" w:space="0" w:color="auto"/>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622" w:type="dxa"/>
            <w:vMerge/>
            <w:tcBorders>
              <w:left w:val="single" w:sz="4" w:space="0" w:color="000000"/>
              <w:bottom w:val="single" w:sz="4" w:space="0" w:color="000000"/>
              <w:right w:val="single" w:sz="4" w:space="0" w:color="000000"/>
            </w:tcBorders>
            <w:shd w:val="clear" w:color="auto" w:fill="D3D3D3"/>
          </w:tcPr>
          <w:p>
            <w:pPr/>
          </w:p>
        </w:tc>
        <w:tc>
          <w:tcPr>
            <w:tcW w:w="76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vMerge/>
            <w:tcBorders>
              <w:left w:val="single" w:sz="4" w:space="0" w:color="000000"/>
              <w:bottom w:val="single" w:sz="4" w:space="0" w:color="000000"/>
              <w:right w:val="single" w:sz="4" w:space="0" w:color="000000"/>
            </w:tcBorders>
            <w:shd w:val="clear" w:color="auto" w:fill="D3D3D3"/>
          </w:tcPr>
          <w:p>
            <w:pPr/>
          </w:p>
        </w:tc>
        <w:tc>
          <w:tcPr>
            <w:tcW w:w="801" w:type="dxa"/>
            <w:vMerge/>
            <w:tcBorders>
              <w:left w:val="single" w:sz="4" w:space="0" w:color="000000"/>
              <w:bottom w:val="single" w:sz="4" w:space="0" w:color="000000"/>
              <w:right w:val="single" w:sz="4" w:space="0" w:color="000000"/>
            </w:tcBorders>
            <w:shd w:val="clear" w:color="auto" w:fill="D3D3D3"/>
          </w:tcPr>
          <w:p>
            <w:pPr/>
          </w:p>
        </w:tc>
        <w:tc>
          <w:tcPr>
            <w:tcW w:w="643"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81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55,653,7</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71.42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10,122,2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81.99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18.19%</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45,531,48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9.43</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51,677,</w:t>
            </w:r>
          </w:p>
          <w:p>
            <w:pPr>
              <w:pStyle w:val="TableParagraph"/>
              <w:spacing w:line="240" w:lineRule="auto" w:before="105"/>
              <w:ind w:left="114" w:right="0"/>
              <w:jc w:val="left"/>
              <w:rPr>
                <w:rFonts w:ascii="Times New Roman" w:hAnsi="Times New Roman" w:cs="Times New Roman" w:eastAsia="Times New Roman" w:hint="default"/>
                <w:sz w:val="18"/>
                <w:szCs w:val="18"/>
              </w:rPr>
            </w:pPr>
            <w:r>
              <w:rPr>
                <w:rFonts w:ascii="Times New Roman"/>
                <w:sz w:val="18"/>
              </w:rPr>
              <w:t>759.45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7,907,034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15.30%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43,770,725.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08</w:t>
            </w:r>
          </w:p>
        </w:tc>
      </w:tr>
      <w:tr>
        <w:trPr>
          <w:trHeight w:val="162" w:hRule="exact"/>
        </w:trPr>
        <w:tc>
          <w:tcPr>
            <w:tcW w:w="1622" w:type="dxa"/>
            <w:tcBorders>
              <w:top w:val="single" w:sz="4" w:space="0" w:color="000000"/>
              <w:left w:val="single" w:sz="4" w:space="0" w:color="000000"/>
              <w:bottom w:val="nil" w:sz="6" w:space="0" w:color="auto"/>
              <w:right w:val="single" w:sz="4" w:space="0" w:color="000000"/>
            </w:tcBorders>
            <w:shd w:val="clear" w:color="auto" w:fill="D3D3D3"/>
          </w:tcPr>
          <w:p>
            <w:pPr/>
          </w:p>
        </w:tc>
        <w:tc>
          <w:tcPr>
            <w:tcW w:w="764" w:type="dxa"/>
            <w:vMerge w:val="restart"/>
            <w:tcBorders>
              <w:top w:val="single" w:sz="4" w:space="0" w:color="000000"/>
              <w:left w:val="single" w:sz="9" w:space="0" w:color="D3D3D3"/>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55,653,7</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71.42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10,122,2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81.99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18.19%</w:t>
            </w:r>
          </w:p>
        </w:tc>
        <w:tc>
          <w:tcPr>
            <w:tcW w:w="801"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45,531,48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9.43</w:t>
            </w:r>
          </w:p>
        </w:tc>
        <w:tc>
          <w:tcPr>
            <w:tcW w:w="643" w:type="dxa"/>
            <w:vMerge w:val="restart"/>
            <w:tcBorders>
              <w:top w:val="single" w:sz="4" w:space="0" w:color="000000"/>
              <w:left w:val="single" w:sz="4" w:space="0" w:color="000000"/>
              <w:right w:val="single" w:sz="4" w:space="0" w:color="000000"/>
            </w:tcBorders>
          </w:tcPr>
          <w:p>
            <w:pPr>
              <w:pStyle w:val="TableParagraph"/>
              <w:spacing w:line="240" w:lineRule="auto" w:before="92"/>
              <w:ind w:left="69" w:right="0"/>
              <w:jc w:val="left"/>
              <w:rPr>
                <w:rFonts w:ascii="Times New Roman" w:hAnsi="Times New Roman" w:cs="Times New Roman" w:eastAsia="Times New Roman" w:hint="default"/>
                <w:sz w:val="18"/>
                <w:szCs w:val="18"/>
              </w:rPr>
            </w:pPr>
            <w:r>
              <w:rPr>
                <w:rFonts w:ascii="Times New Roman"/>
                <w:sz w:val="18"/>
              </w:rPr>
              <w:t>51,677,</w:t>
            </w:r>
          </w:p>
          <w:p>
            <w:pPr>
              <w:pStyle w:val="TableParagraph"/>
              <w:spacing w:line="240" w:lineRule="auto" w:before="105"/>
              <w:ind w:left="114" w:right="0"/>
              <w:jc w:val="left"/>
              <w:rPr>
                <w:rFonts w:ascii="Times New Roman" w:hAnsi="Times New Roman" w:cs="Times New Roman" w:eastAsia="Times New Roman" w:hint="default"/>
                <w:sz w:val="18"/>
                <w:szCs w:val="18"/>
              </w:rPr>
            </w:pPr>
            <w:r>
              <w:rPr>
                <w:rFonts w:ascii="Times New Roman"/>
                <w:sz w:val="18"/>
              </w:rPr>
              <w:t>759.45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2"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7,907,034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15.30%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43,770,725.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08</w:t>
            </w:r>
          </w:p>
        </w:tc>
      </w:tr>
      <w:tr>
        <w:trPr>
          <w:trHeight w:val="392" w:hRule="exact"/>
        </w:trPr>
        <w:tc>
          <w:tcPr>
            <w:tcW w:w="16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vMerge/>
            <w:tcBorders>
              <w:left w:val="single" w:sz="9" w:space="0" w:color="D3D3D3"/>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01" w:type="dxa"/>
            <w:vMerge/>
            <w:tcBorders>
              <w:left w:val="single" w:sz="4" w:space="0" w:color="000000"/>
              <w:right w:val="single" w:sz="4" w:space="0" w:color="000000"/>
            </w:tcBorders>
          </w:tcPr>
          <w:p>
            <w:pPr/>
          </w:p>
        </w:tc>
        <w:tc>
          <w:tcPr>
            <w:tcW w:w="643"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4" w:type="dxa"/>
            <w:vMerge/>
            <w:tcBorders>
              <w:left w:val="single" w:sz="9" w:space="0" w:color="D3D3D3"/>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01"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pStyle w:val="BodyText"/>
        <w:spacing w:line="240" w:lineRule="auto" w:before="51"/>
        <w:ind w:right="-20"/>
        <w:jc w:val="left"/>
      </w:pPr>
      <w:r>
        <w:rPr/>
        <w:t>期末单项金额重大并单项计提坏账准备的其他应收款：</w:t>
      </w:r>
    </w:p>
    <w:p>
      <w:pPr>
        <w:pStyle w:val="BodyText"/>
        <w:spacing w:line="340" w:lineRule="auto" w:before="116"/>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475" w:space="4354"/>
            <w:col w:w="1121"/>
          </w:cols>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2"/>
        <w:gridCol w:w="2392"/>
      </w:tblGrid>
      <w:tr>
        <w:trPr>
          <w:trHeight w:val="207" w:hRule="exact"/>
        </w:trPr>
        <w:tc>
          <w:tcPr>
            <w:tcW w:w="2374" w:type="dxa"/>
            <w:tcBorders>
              <w:top w:val="single" w:sz="4" w:space="0" w:color="000000"/>
              <w:left w:val="single" w:sz="4" w:space="0" w:color="000000"/>
              <w:bottom w:val="nil" w:sz="6" w:space="0" w:color="auto"/>
              <w:right w:val="single" w:sz="4" w:space="0" w:color="000000"/>
            </w:tcBorders>
            <w:shd w:val="clear" w:color="auto" w:fill="D3D3D3"/>
          </w:tcPr>
          <w:p>
            <w:pPr/>
          </w:p>
        </w:tc>
        <w:tc>
          <w:tcPr>
            <w:tcW w:w="718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5" w:hRule="exact"/>
        </w:trPr>
        <w:tc>
          <w:tcPr>
            <w:tcW w:w="237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3D3D3"/>
          </w:tcPr>
          <w:p>
            <w:pPr/>
          </w:p>
        </w:tc>
      </w:tr>
      <w:tr>
        <w:trPr>
          <w:trHeight w:val="195" w:hRule="exact"/>
        </w:trPr>
        <w:tc>
          <w:tcPr>
            <w:tcW w:w="2374" w:type="dxa"/>
            <w:vMerge/>
            <w:tcBorders>
              <w:left w:val="single" w:sz="4" w:space="0" w:color="000000"/>
              <w:bottom w:val="nil" w:sz="6" w:space="0" w:color="auto"/>
              <w:right w:val="single" w:sz="4" w:space="0" w:color="000000"/>
            </w:tcBorders>
            <w:shd w:val="clear" w:color="auto" w:fill="D3D3D3"/>
          </w:tcPr>
          <w:p>
            <w:pPr/>
          </w:p>
        </w:tc>
        <w:tc>
          <w:tcPr>
            <w:tcW w:w="23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7" w:hRule="exact"/>
        </w:trPr>
        <w:tc>
          <w:tcPr>
            <w:tcW w:w="2374"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9"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5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24,661,968.86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1,233,098.45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17,772,061.75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1,777,206.16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7,634,704.28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1,526,940.85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5,585,036.53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5,585,036.53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55,653,771.42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10,122,281.99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18.19%</w:t>
            </w:r>
          </w:p>
        </w:tc>
      </w:tr>
    </w:tbl>
    <w:p>
      <w:pPr>
        <w:pStyle w:val="BodyText"/>
        <w:spacing w:line="357" w:lineRule="auto" w:before="51"/>
        <w:ind w:left="153" w:right="7791"/>
        <w:jc w:val="left"/>
      </w:pPr>
      <w:r>
        <w:rPr/>
        <w:t>确定该组合依据的说明： 无。</w:t>
      </w:r>
    </w:p>
    <w:p>
      <w:pPr>
        <w:pStyle w:val="BodyText"/>
        <w:spacing w:line="240" w:lineRule="auto" w:before="29"/>
        <w:ind w:left="153" w:right="1258"/>
        <w:jc w:val="left"/>
      </w:pPr>
      <w:r>
        <w:rPr/>
        <w:t>组合中，采用余额百分比法计提坏账准备的其他应收款：</w:t>
      </w:r>
    </w:p>
    <w:p>
      <w:pPr>
        <w:pStyle w:val="BodyText"/>
        <w:spacing w:line="338" w:lineRule="auto" w:before="117"/>
        <w:ind w:right="56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258"/>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980" w:right="980"/>
        </w:sectPr>
      </w:pPr>
    </w:p>
    <w:p>
      <w:pPr>
        <w:pStyle w:val="BodyText"/>
        <w:spacing w:line="340" w:lineRule="auto" w:before="44"/>
        <w:ind w:right="-19"/>
        <w:jc w:val="left"/>
      </w:pPr>
      <w:r>
        <w:rPr/>
        <w:t>本期计提坏账准备金额</w:t>
      </w:r>
      <w:r>
        <w:rPr>
          <w:spacing w:val="-46"/>
        </w:rPr>
        <w:t> </w:t>
      </w:r>
      <w:r>
        <w:rPr>
          <w:rFonts w:ascii="Times New Roman" w:hAnsi="Times New Roman" w:cs="Times New Roman" w:eastAsia="Times New Roman" w:hint="default"/>
        </w:rPr>
        <w:t>2,215,247.62</w:t>
      </w:r>
      <w:r>
        <w:rPr>
          <w:rFonts w:ascii="Times New Roman" w:hAnsi="Times New Roman" w:cs="Times New Roman" w:eastAsia="Times New Roman" w:hint="default"/>
          <w:spacing w:val="-1"/>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6049" w:space="2779"/>
            <w:col w:w="1122"/>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59"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8"/>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3d3d3">
                <v:path arrowok="t"/>
              </v:shape>
            </v:group>
            <v:group style="position:absolute;left:37;top:14;width:4725;height:393" coordorigin="37,14" coordsize="4725,393">
              <v:shape style="position:absolute;left:37;top:14;width:4725;height:393" coordorigin="37,14" coordsize="4725,393" path="m37,407l4762,407,4762,14,37,14,37,407xe" filled="true" fillcolor="#d3d3d3"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2pt" strokecolor="#d3d3d3">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d3d3d3">
                <v:path arrowok="t"/>
              </v:shape>
            </v:group>
            <v:group style="position:absolute;left:4818;top:14;width:4732;height:393" coordorigin="4818,14" coordsize="4732,393">
              <v:shape style="position:absolute;left:4818;top:14;width:4732;height:393" coordorigin="4818,14" coordsize="4732,393" path="m4818,407l9550,407,9550,14,4818,14,4818,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0;height:2" coordorigin="5,412" coordsize="4780,2">
              <v:shape style="position:absolute;left:5;top:412;width:4780;height:2" coordorigin="5,412" coordsize="4780,0" path="m5,412l4784,412e" filled="false" stroked="true" strokeweight=".48001pt" strokecolor="#000000">
                <v:path arrowok="t"/>
              </v:shape>
            </v:group>
            <v:group style="position:absolute;left:4789;top:14;width:2;height:402" coordorigin="4789,14" coordsize="2,402">
              <v:shape style="position:absolute;left:4789;top:14;width:2;height:402" coordorigin="4789,14" coordsize="0,402" path="m4789,14l4789,416e" filled="false" stroked="true" strokeweight=".48001pt" strokecolor="#000000">
                <v:path arrowok="t"/>
              </v:shape>
            </v:group>
            <v:group style="position:absolute;left:4794;top:412;width:4779;height:2" coordorigin="4794,412" coordsize="4779,2">
              <v:shape style="position:absolute;left:4794;top:412;width:4779;height:2" coordorigin="4794,412" coordsize="4779,0" path="m4794,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19;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89;top:10;width:4788;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1258"/>
        <w:jc w:val="left"/>
      </w:pPr>
      <w:r>
        <w:rPr/>
        <w:t>其中重要的其他应收款核销情况：</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2"/>
        <w:ind w:right="1258"/>
        <w:jc w:val="left"/>
      </w:pPr>
      <w:r>
        <w:rPr/>
        <w:t>其他应收款核销说明：</w:t>
      </w:r>
    </w:p>
    <w:p>
      <w:pPr>
        <w:spacing w:line="240" w:lineRule="auto" w:before="10"/>
        <w:rPr>
          <w:rFonts w:ascii="宋体" w:hAnsi="宋体" w:cs="宋体" w:eastAsia="宋体" w:hint="default"/>
          <w:sz w:val="26"/>
          <w:szCs w:val="26"/>
        </w:rPr>
      </w:pPr>
    </w:p>
    <w:p>
      <w:pPr>
        <w:pStyle w:val="Heading3"/>
        <w:spacing w:line="240" w:lineRule="auto"/>
        <w:ind w:right="1258"/>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39,538,336.83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37,335,346.08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11,476,159.72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9,852,900.97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1,392,234.56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1,622,064.03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3,247,040.31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2,867,448.37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55,653,771.42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51,677,759.45</w:t>
            </w: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郑州市金水区杨金 产业园区管委会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马鞍山市国库集中 支付中心往来资金 户</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福建省闽江监狱</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1,793,880.00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358,776.00</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信阳市建筑节能与 墙体材料革新办公 室</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1,787,196.00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178,719.60</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德化县会计核算中 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1,425,329.42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348,140.62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1,077,188.80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125,125.91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11,881,405.42</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1,537,621.51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3"/>
        <w:spacing w:line="240" w:lineRule="auto"/>
        <w:ind w:right="1258"/>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258"/>
        <w:jc w:val="left"/>
      </w:pPr>
      <w:r>
        <w:rPr/>
        <w:t>注：公司未能在预计时点收到预计金额的政府补助，应说明原因。</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58"/>
        <w:jc w:val="left"/>
      </w:pPr>
      <w:r>
        <w:rPr/>
        <w:t>注：说明金融资产转移的方式、终止确认的其他应收款金额，及与终止确认相关的利得或损失。</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58"/>
        <w:jc w:val="left"/>
      </w:pPr>
      <w:r>
        <w:rPr/>
        <w:t>注：说明金融资产转移的方式、分项列示继续涉入形成的资产、负债的金额。</w:t>
      </w:r>
    </w:p>
    <w:p>
      <w:pPr>
        <w:spacing w:line="240" w:lineRule="auto" w:before="10"/>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6531"/>
        <w:jc w:val="left"/>
      </w:pPr>
      <w:r>
        <w:rPr/>
        <w:t>公司是否需要遵守房地产行业的披露要求 参照披露</w:t>
      </w:r>
    </w:p>
    <w:p>
      <w:pPr>
        <w:spacing w:line="240" w:lineRule="auto" w:before="1"/>
        <w:rPr>
          <w:rFonts w:ascii="宋体" w:hAnsi="宋体" w:cs="宋体" w:eastAsia="宋体" w:hint="default"/>
          <w:sz w:val="20"/>
          <w:szCs w:val="20"/>
        </w:rPr>
      </w:pPr>
    </w:p>
    <w:p>
      <w:pPr>
        <w:pStyle w:val="Heading3"/>
        <w:spacing w:line="240" w:lineRule="auto"/>
        <w:ind w:right="1258"/>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980" w:right="980"/>
        </w:sectPr>
      </w:pPr>
    </w:p>
    <w:p>
      <w:pPr>
        <w:pStyle w:val="BodyText"/>
        <w:spacing w:line="338" w:lineRule="auto" w:before="44"/>
        <w:ind w:right="-18"/>
        <w:jc w:val="left"/>
      </w:pPr>
      <w:r>
        <w:rPr/>
        <w:t>公司需遵守《深圳证券交易所行业信息披露指引第</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上市公司从事房地产业务》的披露要求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7715" w:space="111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5" w:hRule="exact"/>
        </w:trPr>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410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36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3D3D3"/>
          </w:tcPr>
          <w:p>
            <w:pPr/>
          </w:p>
        </w:tc>
        <w:tc>
          <w:tcPr>
            <w:tcW w:w="4102" w:type="dxa"/>
            <w:gridSpan w:val="3"/>
            <w:vMerge/>
            <w:tcBorders>
              <w:left w:val="single" w:sz="4" w:space="0" w:color="000000"/>
              <w:bottom w:val="single" w:sz="4" w:space="0" w:color="000000"/>
              <w:right w:val="single" w:sz="4" w:space="0" w:color="000000"/>
            </w:tcBorders>
            <w:shd w:val="clear" w:color="auto" w:fill="D3D3D3"/>
          </w:tcPr>
          <w:p>
            <w:pPr/>
          </w:p>
        </w:tc>
      </w:tr>
      <w:tr>
        <w:trPr>
          <w:trHeight w:val="195" w:hRule="exact"/>
        </w:trPr>
        <w:tc>
          <w:tcPr>
            <w:tcW w:w="1368" w:type="dxa"/>
            <w:vMerge/>
            <w:tcBorders>
              <w:left w:val="single" w:sz="4" w:space="0" w:color="000000"/>
              <w:bottom w:val="nil" w:sz="6" w:space="0" w:color="auto"/>
              <w:right w:val="single" w:sz="4" w:space="0" w:color="000000"/>
            </w:tcBorders>
            <w:shd w:val="clear" w:color="auto" w:fill="D3D3D3"/>
          </w:tcPr>
          <w:p>
            <w:pP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7" w:hRule="exact"/>
        </w:trPr>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3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422,935,100.28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422,935,100.28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393,705,127.28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393,705,127.28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3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85,921,206.23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85,921,206.23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110,348,985.85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110,348,985.85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18,660,402.57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520,873.05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18,139,529.52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18,244,469.98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589,193.05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17,655,276.93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162,308,383.56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544,695.02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161,763,688.54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198,187,442.77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198,187,442.77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83,556,956.80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83,556,956.80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37,912,530.95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37,912,530.95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773,382,049.44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1,065,568.07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772,316,481.37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758,398,556.83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589,193.05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757,809,363.78</w:t>
            </w:r>
          </w:p>
        </w:tc>
      </w:tr>
    </w:tbl>
    <w:p>
      <w:pPr>
        <w:pStyle w:val="BodyText"/>
        <w:spacing w:line="240" w:lineRule="auto" w:before="51"/>
        <w:ind w:right="1258"/>
        <w:jc w:val="left"/>
      </w:pPr>
      <w:r>
        <w:rPr/>
        <w:t>按下列格式披露</w:t>
      </w:r>
      <w:r>
        <w:rPr>
          <w:rFonts w:ascii="Times New Roman" w:hAnsi="Times New Roman" w:cs="Times New Roman" w:eastAsia="Times New Roman" w:hint="default"/>
        </w:rPr>
        <w:t>“</w:t>
      </w:r>
      <w:r>
        <w:rPr/>
        <w:t>开发成本</w:t>
      </w:r>
      <w:r>
        <w:rPr>
          <w:rFonts w:ascii="Times New Roman" w:hAnsi="Times New Roman" w:cs="Times New Roman" w:eastAsia="Times New Roman" w:hint="default"/>
        </w:rPr>
        <w:t>”</w:t>
      </w:r>
      <w:r>
        <w:rPr/>
        <w:t>主要项目及其利息资本化情况：</w:t>
      </w:r>
    </w:p>
    <w:p>
      <w:pPr>
        <w:pStyle w:val="BodyText"/>
        <w:spacing w:line="240" w:lineRule="auto" w:before="103"/>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7"/>
        <w:gridCol w:w="798"/>
        <w:gridCol w:w="798"/>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开工时间</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预计竣工 时间</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03" w:right="31" w:hanging="270"/>
              <w:jc w:val="left"/>
              <w:rPr>
                <w:rFonts w:ascii="宋体" w:hAnsi="宋体" w:cs="宋体" w:eastAsia="宋体" w:hint="default"/>
                <w:sz w:val="18"/>
                <w:szCs w:val="18"/>
              </w:rPr>
            </w:pPr>
            <w:r>
              <w:rPr>
                <w:rFonts w:ascii="宋体" w:hAnsi="宋体" w:cs="宋体" w:eastAsia="宋体" w:hint="default"/>
                <w:sz w:val="18"/>
                <w:szCs w:val="18"/>
              </w:rPr>
              <w:t>预计总投 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本期转入 开发产品</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本期其他 减少金额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3" w:right="32"/>
              <w:jc w:val="center"/>
              <w:rPr>
                <w:rFonts w:ascii="宋体" w:hAnsi="宋体" w:cs="宋体" w:eastAsia="宋体" w:hint="default"/>
                <w:sz w:val="18"/>
                <w:szCs w:val="18"/>
              </w:rPr>
            </w:pPr>
            <w:r>
              <w:rPr>
                <w:rFonts w:ascii="宋体" w:hAnsi="宋体" w:cs="宋体" w:eastAsia="宋体" w:hint="default"/>
                <w:sz w:val="18"/>
                <w:szCs w:val="18"/>
              </w:rPr>
              <w:t>本期（开 发成本） 增加</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3" w:right="32"/>
              <w:jc w:val="center"/>
              <w:rPr>
                <w:rFonts w:ascii="宋体" w:hAnsi="宋体" w:cs="宋体" w:eastAsia="宋体" w:hint="default"/>
                <w:sz w:val="18"/>
                <w:szCs w:val="18"/>
              </w:rPr>
            </w:pPr>
            <w:r>
              <w:rPr>
                <w:rFonts w:ascii="宋体" w:hAnsi="宋体" w:cs="宋体" w:eastAsia="宋体" w:hint="default"/>
                <w:sz w:val="18"/>
                <w:szCs w:val="18"/>
              </w:rPr>
              <w:t>利息资本 化累计金 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其中：本 期利息资 本化金额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both"/>
              <w:rPr>
                <w:rFonts w:ascii="宋体" w:hAnsi="宋体" w:cs="宋体" w:eastAsia="宋体" w:hint="default"/>
                <w:sz w:val="18"/>
                <w:szCs w:val="18"/>
              </w:rPr>
            </w:pPr>
            <w:r>
              <w:rPr>
                <w:rFonts w:ascii="宋体" w:hAnsi="宋体" w:cs="宋体" w:eastAsia="宋体" w:hint="default"/>
                <w:sz w:val="18"/>
                <w:szCs w:val="18"/>
              </w:rPr>
              <w:t>马鞍山智 慧园项目 二、三期 工程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17,890,28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1,466,884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16,423,39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both"/>
              <w:rPr>
                <w:rFonts w:ascii="宋体" w:hAnsi="宋体" w:cs="宋体" w:eastAsia="宋体" w:hint="default"/>
                <w:sz w:val="18"/>
                <w:szCs w:val="18"/>
              </w:rPr>
            </w:pPr>
            <w:r>
              <w:rPr>
                <w:rFonts w:ascii="宋体" w:hAnsi="宋体" w:cs="宋体" w:eastAsia="宋体" w:hint="default"/>
                <w:sz w:val="18"/>
                <w:szCs w:val="18"/>
              </w:rPr>
              <w:t>信阳榕基 软件园项 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196,331,4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86.94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23,382,33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219,713,8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19.45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both"/>
              <w:rPr>
                <w:rFonts w:ascii="宋体" w:hAnsi="宋体" w:cs="宋体" w:eastAsia="宋体" w:hint="default"/>
                <w:sz w:val="18"/>
                <w:szCs w:val="18"/>
              </w:rPr>
            </w:pPr>
            <w:r>
              <w:rPr>
                <w:rFonts w:ascii="宋体" w:hAnsi="宋体" w:cs="宋体" w:eastAsia="宋体" w:hint="default"/>
                <w:sz w:val="18"/>
                <w:szCs w:val="18"/>
              </w:rPr>
              <w:t>郑州市金 水区科教 新城项目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179,483,3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60.30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7,314,524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186,797,8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84.97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393,705,1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27.28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1,466,884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30,696,85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422,935,1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00.28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258"/>
        <w:jc w:val="left"/>
      </w:pPr>
      <w:r>
        <w:rPr/>
        <w:t>按下列格式项目披露</w:t>
      </w:r>
      <w:r>
        <w:rPr>
          <w:rFonts w:ascii="Times New Roman" w:hAnsi="Times New Roman" w:cs="Times New Roman" w:eastAsia="Times New Roman" w:hint="default"/>
        </w:rPr>
        <w:t>“</w:t>
      </w:r>
      <w:r>
        <w:rPr/>
        <w:t>开发产品</w:t>
      </w:r>
      <w:r>
        <w:rPr>
          <w:rFonts w:ascii="Times New Roman" w:hAnsi="Times New Roman" w:cs="Times New Roman" w:eastAsia="Times New Roman" w:hint="default"/>
        </w:rPr>
        <w:t>”</w:t>
      </w:r>
      <w:r>
        <w:rPr/>
        <w:t>主要项目信息：</w:t>
      </w:r>
    </w:p>
    <w:p>
      <w:pPr>
        <w:spacing w:after="0" w:line="240" w:lineRule="auto"/>
        <w:jc w:val="left"/>
        <w:sectPr>
          <w:type w:val="continuous"/>
          <w:pgSz w:w="11910" w:h="16840"/>
          <w:pgMar w:top="1060" w:bottom="1180" w:left="980" w:right="980"/>
        </w:sectPr>
      </w:pPr>
    </w:p>
    <w:p>
      <w:pPr>
        <w:spacing w:line="240" w:lineRule="auto" w:before="13"/>
        <w:rPr>
          <w:rFonts w:ascii="宋体" w:hAnsi="宋体" w:cs="宋体" w:eastAsia="宋体" w:hint="default"/>
          <w:sz w:val="21"/>
          <w:szCs w:val="21"/>
        </w:rPr>
      </w:pPr>
    </w:p>
    <w:p>
      <w:pPr>
        <w:pStyle w:val="BodyText"/>
        <w:spacing w:line="240" w:lineRule="auto" w:before="44"/>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40"/>
        <w:gridCol w:w="937"/>
        <w:gridCol w:w="1144"/>
        <w:gridCol w:w="1170"/>
        <w:gridCol w:w="1169"/>
        <w:gridCol w:w="1403"/>
        <w:gridCol w:w="1403"/>
        <w:gridCol w:w="1403"/>
      </w:tblGrid>
      <w:tr>
        <w:trPr>
          <w:trHeight w:val="714" w:hRule="exact"/>
        </w:trPr>
        <w:tc>
          <w:tcPr>
            <w:tcW w:w="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竣工时间</w:t>
            </w:r>
          </w:p>
        </w:tc>
        <w:tc>
          <w:tcPr>
            <w:tcW w:w="1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16" w:right="65" w:hanging="450"/>
              <w:jc w:val="left"/>
              <w:rPr>
                <w:rFonts w:ascii="宋体" w:hAnsi="宋体" w:cs="宋体" w:eastAsia="宋体" w:hint="default"/>
                <w:sz w:val="18"/>
                <w:szCs w:val="18"/>
              </w:rPr>
            </w:pPr>
            <w:r>
              <w:rPr>
                <w:rFonts w:ascii="宋体" w:hAnsi="宋体" w:cs="宋体" w:eastAsia="宋体" w:hint="default"/>
                <w:sz w:val="18"/>
                <w:szCs w:val="18"/>
              </w:rPr>
              <w:t>利息资本化累计 金额</w:t>
            </w:r>
          </w:p>
        </w:tc>
        <w:tc>
          <w:tcPr>
            <w:tcW w:w="1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45" w:right="65" w:hanging="180"/>
              <w:jc w:val="left"/>
              <w:rPr>
                <w:rFonts w:ascii="宋体" w:hAnsi="宋体" w:cs="宋体" w:eastAsia="宋体" w:hint="default"/>
                <w:sz w:val="18"/>
                <w:szCs w:val="18"/>
              </w:rPr>
            </w:pPr>
            <w:r>
              <w:rPr>
                <w:rFonts w:ascii="宋体" w:hAnsi="宋体" w:cs="宋体" w:eastAsia="宋体" w:hint="default"/>
                <w:sz w:val="18"/>
                <w:szCs w:val="18"/>
              </w:rPr>
              <w:t>其中：本期利息 资本化金额</w:t>
            </w:r>
          </w:p>
        </w:tc>
      </w:tr>
      <w:tr>
        <w:trPr>
          <w:trHeight w:val="1026" w:hRule="exact"/>
        </w:trPr>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5"/>
              <w:jc w:val="both"/>
              <w:rPr>
                <w:rFonts w:ascii="宋体" w:hAnsi="宋体" w:cs="宋体" w:eastAsia="宋体" w:hint="default"/>
                <w:sz w:val="18"/>
                <w:szCs w:val="18"/>
              </w:rPr>
            </w:pPr>
            <w:r>
              <w:rPr>
                <w:rFonts w:ascii="宋体" w:hAnsi="宋体" w:cs="宋体" w:eastAsia="宋体" w:hint="default"/>
                <w:sz w:val="18"/>
                <w:szCs w:val="18"/>
              </w:rPr>
              <w:t>马鞍山智 慧园项目 一期工程</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110,348,985.8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-887,555.85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23,540,223.77</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85,921,206.23</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110,348,985.8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-887,555.85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23,540,223.77</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85,921,206.23</w:t>
            </w:r>
          </w:p>
        </w:tc>
        <w:tc>
          <w:tcPr>
            <w:tcW w:w="1403" w:type="dxa"/>
            <w:tcBorders>
              <w:top w:val="single" w:sz="4" w:space="0" w:color="000000"/>
              <w:left w:val="single" w:sz="4" w:space="0" w:color="000000"/>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258"/>
        <w:jc w:val="left"/>
      </w:pPr>
      <w:r>
        <w:rPr/>
        <w:t>按下列格式分项目披露</w:t>
      </w:r>
      <w:r>
        <w:rPr>
          <w:rFonts w:ascii="Times New Roman" w:hAnsi="Times New Roman" w:cs="Times New Roman" w:eastAsia="Times New Roman" w:hint="default"/>
        </w:rPr>
        <w:t>“</w:t>
      </w:r>
      <w:r>
        <w:rPr/>
        <w:t>分期收款开发产品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出租开发产品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周转房</w:t>
      </w:r>
      <w:r>
        <w:rPr>
          <w:rFonts w:ascii="Times New Roman" w:hAnsi="Times New Roman" w:cs="Times New Roman" w:eastAsia="Times New Roman" w:hint="default"/>
        </w:rPr>
        <w:t>”</w:t>
      </w:r>
      <w:r>
        <w:rPr/>
        <w:t>：</w:t>
      </w:r>
    </w:p>
    <w:p>
      <w:pPr>
        <w:pStyle w:val="BodyText"/>
        <w:spacing w:line="240" w:lineRule="auto" w:before="102"/>
        <w:ind w:left="0" w:right="149"/>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30"/>
        <w:gridCol w:w="1782"/>
        <w:gridCol w:w="2154"/>
        <w:gridCol w:w="1655"/>
        <w:gridCol w:w="26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1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6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980" w:right="980"/>
        </w:sectPr>
      </w:pPr>
    </w:p>
    <w:p>
      <w:pPr>
        <w:pStyle w:val="BodyText"/>
        <w:spacing w:line="357" w:lineRule="auto" w:before="44"/>
        <w:ind w:left="153" w:right="-19"/>
        <w:jc w:val="left"/>
      </w:pPr>
      <w:r>
        <w:rPr/>
        <w:t>按下列格式披露存货跌价准备金计提情况：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3575" w:space="525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3"/>
        <w:gridCol w:w="898"/>
        <w:gridCol w:w="1196"/>
        <w:gridCol w:w="1063"/>
        <w:gridCol w:w="1327"/>
        <w:gridCol w:w="1463"/>
        <w:gridCol w:w="1195"/>
        <w:gridCol w:w="1062"/>
      </w:tblGrid>
      <w:tr>
        <w:trPr>
          <w:trHeight w:val="402" w:hRule="exact"/>
        </w:trPr>
        <w:tc>
          <w:tcPr>
            <w:tcW w:w="13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6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363" w:type="dxa"/>
            <w:vMerge/>
            <w:tcBorders>
              <w:left w:val="single" w:sz="4" w:space="0" w:color="000000"/>
              <w:bottom w:val="single" w:sz="4" w:space="0" w:color="000000"/>
              <w:right w:val="single" w:sz="4" w:space="0" w:color="000000"/>
            </w:tcBorders>
            <w:shd w:val="clear" w:color="auto" w:fill="D3D3D3"/>
          </w:tcPr>
          <w:p>
            <w:pPr/>
          </w:p>
        </w:tc>
        <w:tc>
          <w:tcPr>
            <w:tcW w:w="898"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589,193.05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2" w:right="0"/>
              <w:jc w:val="left"/>
              <w:rPr>
                <w:rFonts w:ascii="Times New Roman" w:hAnsi="Times New Roman" w:cs="Times New Roman" w:eastAsia="Times New Roman" w:hint="default"/>
                <w:sz w:val="18"/>
                <w:szCs w:val="18"/>
              </w:rPr>
            </w:pPr>
            <w:r>
              <w:rPr>
                <w:rFonts w:ascii="Times New Roman"/>
                <w:sz w:val="18"/>
              </w:rPr>
              <w:t>-68,320.00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46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520,873.05</w:t>
            </w: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8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544,695.02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46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544,695.02</w:t>
            </w: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589,193.05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476,375.02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46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1,065,568.07</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258"/>
        <w:jc w:val="left"/>
      </w:pPr>
      <w:r>
        <w:rPr/>
        <w:t>按主要项目分类：</w:t>
      </w:r>
    </w:p>
    <w:p>
      <w:pPr>
        <w:pStyle w:val="BodyText"/>
        <w:spacing w:line="240" w:lineRule="auto" w:before="117"/>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3"/>
        <w:gridCol w:w="898"/>
        <w:gridCol w:w="1196"/>
        <w:gridCol w:w="1063"/>
        <w:gridCol w:w="1327"/>
        <w:gridCol w:w="1463"/>
        <w:gridCol w:w="1195"/>
        <w:gridCol w:w="1062"/>
      </w:tblGrid>
      <w:tr>
        <w:trPr>
          <w:trHeight w:val="401" w:hRule="exact"/>
        </w:trPr>
        <w:tc>
          <w:tcPr>
            <w:tcW w:w="13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8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6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4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363" w:type="dxa"/>
            <w:vMerge/>
            <w:tcBorders>
              <w:left w:val="single" w:sz="4" w:space="0" w:color="000000"/>
              <w:bottom w:val="single" w:sz="4" w:space="0" w:color="000000"/>
              <w:right w:val="single" w:sz="4" w:space="0" w:color="000000"/>
            </w:tcBorders>
            <w:shd w:val="clear" w:color="auto" w:fill="D3D3D3"/>
          </w:tcPr>
          <w:p>
            <w:pPr/>
          </w:p>
        </w:tc>
        <w:tc>
          <w:tcPr>
            <w:tcW w:w="898"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r>
    </w:tbl>
    <w:p>
      <w:pPr>
        <w:spacing w:line="240" w:lineRule="auto" w:before="3"/>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3</w:t>
      </w:r>
      <w:r>
        <w:rPr/>
        <w:t>）存货期末余额中利息资本化率的情况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258"/>
        <w:jc w:val="left"/>
        <w:rPr>
          <w:b w:val="0"/>
          <w:bCs w:val="0"/>
        </w:rPr>
      </w:pPr>
      <w:r>
        <w:rPr/>
        <w:t>（</w:t>
      </w:r>
      <w:r>
        <w:rPr>
          <w:rFonts w:ascii="Times New Roman" w:hAnsi="Times New Roman" w:cs="Times New Roman" w:eastAsia="Times New Roman" w:hint="default"/>
        </w:rPr>
        <w:t>4</w:t>
      </w:r>
      <w:r>
        <w:rPr/>
        <w:t>）存货受限情况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258"/>
        <w:jc w:val="left"/>
      </w:pPr>
      <w:r>
        <w:rPr/>
        <w:t>按项目披露受限存货情况：</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38"/>
        <w:gridCol w:w="1820"/>
        <w:gridCol w:w="2506"/>
        <w:gridCol w:w="2503"/>
      </w:tblGrid>
      <w:tr>
        <w:trPr>
          <w:trHeight w:val="764" w:hRule="exact"/>
        </w:trPr>
        <w:tc>
          <w:tcPr>
            <w:tcW w:w="2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5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spacing w:line="240" w:lineRule="auto" w:before="3"/>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5</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type w:val="continuous"/>
          <w:pgSz w:w="11910" w:h="16840"/>
          <w:pgMar w:top="1060" w:bottom="1180" w:left="980" w:right="980"/>
        </w:sectPr>
      </w:pPr>
    </w:p>
    <w:p>
      <w:pPr>
        <w:spacing w:line="240" w:lineRule="auto" w:before="2"/>
        <w:rPr>
          <w:rFonts w:ascii="宋体" w:hAnsi="宋体" w:cs="宋体" w:eastAsia="宋体" w:hint="default"/>
          <w:sz w:val="24"/>
          <w:szCs w:val="24"/>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4776;top:14;width:2;height:393" coordorigin="4776,14" coordsize="2,393">
              <v:shape style="position:absolute;left:4776;top:14;width:2;height:393" coordorigin="4776,14" coordsize="0,393" path="m4776,14l4776,407e" filled="false" stroked="true" strokeweight="1.2pt" strokecolor="#d3d3d3">
                <v:path arrowok="t"/>
              </v:shape>
            </v:group>
            <v:group style="position:absolute;left:37;top:14;width:4727;height:393" coordorigin="37,14" coordsize="4727,393">
              <v:shape style="position:absolute;left:37;top:14;width:4727;height:393" coordorigin="37,14" coordsize="4727,393" path="m37,407l4764,407,4764,14,37,14,37,407xe" filled="true" fillcolor="#d3d3d3" stroked="false">
                <v:path arrowok="t"/>
                <v:fill type="solid"/>
              </v:shape>
            </v:group>
            <v:group style="position:absolute;left:4809;top:14;width:2;height:393" coordorigin="4809,14" coordsize="2,393">
              <v:shape style="position:absolute;left:4809;top:14;width:2;height:393" coordorigin="4809,14" coordsize="0,393" path="m4809,14l4809,407e" filled="false" stroked="true" strokeweight="1.140pt" strokecolor="#d3d3d3">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d3d3d3">
                <v:path arrowok="t"/>
              </v:shape>
            </v:group>
            <v:group style="position:absolute;left:4820;top:14;width:4730;height:393" coordorigin="4820,14" coordsize="4730,393">
              <v:shape style="position:absolute;left:4820;top:14;width:4730;height:393" coordorigin="4820,14" coordsize="4730,393" path="m4820,407l9550,407,9550,14,4820,14,4820,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4;height:2" coordorigin="5,412" coordsize="4784,2">
              <v:shape style="position:absolute;left:5;top:412;width:4784;height:2" coordorigin="5,412" coordsize="4784,0" path="m5,412l4788,412e" filled="false" stroked="true" strokeweight=".47998pt" strokecolor="#000000">
                <v:path arrowok="t"/>
              </v:shape>
            </v:group>
            <v:group style="position:absolute;left:4793;top:14;width:2;height:402" coordorigin="4793,14" coordsize="2,402">
              <v:shape style="position:absolute;left:4793;top:14;width:2;height:402" coordorigin="4793,14" coordsize="0,402" path="m4793,14l4793,416e" filled="false" stroked="true" strokeweight=".48001pt" strokecolor="#000000">
                <v:path arrowok="t"/>
              </v:shape>
            </v:group>
            <v:group style="position:absolute;left:4798;top:412;width:4775;height:2" coordorigin="4798,412" coordsize="4775,2">
              <v:shape style="position:absolute;left:4798;top:412;width:4775;height:2" coordorigin="4798,412" coordsize="4775,0" path="m4798,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20;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4;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1258"/>
        <w:jc w:val="left"/>
      </w:pPr>
      <w:r>
        <w:rPr/>
        <w:t>其他说明：</w:t>
      </w:r>
    </w:p>
    <w:p>
      <w:pPr>
        <w:pStyle w:val="BodyText"/>
        <w:spacing w:line="338" w:lineRule="auto" w:before="117"/>
        <w:ind w:right="1492"/>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spacing w:line="240" w:lineRule="auto" w:before="2"/>
        <w:rPr>
          <w:rFonts w:ascii="宋体" w:hAnsi="宋体" w:cs="宋体" w:eastAsia="宋体" w:hint="default"/>
          <w:sz w:val="21"/>
          <w:szCs w:val="21"/>
        </w:rPr>
      </w:pPr>
    </w:p>
    <w:p>
      <w:pPr>
        <w:pStyle w:val="Heading3"/>
        <w:spacing w:line="240" w:lineRule="auto"/>
        <w:ind w:right="1258"/>
        <w:jc w:val="left"/>
        <w:rPr>
          <w:b w:val="0"/>
          <w:bCs w:val="0"/>
        </w:rPr>
      </w:pPr>
      <w:r>
        <w:rPr>
          <w:rFonts w:ascii="Times New Roman" w:hAnsi="Times New Roman" w:cs="Times New Roman" w:eastAsia="Times New Roman" w:hint="default"/>
        </w:rPr>
        <w:t>11</w:t>
      </w:r>
      <w:r>
        <w:rPr/>
        <w:t>、持有待售的资产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1"/>
        <w:ind w:right="125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125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41,048,194.99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33,246,349.79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待认证进项税额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555,826.19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3,425,259.58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银行短期理财产品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826,604,021.18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239,671,609.37</w:t>
            </w:r>
          </w:p>
        </w:tc>
      </w:tr>
    </w:tbl>
    <w:p>
      <w:pPr>
        <w:pStyle w:val="BodyText"/>
        <w:spacing w:line="240" w:lineRule="auto" w:before="51"/>
        <w:ind w:right="1258"/>
        <w:jc w:val="left"/>
      </w:pPr>
      <w:r>
        <w:rPr/>
        <w:t>其他说明：</w:t>
      </w:r>
    </w:p>
    <w:p>
      <w:pPr>
        <w:pStyle w:val="BodyText"/>
        <w:spacing w:line="302" w:lineRule="auto" w:before="116"/>
        <w:ind w:right="130" w:firstLine="360"/>
        <w:jc w:val="left"/>
      </w:pPr>
      <w:r>
        <w:rPr/>
        <w:t>期末其他流动资产主要系本集团购买的保本浮动收益理财产品及结构性存款，因该产品无活跃市场且期限短于</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spacing w:val="-14"/>
        </w:rPr>
        <w:t>年，故</w:t>
      </w:r>
      <w:r>
        <w:rPr/>
        <w:t> 列示在其他流动资产中。</w:t>
      </w:r>
    </w:p>
    <w:p>
      <w:pPr>
        <w:spacing w:line="240" w:lineRule="auto" w:before="2"/>
        <w:rPr>
          <w:rFonts w:ascii="宋体" w:hAnsi="宋体" w:cs="宋体" w:eastAsia="宋体" w:hint="default"/>
          <w:sz w:val="23"/>
          <w:szCs w:val="23"/>
        </w:rPr>
      </w:pPr>
    </w:p>
    <w:p>
      <w:pPr>
        <w:pStyle w:val="Heading3"/>
        <w:spacing w:line="240" w:lineRule="auto"/>
        <w:ind w:right="1258"/>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258"/>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8"/>
        <w:gridCol w:w="1196"/>
        <w:gridCol w:w="1195"/>
        <w:gridCol w:w="1196"/>
        <w:gridCol w:w="1249"/>
        <w:gridCol w:w="1367"/>
        <w:gridCol w:w="1355"/>
      </w:tblGrid>
      <w:tr>
        <w:trPr>
          <w:trHeight w:val="207" w:hRule="exact"/>
        </w:trPr>
        <w:tc>
          <w:tcPr>
            <w:tcW w:w="1988" w:type="dxa"/>
            <w:tcBorders>
              <w:top w:val="single" w:sz="4" w:space="0" w:color="000000"/>
              <w:left w:val="single" w:sz="4" w:space="0" w:color="000000"/>
              <w:bottom w:val="nil" w:sz="6" w:space="0" w:color="auto"/>
              <w:right w:val="single" w:sz="4" w:space="0" w:color="000000"/>
            </w:tcBorders>
            <w:shd w:val="clear" w:color="auto" w:fill="D3D3D3"/>
          </w:tcPr>
          <w:p>
            <w:pPr/>
          </w:p>
        </w:tc>
        <w:tc>
          <w:tcPr>
            <w:tcW w:w="3587"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1"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5" w:hRule="exact"/>
        </w:trPr>
        <w:tc>
          <w:tcPr>
            <w:tcW w:w="198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3D3D3"/>
          </w:tcPr>
          <w:p>
            <w:pPr/>
          </w:p>
        </w:tc>
        <w:tc>
          <w:tcPr>
            <w:tcW w:w="3971" w:type="dxa"/>
            <w:gridSpan w:val="3"/>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988" w:type="dxa"/>
            <w:vMerge/>
            <w:tcBorders>
              <w:left w:val="single" w:sz="4" w:space="0" w:color="000000"/>
              <w:bottom w:val="nil" w:sz="6" w:space="0" w:color="auto"/>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5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8"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24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5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47,900,000.00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47,900,000.00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43,400,000.00</w:t>
            </w:r>
          </w:p>
        </w:tc>
      </w:tr>
      <w:tr>
        <w:trPr>
          <w:trHeight w:val="402" w:hRule="exact"/>
        </w:trPr>
        <w:tc>
          <w:tcPr>
            <w:tcW w:w="1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47,900,000.00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47,900,000.00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43,400,000.00</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47,900,000.00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47,900,000.00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43,400,000.00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03"/>
        <w:gridCol w:w="1925"/>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25" w:type="dxa"/>
            <w:tcBorders>
              <w:top w:val="single" w:sz="4" w:space="0" w:color="000000"/>
              <w:left w:val="single" w:sz="13" w:space="0" w:color="D3D3D3"/>
              <w:bottom w:val="single" w:sz="4" w:space="0" w:color="000000"/>
              <w:right w:val="single" w:sz="4" w:space="0" w:color="000000"/>
            </w:tcBorders>
            <w:shd w:val="clear" w:color="auto" w:fill="E1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3D3D3"/>
          </w:tcPr>
          <w:p>
            <w:pPr/>
          </w:p>
        </w:tc>
        <w:tc>
          <w:tcPr>
            <w:tcW w:w="870"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厦门国际 银行股份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43,400,000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43,400,000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0.17%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1,914,869.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95</w:t>
            </w: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智润科技 有限公司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3.00%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1,914,869.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95</w:t>
            </w: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03"/>
        <w:gridCol w:w="1925"/>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25" w:type="dxa"/>
            <w:tcBorders>
              <w:top w:val="single" w:sz="4" w:space="0" w:color="000000"/>
              <w:left w:val="single" w:sz="13" w:space="0" w:color="D3D3D3"/>
              <w:bottom w:val="single" w:sz="4" w:space="0" w:color="000000"/>
              <w:right w:val="single" w:sz="4" w:space="0" w:color="000000"/>
            </w:tcBorders>
            <w:shd w:val="clear" w:color="auto" w:fill="E1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151"/>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07"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1"/>
        <w:ind w:right="125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8"/>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5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258"/>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6"/>
        <w:gridCol w:w="1168"/>
        <w:gridCol w:w="1166"/>
        <w:gridCol w:w="1169"/>
        <w:gridCol w:w="1164"/>
        <w:gridCol w:w="1165"/>
      </w:tblGrid>
      <w:tr>
        <w:trPr>
          <w:trHeight w:val="401" w:hRule="exact"/>
        </w:trPr>
        <w:tc>
          <w:tcPr>
            <w:tcW w:w="14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3" w:type="dxa"/>
            <w:vMerge/>
            <w:tcBorders>
              <w:left w:val="single" w:sz="4" w:space="0" w:color="000000"/>
              <w:bottom w:val="single" w:sz="4" w:space="0" w:color="000000"/>
              <w:right w:val="single" w:sz="4" w:space="0" w:color="000000"/>
            </w:tcBorders>
            <w:shd w:val="clear" w:color="auto" w:fill="D3D3D3"/>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3D3D3"/>
          </w:tcPr>
          <w:p>
            <w:pPr/>
          </w:p>
        </w:tc>
      </w:tr>
    </w:tbl>
    <w:p>
      <w:pPr>
        <w:spacing w:line="240" w:lineRule="auto" w:before="3"/>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8"/>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5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福建亿榕 信息技术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59,343,62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2.24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19,755,05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1.21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79,098,67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3.45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福建文鑫 莲业股份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28,157,73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4.57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-115,559.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28,042,17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4.69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1"/>
              <w:jc w:val="left"/>
              <w:rPr>
                <w:rFonts w:ascii="宋体" w:hAnsi="宋体" w:cs="宋体" w:eastAsia="宋体" w:hint="default"/>
                <w:sz w:val="18"/>
                <w:szCs w:val="18"/>
              </w:rPr>
            </w:pPr>
            <w:r>
              <w:rPr>
                <w:rFonts w:ascii="宋体" w:hAnsi="宋体" w:cs="宋体" w:eastAsia="宋体" w:hint="default"/>
                <w:sz w:val="18"/>
                <w:szCs w:val="18"/>
              </w:rPr>
              <w:t>建宁县日 升投资有</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3,552,041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-323,930.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3,228,110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福建闽光 软件股份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3,605,349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711,378.9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4,316,728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94,658,74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8.16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20,026,93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9.61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114,685,6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87.77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94,658,74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8.16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20,026,93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9.61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114,685,6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87.77</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25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258"/>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15,965,481.98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15,965,481.98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23,540,223.77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23,540,223.77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23,540,223.77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23,540,223.77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39,505,705.75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39,505,705.75</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341,075.77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341,075.77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1,115,994.01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1,115,994.01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1,115,994.01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1,115,994.01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00"/>
        <w:gridCol w:w="1928"/>
        <w:gridCol w:w="1914"/>
        <w:gridCol w:w="1914"/>
        <w:gridCol w:w="1914"/>
      </w:tblGrid>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1,457,069.78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1,457,069.78</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38,048,635.97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38,048,635.97</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15,624,406.21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15,624,406.21</w:t>
            </w: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258"/>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马鞍山智慧园项目一期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38,048,635.97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尚在办理中</w:t>
            </w:r>
          </w:p>
        </w:tc>
      </w:tr>
    </w:tbl>
    <w:p>
      <w:pPr>
        <w:pStyle w:val="BodyText"/>
        <w:spacing w:line="240" w:lineRule="auto" w:before="51"/>
        <w:ind w:right="125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258"/>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7,640,161.88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20,374,171.22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64,990,126.03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3,064,090.77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96,068,549.90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5,685,500.88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982,853.63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2,419,310.67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2,367,482.47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11,455,147.65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982,853.63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2,419,310.67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2,367,482.47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5,769,646.77</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5,685,500.88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5,685,500.88</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1,618,563.00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873,802.00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2,492,365.00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1,618,563.00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873,802.00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2,492,365.00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11,707,099.76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20,483,222.85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67,409,436.70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5,431,573.24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105,031,332.55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3,519,426.74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7,882,249.42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47,456,227.42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1,873,804.68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60,731,708.26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700,484.33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1,941,743.79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6,435,115.83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392,402.18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9,469,746.13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700,484.33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1,941,743.79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6,435,115.83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392,402.18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9,469,746.13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1,153,226.16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588,657.58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1,741,883.74</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1,153,226.16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588,657.58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1,741,883.74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3,066,684.91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9,235,335.63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53,891,343.25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2,266,206.86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68,459,570.65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8,640,414.85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11,247,887.22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13,518,093.45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3,165,366.38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36,571,761.90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4,120,735.14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12,491,921.80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17,533,898.61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1,190,286.09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35,336,841.64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7"/>
        <w:rPr>
          <w:rFonts w:ascii="Times New Roman" w:hAnsi="Times New Roman" w:cs="Times New Roman" w:eastAsia="Times New Roman" w:hint="default"/>
          <w:sz w:val="23"/>
          <w:szCs w:val="23"/>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8"/>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3d3d3">
                <v:path arrowok="t"/>
              </v:shape>
            </v:group>
            <v:group style="position:absolute;left:37;top:14;width:4725;height:393" coordorigin="37,14" coordsize="4725,393">
              <v:shape style="position:absolute;left:37;top:14;width:4725;height:393" coordorigin="37,14" coordsize="4725,393" path="m37,407l4762,407,4762,14,37,14,37,407xe" filled="true" fillcolor="#d3d3d3"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2pt" strokecolor="#d3d3d3">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d3d3d3">
                <v:path arrowok="t"/>
              </v:shape>
            </v:group>
            <v:group style="position:absolute;left:4818;top:14;width:4732;height:393" coordorigin="4818,14" coordsize="4732,393">
              <v:shape style="position:absolute;left:4818;top:14;width:4732;height:393" coordorigin="4818,14" coordsize="4732,393" path="m4818,407l9550,407,9550,14,4818,14,4818,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0;height:2" coordorigin="5,412" coordsize="4780,2">
              <v:shape style="position:absolute;left:5;top:412;width:4780;height:2" coordorigin="5,412" coordsize="4780,0" path="m5,412l4784,412e" filled="false" stroked="true" strokeweight=".47998pt" strokecolor="#000000">
                <v:path arrowok="t"/>
              </v:shape>
            </v:group>
            <v:group style="position:absolute;left:4789;top:14;width:2;height:402" coordorigin="4789,14" coordsize="2,402">
              <v:shape style="position:absolute;left:4789;top:14;width:2;height:402" coordorigin="4789,14" coordsize="0,402" path="m4789,14l4789,416e" filled="false" stroked="true" strokeweight=".48001pt" strokecolor="#000000">
                <v:path arrowok="t"/>
              </v:shape>
            </v:group>
            <v:group style="position:absolute;left:4794;top:412;width:4779;height:2" coordorigin="4794,412" coordsize="4779,2">
              <v:shape style="position:absolute;left:4794;top:412;width:4779;height:2" coordorigin="4794,412" coordsize="4779,0" path="m4794,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19;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89;top:10;width:4788;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期末账面价值</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马鞍山智慧园项目一期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2,244,416.26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尚在办理中</w:t>
            </w:r>
          </w:p>
        </w:tc>
      </w:tr>
    </w:tbl>
    <w:p>
      <w:pPr>
        <w:pStyle w:val="BodyText"/>
        <w:spacing w:line="240" w:lineRule="auto" w:before="51"/>
        <w:ind w:right="125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258"/>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上海榕基软件园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147,945,496.88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147,945,496.88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9,305,843.61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9,305,843.61</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软件及服务外包 产业基地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95,283.02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95,283.02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福州软件园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区</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办公楼装修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1,732,108.91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1,732,108.91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148,040,779.90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148,040,779.90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11,037,952.52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11,037,952.52</w:t>
            </w: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721"/>
        <w:gridCol w:w="736"/>
        <w:gridCol w:w="736"/>
        <w:gridCol w:w="736"/>
        <w:gridCol w:w="736"/>
        <w:gridCol w:w="736"/>
        <w:gridCol w:w="736"/>
        <w:gridCol w:w="736"/>
        <w:gridCol w:w="736"/>
        <w:gridCol w:w="736"/>
        <w:gridCol w:w="736"/>
        <w:gridCol w:w="736"/>
        <w:gridCol w:w="725"/>
      </w:tblGrid>
      <w:tr>
        <w:trPr>
          <w:trHeight w:val="382" w:hRule="exact"/>
        </w:trPr>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78" w:right="0"/>
              <w:jc w:val="left"/>
              <w:rPr>
                <w:rFonts w:ascii="宋体" w:hAnsi="宋体" w:cs="宋体" w:eastAsia="宋体" w:hint="default"/>
                <w:sz w:val="18"/>
                <w:szCs w:val="18"/>
              </w:rPr>
            </w:pPr>
            <w:r>
              <w:rPr>
                <w:rFonts w:ascii="宋体" w:hAnsi="宋体" w:cs="宋体" w:eastAsia="宋体" w:hint="default"/>
                <w:sz w:val="18"/>
                <w:szCs w:val="18"/>
              </w:rPr>
              <w:t>项目名</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1"/>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92" w:right="0"/>
              <w:jc w:val="left"/>
              <w:rPr>
                <w:rFonts w:ascii="宋体" w:hAnsi="宋体" w:cs="宋体" w:eastAsia="宋体" w:hint="default"/>
                <w:sz w:val="18"/>
                <w:szCs w:val="18"/>
              </w:rPr>
            </w:pPr>
            <w:r>
              <w:rPr>
                <w:rFonts w:ascii="宋体" w:hAnsi="宋体" w:cs="宋体" w:eastAsia="宋体" w:hint="default"/>
                <w:sz w:val="18"/>
                <w:szCs w:val="18"/>
              </w:rPr>
              <w:t>期初余</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92" w:right="0"/>
              <w:jc w:val="left"/>
              <w:rPr>
                <w:rFonts w:ascii="宋体" w:hAnsi="宋体" w:cs="宋体" w:eastAsia="宋体" w:hint="default"/>
                <w:sz w:val="18"/>
                <w:szCs w:val="18"/>
              </w:rPr>
            </w:pPr>
            <w:r>
              <w:rPr>
                <w:rFonts w:ascii="宋体" w:hAnsi="宋体" w:cs="宋体" w:eastAsia="宋体" w:hint="default"/>
                <w:sz w:val="18"/>
                <w:szCs w:val="18"/>
              </w:rPr>
              <w:t>本期增</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92" w:right="0"/>
              <w:jc w:val="left"/>
              <w:rPr>
                <w:rFonts w:ascii="宋体" w:hAnsi="宋体" w:cs="宋体" w:eastAsia="宋体" w:hint="default"/>
                <w:sz w:val="18"/>
                <w:szCs w:val="18"/>
              </w:rPr>
            </w:pPr>
            <w:r>
              <w:rPr>
                <w:rFonts w:ascii="宋体" w:hAnsi="宋体" w:cs="宋体" w:eastAsia="宋体" w:hint="default"/>
                <w:sz w:val="18"/>
                <w:szCs w:val="18"/>
              </w:rPr>
              <w:t>本期转</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93" w:right="0"/>
              <w:jc w:val="left"/>
              <w:rPr>
                <w:rFonts w:ascii="宋体" w:hAnsi="宋体" w:cs="宋体" w:eastAsia="宋体" w:hint="default"/>
                <w:sz w:val="18"/>
                <w:szCs w:val="18"/>
              </w:rPr>
            </w:pPr>
            <w:r>
              <w:rPr>
                <w:rFonts w:ascii="宋体" w:hAnsi="宋体" w:cs="宋体" w:eastAsia="宋体" w:hint="default"/>
                <w:sz w:val="18"/>
                <w:szCs w:val="18"/>
              </w:rPr>
              <w:t>本期其</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93" w:right="0"/>
              <w:jc w:val="left"/>
              <w:rPr>
                <w:rFonts w:ascii="宋体" w:hAnsi="宋体" w:cs="宋体" w:eastAsia="宋体" w:hint="default"/>
                <w:sz w:val="18"/>
                <w:szCs w:val="18"/>
              </w:rPr>
            </w:pPr>
            <w:r>
              <w:rPr>
                <w:rFonts w:ascii="宋体" w:hAnsi="宋体" w:cs="宋体" w:eastAsia="宋体" w:hint="default"/>
                <w:sz w:val="18"/>
                <w:szCs w:val="18"/>
              </w:rPr>
              <w:t>期末余</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92" w:right="0"/>
              <w:jc w:val="left"/>
              <w:rPr>
                <w:rFonts w:ascii="宋体" w:hAnsi="宋体" w:cs="宋体" w:eastAsia="宋体" w:hint="default"/>
                <w:sz w:val="18"/>
                <w:szCs w:val="18"/>
              </w:rPr>
            </w:pPr>
            <w:r>
              <w:rPr>
                <w:rFonts w:ascii="宋体" w:hAnsi="宋体" w:cs="宋体" w:eastAsia="宋体" w:hint="default"/>
                <w:sz w:val="18"/>
                <w:szCs w:val="18"/>
              </w:rPr>
              <w:t>工程累</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92" w:right="0"/>
              <w:jc w:val="left"/>
              <w:rPr>
                <w:rFonts w:ascii="宋体" w:hAnsi="宋体" w:cs="宋体" w:eastAsia="宋体" w:hint="default"/>
                <w:sz w:val="18"/>
                <w:szCs w:val="18"/>
              </w:rPr>
            </w:pPr>
            <w:r>
              <w:rPr>
                <w:rFonts w:ascii="宋体" w:hAnsi="宋体" w:cs="宋体" w:eastAsia="宋体" w:hint="default"/>
                <w:sz w:val="18"/>
                <w:szCs w:val="18"/>
              </w:rPr>
              <w:t>工程进</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92" w:right="0"/>
              <w:jc w:val="left"/>
              <w:rPr>
                <w:rFonts w:ascii="宋体" w:hAnsi="宋体" w:cs="宋体" w:eastAsia="宋体" w:hint="default"/>
                <w:sz w:val="18"/>
                <w:szCs w:val="18"/>
              </w:rPr>
            </w:pPr>
            <w:r>
              <w:rPr>
                <w:rFonts w:ascii="宋体" w:hAnsi="宋体" w:cs="宋体" w:eastAsia="宋体" w:hint="default"/>
                <w:sz w:val="18"/>
                <w:szCs w:val="18"/>
              </w:rPr>
              <w:t>利息资</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pacing w:val="-10"/>
                <w:sz w:val="18"/>
                <w:szCs w:val="18"/>
              </w:rPr>
              <w:t>其中：本</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92" w:right="0"/>
              <w:jc w:val="left"/>
              <w:rPr>
                <w:rFonts w:ascii="宋体" w:hAnsi="宋体" w:cs="宋体" w:eastAsia="宋体" w:hint="default"/>
                <w:sz w:val="18"/>
                <w:szCs w:val="18"/>
              </w:rPr>
            </w:pPr>
            <w:r>
              <w:rPr>
                <w:rFonts w:ascii="宋体" w:hAnsi="宋体" w:cs="宋体" w:eastAsia="宋体" w:hint="default"/>
                <w:sz w:val="18"/>
                <w:szCs w:val="18"/>
              </w:rPr>
              <w:t>本期利</w:t>
            </w:r>
          </w:p>
        </w:tc>
        <w:tc>
          <w:tcPr>
            <w:tcW w:w="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92" w:right="0"/>
              <w:jc w:val="left"/>
              <w:rPr>
                <w:rFonts w:ascii="宋体" w:hAnsi="宋体" w:cs="宋体" w:eastAsia="宋体" w:hint="default"/>
                <w:sz w:val="18"/>
                <w:szCs w:val="18"/>
              </w:rPr>
            </w:pPr>
            <w:r>
              <w:rPr>
                <w:rFonts w:ascii="宋体" w:hAnsi="宋体" w:cs="宋体" w:eastAsia="宋体" w:hint="default"/>
                <w:sz w:val="18"/>
                <w:szCs w:val="18"/>
              </w:rPr>
              <w:t>资金来</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986"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270"/>
              <w:jc w:val="right"/>
              <w:rPr>
                <w:rFonts w:ascii="宋体" w:hAnsi="宋体" w:cs="宋体" w:eastAsia="宋体" w:hint="default"/>
                <w:sz w:val="18"/>
                <w:szCs w:val="18"/>
              </w:rPr>
            </w:pPr>
            <w:r>
              <w:rPr>
                <w:rFonts w:ascii="宋体" w:hAnsi="宋体" w:cs="宋体" w:eastAsia="宋体" w:hint="default"/>
                <w:sz w:val="18"/>
                <w:szCs w:val="18"/>
              </w:rPr>
              <w:t>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92" w:right="91"/>
              <w:jc w:val="center"/>
              <w:rPr>
                <w:rFonts w:ascii="宋体" w:hAnsi="宋体" w:cs="宋体" w:eastAsia="宋体" w:hint="default"/>
                <w:sz w:val="18"/>
                <w:szCs w:val="18"/>
              </w:rPr>
            </w:pPr>
            <w:r>
              <w:rPr>
                <w:rFonts w:ascii="宋体" w:hAnsi="宋体" w:cs="宋体" w:eastAsia="宋体" w:hint="default"/>
                <w:sz w:val="18"/>
                <w:szCs w:val="18"/>
              </w:rPr>
              <w:t>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183" w:right="91" w:hanging="90"/>
              <w:jc w:val="left"/>
              <w:rPr>
                <w:rFonts w:ascii="宋体" w:hAnsi="宋体" w:cs="宋体" w:eastAsia="宋体" w:hint="default"/>
                <w:sz w:val="18"/>
                <w:szCs w:val="18"/>
              </w:rPr>
            </w:pPr>
            <w:r>
              <w:rPr>
                <w:rFonts w:ascii="宋体" w:hAnsi="宋体" w:cs="宋体" w:eastAsia="宋体" w:hint="default"/>
                <w:sz w:val="18"/>
                <w:szCs w:val="18"/>
              </w:rPr>
              <w:t>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92" w:right="91"/>
              <w:jc w:val="both"/>
              <w:rPr>
                <w:rFonts w:ascii="宋体" w:hAnsi="宋体" w:cs="宋体" w:eastAsia="宋体" w:hint="default"/>
                <w:sz w:val="18"/>
                <w:szCs w:val="18"/>
              </w:rPr>
            </w:pPr>
            <w:r>
              <w:rPr>
                <w:rFonts w:ascii="宋体" w:hAnsi="宋体" w:cs="宋体" w:eastAsia="宋体" w:hint="default"/>
                <w:sz w:val="18"/>
                <w:szCs w:val="18"/>
              </w:rPr>
              <w:t>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73" w:right="0"/>
              <w:jc w:val="left"/>
              <w:rPr>
                <w:rFonts w:ascii="宋体" w:hAnsi="宋体" w:cs="宋体" w:eastAsia="宋体" w:hint="default"/>
                <w:sz w:val="18"/>
                <w:szCs w:val="18"/>
              </w:rPr>
            </w:pPr>
            <w:r>
              <w:rPr>
                <w:rFonts w:ascii="宋体" w:hAnsi="宋体" w:cs="宋体" w:eastAsia="宋体" w:hint="default"/>
                <w:sz w:val="18"/>
                <w:szCs w:val="18"/>
              </w:rPr>
              <w:t>度</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92" w:right="91"/>
              <w:jc w:val="left"/>
              <w:rPr>
                <w:rFonts w:ascii="宋体" w:hAnsi="宋体" w:cs="宋体" w:eastAsia="宋体" w:hint="default"/>
                <w:sz w:val="18"/>
                <w:szCs w:val="18"/>
              </w:rPr>
            </w:pPr>
            <w:r>
              <w:rPr>
                <w:rFonts w:ascii="宋体" w:hAnsi="宋体" w:cs="宋体" w:eastAsia="宋体" w:hint="default"/>
                <w:sz w:val="18"/>
                <w:szCs w:val="18"/>
              </w:rPr>
              <w:t>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92" w:right="91"/>
              <w:jc w:val="both"/>
              <w:rPr>
                <w:rFonts w:ascii="宋体" w:hAnsi="宋体" w:cs="宋体" w:eastAsia="宋体" w:hint="default"/>
                <w:sz w:val="18"/>
                <w:szCs w:val="18"/>
              </w:rPr>
            </w:pPr>
            <w:r>
              <w:rPr>
                <w:rFonts w:ascii="宋体" w:hAnsi="宋体" w:cs="宋体" w:eastAsia="宋体" w:hint="default"/>
                <w:sz w:val="18"/>
                <w:szCs w:val="18"/>
              </w:rPr>
              <w:t>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183" w:right="91" w:hanging="90"/>
              <w:jc w:val="left"/>
              <w:rPr>
                <w:rFonts w:ascii="宋体" w:hAnsi="宋体" w:cs="宋体" w:eastAsia="宋体" w:hint="default"/>
                <w:sz w:val="18"/>
                <w:szCs w:val="18"/>
              </w:rPr>
            </w:pPr>
            <w:r>
              <w:rPr>
                <w:rFonts w:ascii="宋体" w:hAnsi="宋体" w:cs="宋体" w:eastAsia="宋体" w:hint="default"/>
                <w:sz w:val="18"/>
                <w:szCs w:val="18"/>
              </w:rPr>
              <w:t>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271"/>
              <w:jc w:val="right"/>
              <w:rPr>
                <w:rFonts w:ascii="宋体" w:hAnsi="宋体" w:cs="宋体" w:eastAsia="宋体" w:hint="default"/>
                <w:sz w:val="18"/>
                <w:szCs w:val="18"/>
              </w:rPr>
            </w:pPr>
            <w:r>
              <w:rPr>
                <w:rFonts w:ascii="宋体" w:hAnsi="宋体" w:cs="宋体" w:eastAsia="宋体" w:hint="default"/>
                <w:sz w:val="18"/>
                <w:szCs w:val="18"/>
              </w:rPr>
              <w:t>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7"/>
              <w:jc w:val="both"/>
              <w:rPr>
                <w:rFonts w:ascii="宋体" w:hAnsi="宋体" w:cs="宋体" w:eastAsia="宋体" w:hint="default"/>
                <w:sz w:val="18"/>
                <w:szCs w:val="18"/>
              </w:rPr>
            </w:pPr>
            <w:r>
              <w:rPr>
                <w:rFonts w:ascii="宋体" w:hAnsi="宋体" w:cs="宋体" w:eastAsia="宋体" w:hint="default"/>
                <w:sz w:val="18"/>
                <w:szCs w:val="18"/>
              </w:rPr>
              <w:t>上海榕 基软件 园</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417,067,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9,305,84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3.61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138,639,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653.27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147,945,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496.88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37"/>
              <w:jc w:val="righ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417,067,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9,305,84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3.61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138,639,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653.27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147,945,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496.88</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2"/>
        <w:ind w:right="125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125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125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8"/>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258"/>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258"/>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1258"/>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258"/>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13" w:space="0" w:color="D3D3D3"/>
              <w:bottom w:val="single" w:sz="4" w:space="0" w:color="000000"/>
              <w:right w:val="single" w:sz="4" w:space="0" w:color="000000"/>
            </w:tcBorders>
            <w:shd w:val="clear" w:color="auto" w:fill="E1FFFF"/>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自行开发软件</w:t>
            </w:r>
          </w:p>
        </w:tc>
        <w:tc>
          <w:tcPr>
            <w:tcW w:w="1367" w:type="dxa"/>
            <w:tcBorders>
              <w:top w:val="single" w:sz="4" w:space="0" w:color="000000"/>
              <w:left w:val="single" w:sz="9" w:space="0" w:color="E1FFFF"/>
              <w:bottom w:val="single" w:sz="4" w:space="0" w:color="000000"/>
              <w:right w:val="single" w:sz="4" w:space="0" w:color="000000"/>
            </w:tcBorders>
            <w:shd w:val="clear" w:color="auto" w:fill="D3D3D3"/>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16"/>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83,430,000.00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34,752,985.98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136,460,342.43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254,643,328.41</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1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166,264.97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35,657,506.74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35,823,771.71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67"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166,264.97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166,264.97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67"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35,657,506.74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35,657,506.74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22" w:firstLine="52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67"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1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16"/>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83,430,000.00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34,919,250.95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172,117,849.17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290,467,100.12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16"/>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3,194,100.00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22,802,976.26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103,127,452.58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129,124,528.84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1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1,668,600.00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4,905,201.08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26,838,392.86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33,412,193.94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1,668,600.00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4,905,201.08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26,838,392.86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33,412,193.94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1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16"/>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4,862,700.00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27,708,177.34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129,965,845.44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162,536,722.78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16"/>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1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6"/>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78,567,300.00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7,211,073.61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42,152,003.73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127,930,377.34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80,235,900.00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11,950,009.72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33,332,889.85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125,518,799.57</w:t>
            </w:r>
          </w:p>
        </w:tc>
      </w:tr>
    </w:tbl>
    <w:p>
      <w:pPr>
        <w:pStyle w:val="BodyText"/>
        <w:spacing w:line="240" w:lineRule="auto" w:before="51"/>
        <w:ind w:right="1258"/>
        <w:jc w:val="left"/>
      </w:pPr>
      <w:r>
        <w:rPr/>
        <w:t>本期末通过公司内部研发形成的无形资产占无形资产余额的比例</w:t>
      </w:r>
      <w:r>
        <w:rPr>
          <w:spacing w:val="-46"/>
        </w:rPr>
        <w:t> </w:t>
      </w:r>
      <w:r>
        <w:rPr>
          <w:rFonts w:ascii="Times New Roman" w:hAnsi="Times New Roman" w:cs="Times New Roman" w:eastAsia="Times New Roman" w:hint="default"/>
        </w:rPr>
        <w:t>59.26%</w:t>
      </w:r>
      <w:r>
        <w:rPr/>
        <w:t>。</w:t>
      </w:r>
    </w:p>
    <w:p>
      <w:pPr>
        <w:spacing w:line="240" w:lineRule="auto" w:before="10"/>
        <w:rPr>
          <w:rFonts w:ascii="宋体" w:hAnsi="宋体" w:cs="宋体" w:eastAsia="宋体" w:hint="default"/>
          <w:sz w:val="25"/>
          <w:szCs w:val="25"/>
        </w:rPr>
      </w:pPr>
    </w:p>
    <w:p>
      <w:pPr>
        <w:pStyle w:val="Heading3"/>
        <w:spacing w:line="240" w:lineRule="auto"/>
        <w:ind w:right="1258"/>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1258"/>
        <w:jc w:val="left"/>
      </w:pPr>
      <w:r>
        <w:rPr/>
        <w:t>其他说明：</w:t>
      </w:r>
    </w:p>
    <w:p>
      <w:pPr>
        <w:pStyle w:val="BodyText"/>
        <w:spacing w:line="240" w:lineRule="auto" w:before="117"/>
        <w:ind w:left="514" w:right="1258"/>
        <w:jc w:val="left"/>
      </w:pPr>
      <w:r>
        <w:rPr/>
        <w:t>期末无形资产不存在减值情形。</w:t>
      </w:r>
    </w:p>
    <w:p>
      <w:pPr>
        <w:spacing w:line="240" w:lineRule="auto" w:before="10"/>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1"/>
        <w:gridCol w:w="1075"/>
        <w:gridCol w:w="1063"/>
        <w:gridCol w:w="1062"/>
        <w:gridCol w:w="1063"/>
        <w:gridCol w:w="1063"/>
        <w:gridCol w:w="1063"/>
        <w:gridCol w:w="1063"/>
        <w:gridCol w:w="1063"/>
      </w:tblGrid>
      <w:tr>
        <w:trPr>
          <w:trHeight w:val="401" w:hRule="exact"/>
        </w:trPr>
        <w:tc>
          <w:tcPr>
            <w:tcW w:w="1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05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2"/>
              <w:ind w:left="22" w:right="116"/>
              <w:jc w:val="left"/>
              <w:rPr>
                <w:rFonts w:ascii="宋体" w:hAnsi="宋体" w:cs="宋体" w:eastAsia="宋体" w:hint="default"/>
                <w:sz w:val="18"/>
                <w:szCs w:val="18"/>
              </w:rPr>
            </w:pPr>
            <w:r>
              <w:rPr>
                <w:rFonts w:ascii="宋体" w:hAnsi="宋体" w:cs="宋体" w:eastAsia="宋体" w:hint="default"/>
                <w:sz w:val="18"/>
                <w:szCs w:val="18"/>
              </w:rPr>
              <w:t>榕基易贸商 务平台</w:t>
            </w:r>
          </w:p>
        </w:tc>
        <w:tc>
          <w:tcPr>
            <w:tcW w:w="1075" w:type="dxa"/>
            <w:tcBorders>
              <w:top w:val="single" w:sz="4" w:space="0" w:color="000000"/>
              <w:left w:val="single" w:sz="13" w:space="0" w:color="E1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6,032,241.35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11,580,463.0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17,612,704.4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105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2"/>
              <w:ind w:left="22" w:right="116"/>
              <w:jc w:val="both"/>
              <w:rPr>
                <w:rFonts w:ascii="宋体" w:hAnsi="宋体" w:cs="宋体" w:eastAsia="宋体" w:hint="default"/>
                <w:sz w:val="18"/>
                <w:szCs w:val="18"/>
              </w:rPr>
            </w:pPr>
            <w:r>
              <w:rPr>
                <w:rFonts w:ascii="宋体" w:hAnsi="宋体" w:cs="宋体" w:eastAsia="宋体" w:hint="default"/>
                <w:sz w:val="18"/>
                <w:szCs w:val="18"/>
              </w:rPr>
              <w:t>检验检疫数 据分析展现 平台</w:t>
            </w:r>
          </w:p>
        </w:tc>
        <w:tc>
          <w:tcPr>
            <w:tcW w:w="1075" w:type="dxa"/>
            <w:tcBorders>
              <w:top w:val="single" w:sz="4" w:space="0" w:color="000000"/>
              <w:left w:val="single" w:sz="13" w:space="0" w:color="E1FFFF"/>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6,947,898.86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6,947,898.86</w:t>
            </w:r>
          </w:p>
        </w:tc>
      </w:tr>
      <w:tr>
        <w:trPr>
          <w:trHeight w:val="1026" w:hRule="exact"/>
        </w:trPr>
        <w:tc>
          <w:tcPr>
            <w:tcW w:w="105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2"/>
              <w:ind w:left="22" w:right="116"/>
              <w:jc w:val="both"/>
              <w:rPr>
                <w:rFonts w:ascii="宋体" w:hAnsi="宋体" w:cs="宋体" w:eastAsia="宋体" w:hint="default"/>
                <w:sz w:val="18"/>
                <w:szCs w:val="18"/>
              </w:rPr>
            </w:pPr>
            <w:r>
              <w:rPr>
                <w:rFonts w:ascii="宋体" w:hAnsi="宋体" w:cs="宋体" w:eastAsia="宋体" w:hint="default"/>
                <w:sz w:val="18"/>
                <w:szCs w:val="18"/>
              </w:rPr>
              <w:t>榕基核与辐 射环境安全 监管平台</w:t>
            </w:r>
          </w:p>
        </w:tc>
        <w:tc>
          <w:tcPr>
            <w:tcW w:w="1075" w:type="dxa"/>
            <w:tcBorders>
              <w:top w:val="single" w:sz="4" w:space="0" w:color="000000"/>
              <w:left w:val="single" w:sz="13" w:space="0" w:color="E1FFFF"/>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5,973,317.28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5,973,317.28</w:t>
            </w:r>
          </w:p>
        </w:tc>
      </w:tr>
      <w:tr>
        <w:trPr>
          <w:trHeight w:val="714" w:hRule="exact"/>
        </w:trPr>
        <w:tc>
          <w:tcPr>
            <w:tcW w:w="105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2"/>
              <w:ind w:left="22" w:right="116"/>
              <w:jc w:val="left"/>
              <w:rPr>
                <w:rFonts w:ascii="宋体" w:hAnsi="宋体" w:cs="宋体" w:eastAsia="宋体" w:hint="default"/>
                <w:sz w:val="18"/>
                <w:szCs w:val="18"/>
              </w:rPr>
            </w:pPr>
            <w:r>
              <w:rPr>
                <w:rFonts w:ascii="宋体" w:hAnsi="宋体" w:cs="宋体" w:eastAsia="宋体" w:hint="default"/>
                <w:sz w:val="18"/>
                <w:szCs w:val="18"/>
              </w:rPr>
              <w:t>干部信息综 合管理系统</w:t>
            </w:r>
          </w:p>
        </w:tc>
        <w:tc>
          <w:tcPr>
            <w:tcW w:w="1075" w:type="dxa"/>
            <w:tcBorders>
              <w:top w:val="single" w:sz="4" w:space="0" w:color="000000"/>
              <w:left w:val="single" w:sz="13" w:space="0" w:color="E1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1,608,030.61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3,004,795.75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4,612,826.36</w:t>
            </w:r>
          </w:p>
        </w:tc>
      </w:tr>
      <w:tr>
        <w:trPr>
          <w:trHeight w:val="1026" w:hRule="exact"/>
        </w:trPr>
        <w:tc>
          <w:tcPr>
            <w:tcW w:w="105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2"/>
              <w:ind w:left="22" w:right="116"/>
              <w:jc w:val="both"/>
              <w:rPr>
                <w:rFonts w:ascii="宋体" w:hAnsi="宋体" w:cs="宋体" w:eastAsia="宋体" w:hint="default"/>
                <w:sz w:val="18"/>
                <w:szCs w:val="18"/>
              </w:rPr>
            </w:pPr>
            <w:r>
              <w:rPr>
                <w:rFonts w:ascii="宋体" w:hAnsi="宋体" w:cs="宋体" w:eastAsia="宋体" w:hint="default"/>
                <w:sz w:val="18"/>
                <w:szCs w:val="18"/>
              </w:rPr>
              <w:t>榕基安全可 靠电子政务 应用平台</w:t>
            </w:r>
          </w:p>
        </w:tc>
        <w:tc>
          <w:tcPr>
            <w:tcW w:w="1075" w:type="dxa"/>
            <w:tcBorders>
              <w:top w:val="single" w:sz="4" w:space="0" w:color="000000"/>
              <w:left w:val="single" w:sz="13" w:space="0" w:color="E1FFFF"/>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4,055,119.42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4,055,119.42</w:t>
            </w:r>
          </w:p>
        </w:tc>
      </w:tr>
      <w:tr>
        <w:trPr>
          <w:trHeight w:val="715" w:hRule="exact"/>
        </w:trPr>
        <w:tc>
          <w:tcPr>
            <w:tcW w:w="105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2"/>
              <w:ind w:left="22" w:right="116"/>
              <w:jc w:val="left"/>
              <w:rPr>
                <w:rFonts w:ascii="宋体" w:hAnsi="宋体" w:cs="宋体" w:eastAsia="宋体" w:hint="default"/>
                <w:sz w:val="18"/>
                <w:szCs w:val="18"/>
              </w:rPr>
            </w:pPr>
            <w:r>
              <w:rPr>
                <w:rFonts w:ascii="宋体" w:hAnsi="宋体" w:cs="宋体" w:eastAsia="宋体" w:hint="default"/>
                <w:sz w:val="18"/>
                <w:szCs w:val="18"/>
              </w:rPr>
              <w:t>中小企业公 共服务平台</w:t>
            </w:r>
          </w:p>
        </w:tc>
        <w:tc>
          <w:tcPr>
            <w:tcW w:w="1075" w:type="dxa"/>
            <w:tcBorders>
              <w:top w:val="single" w:sz="4" w:space="0" w:color="000000"/>
              <w:left w:val="single" w:sz="13" w:space="0" w:color="E1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1,910,582.42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1,300,083.33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3,210,665.75</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34"/>
        <w:gridCol w:w="1092"/>
        <w:gridCol w:w="1063"/>
        <w:gridCol w:w="1062"/>
        <w:gridCol w:w="1063"/>
        <w:gridCol w:w="1063"/>
        <w:gridCol w:w="1063"/>
        <w:gridCol w:w="1063"/>
        <w:gridCol w:w="1063"/>
      </w:tblGrid>
      <w:tr>
        <w:trPr>
          <w:trHeight w:val="714" w:hRule="exact"/>
        </w:trPr>
        <w:tc>
          <w:tcPr>
            <w:tcW w:w="103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榕基移动视 频</w:t>
            </w:r>
          </w:p>
        </w:tc>
        <w:tc>
          <w:tcPr>
            <w:tcW w:w="1092" w:type="dxa"/>
            <w:tcBorders>
              <w:top w:val="single" w:sz="4" w:space="0" w:color="000000"/>
              <w:left w:val="single" w:sz="13" w:space="0" w:color="E1FFFF"/>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2,731,196.17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2,731,196.17</w:t>
            </w:r>
          </w:p>
        </w:tc>
      </w:tr>
      <w:tr>
        <w:trPr>
          <w:trHeight w:val="1026" w:hRule="exact"/>
        </w:trPr>
        <w:tc>
          <w:tcPr>
            <w:tcW w:w="103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安全可靠政 务信息采编 系统</w:t>
            </w:r>
          </w:p>
        </w:tc>
        <w:tc>
          <w:tcPr>
            <w:tcW w:w="1092" w:type="dxa"/>
            <w:tcBorders>
              <w:top w:val="single" w:sz="4" w:space="0" w:color="000000"/>
              <w:left w:val="single" w:sz="13" w:space="0" w:color="E1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379,012.56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1,066,038.30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1,445,050.86</w:t>
            </w:r>
          </w:p>
        </w:tc>
      </w:tr>
      <w:tr>
        <w:trPr>
          <w:trHeight w:val="1338" w:hRule="exact"/>
        </w:trPr>
        <w:tc>
          <w:tcPr>
            <w:tcW w:w="103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星榕基中小 企业信息化 公共服务平 台</w:t>
            </w:r>
          </w:p>
        </w:tc>
        <w:tc>
          <w:tcPr>
            <w:tcW w:w="1092" w:type="dxa"/>
            <w:tcBorders>
              <w:top w:val="single" w:sz="4" w:space="0" w:color="000000"/>
              <w:left w:val="single" w:sz="13" w:space="0" w:color="E1FFFF"/>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456,678.78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456,678.78</w:t>
            </w:r>
          </w:p>
        </w:tc>
      </w:tr>
      <w:tr>
        <w:trPr>
          <w:trHeight w:val="1026" w:hRule="exact"/>
        </w:trPr>
        <w:tc>
          <w:tcPr>
            <w:tcW w:w="103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星榕基家校 互动移动应 用软件</w:t>
            </w:r>
          </w:p>
        </w:tc>
        <w:tc>
          <w:tcPr>
            <w:tcW w:w="1092" w:type="dxa"/>
            <w:tcBorders>
              <w:top w:val="single" w:sz="4" w:space="0" w:color="000000"/>
              <w:left w:val="single" w:sz="13" w:space="0" w:color="E1FFFF"/>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153,952.18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153,952.18</w:t>
            </w:r>
          </w:p>
        </w:tc>
      </w:tr>
      <w:tr>
        <w:trPr>
          <w:trHeight w:val="1338" w:hRule="exact"/>
        </w:trPr>
        <w:tc>
          <w:tcPr>
            <w:tcW w:w="103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基于任务管 理平台的手 </w:t>
            </w:r>
            <w:r>
              <w:rPr>
                <w:rFonts w:ascii="宋体" w:hAnsi="宋体" w:cs="宋体" w:eastAsia="宋体" w:hint="default"/>
                <w:spacing w:val="-4"/>
                <w:sz w:val="18"/>
                <w:szCs w:val="18"/>
              </w:rPr>
              <w:t>机</w:t>
            </w:r>
            <w:r>
              <w:rPr>
                <w:rFonts w:ascii="Times New Roman" w:hAnsi="Times New Roman" w:cs="Times New Roman" w:eastAsia="Times New Roman" w:hint="default"/>
                <w:spacing w:val="-4"/>
                <w:sz w:val="18"/>
                <w:szCs w:val="18"/>
              </w:rPr>
              <w:t>/PAD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移动 办公应用</w:t>
            </w:r>
          </w:p>
        </w:tc>
        <w:tc>
          <w:tcPr>
            <w:tcW w:w="1092" w:type="dxa"/>
            <w:tcBorders>
              <w:top w:val="single" w:sz="4" w:space="0" w:color="000000"/>
              <w:left w:val="single" w:sz="13" w:space="0" w:color="E1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13,080,260.2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1,973,393.94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15,053,654.1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3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榕基旅游产 业监测调度 系统</w:t>
            </w:r>
          </w:p>
        </w:tc>
        <w:tc>
          <w:tcPr>
            <w:tcW w:w="1092" w:type="dxa"/>
            <w:tcBorders>
              <w:top w:val="single" w:sz="4" w:space="0" w:color="000000"/>
              <w:left w:val="single" w:sz="13" w:space="0" w:color="E1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8,241,194.37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1,065,155.23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9,306,349.60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3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榕基手写批 注系统</w:t>
            </w:r>
          </w:p>
        </w:tc>
        <w:tc>
          <w:tcPr>
            <w:tcW w:w="1092" w:type="dxa"/>
            <w:tcBorders>
              <w:top w:val="single" w:sz="4" w:space="0" w:color="000000"/>
              <w:left w:val="single" w:sz="13" w:space="0" w:color="E1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3,990,461.88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561,267.98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4,551,729.86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3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星榕基教育 物联网检测 管理平台软 件</w:t>
            </w:r>
          </w:p>
        </w:tc>
        <w:tc>
          <w:tcPr>
            <w:tcW w:w="1092" w:type="dxa"/>
            <w:tcBorders>
              <w:top w:val="single" w:sz="4" w:space="0" w:color="000000"/>
              <w:left w:val="single" w:sz="13" w:space="0" w:color="E1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552,507.75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662,507.75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3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星榕基智慧 校园软件</w:t>
            </w:r>
          </w:p>
        </w:tc>
        <w:tc>
          <w:tcPr>
            <w:tcW w:w="1092" w:type="dxa"/>
            <w:tcBorders>
              <w:top w:val="single" w:sz="4" w:space="0" w:color="000000"/>
              <w:left w:val="single" w:sz="13" w:space="0" w:color="E1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203,754.25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309,754.25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3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榕基统一数 据平台软件</w:t>
            </w:r>
          </w:p>
        </w:tc>
        <w:tc>
          <w:tcPr>
            <w:tcW w:w="1092" w:type="dxa"/>
            <w:tcBorders>
              <w:top w:val="single" w:sz="4" w:space="0" w:color="000000"/>
              <w:left w:val="single" w:sz="13" w:space="0" w:color="E1FFFF"/>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1,425,118.45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1,425,118.45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3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榕基协同督 办系统软件</w:t>
            </w:r>
          </w:p>
        </w:tc>
        <w:tc>
          <w:tcPr>
            <w:tcW w:w="1092" w:type="dxa"/>
            <w:tcBorders>
              <w:top w:val="single" w:sz="4" w:space="0" w:color="000000"/>
              <w:left w:val="single" w:sz="13" w:space="0" w:color="E1FFFF"/>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1,294,906.08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1,294,906.08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3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榕基协同工 作平台软件</w:t>
            </w:r>
          </w:p>
        </w:tc>
        <w:tc>
          <w:tcPr>
            <w:tcW w:w="1092" w:type="dxa"/>
            <w:tcBorders>
              <w:top w:val="single" w:sz="4" w:space="0" w:color="000000"/>
              <w:left w:val="single" w:sz="13" w:space="0" w:color="E1FFFF"/>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1,225,867.50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1,225,867.50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3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榕基紧急信 息管理系统 软件</w:t>
            </w:r>
          </w:p>
        </w:tc>
        <w:tc>
          <w:tcPr>
            <w:tcW w:w="1092" w:type="dxa"/>
            <w:tcBorders>
              <w:top w:val="single" w:sz="4" w:space="0" w:color="000000"/>
              <w:left w:val="single" w:sz="13" w:space="0" w:color="E1FFFF"/>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1,201,085.58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1,201,085.58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3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星榕基物联 网应用公共 支撑平台</w:t>
            </w:r>
          </w:p>
        </w:tc>
        <w:tc>
          <w:tcPr>
            <w:tcW w:w="1092" w:type="dxa"/>
            <w:tcBorders>
              <w:top w:val="single" w:sz="4" w:space="0" w:color="000000"/>
              <w:left w:val="single" w:sz="13" w:space="0" w:color="E1FFFF"/>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512,391.51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512,391.51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3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星榕基平安</w:t>
            </w:r>
          </w:p>
        </w:tc>
        <w:tc>
          <w:tcPr>
            <w:tcW w:w="1092" w:type="dxa"/>
            <w:tcBorders>
              <w:top w:val="single" w:sz="4" w:space="0" w:color="000000"/>
              <w:left w:val="single" w:sz="13" w:space="0" w:color="E1FFFF"/>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114,142.00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114,142.00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3"/>
        <w:gridCol w:w="1063"/>
        <w:gridCol w:w="1063"/>
        <w:gridCol w:w="1062"/>
        <w:gridCol w:w="1063"/>
        <w:gridCol w:w="1063"/>
        <w:gridCol w:w="1063"/>
        <w:gridCol w:w="1063"/>
        <w:gridCol w:w="1063"/>
      </w:tblGrid>
      <w:tr>
        <w:trPr>
          <w:trHeight w:val="674"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10"/>
              <w:ind w:left="22" w:right="128"/>
              <w:jc w:val="left"/>
              <w:rPr>
                <w:rFonts w:ascii="宋体" w:hAnsi="宋体" w:cs="宋体" w:eastAsia="宋体" w:hint="default"/>
                <w:sz w:val="18"/>
                <w:szCs w:val="18"/>
              </w:rPr>
            </w:pPr>
            <w:r>
              <w:rPr>
                <w:rFonts w:ascii="宋体" w:hAnsi="宋体" w:cs="宋体" w:eastAsia="宋体" w:hint="default"/>
                <w:sz w:val="18"/>
                <w:szCs w:val="18"/>
              </w:rPr>
              <w:t>校园物联网 云平台</w:t>
            </w:r>
          </w:p>
        </w:tc>
        <w:tc>
          <w:tcPr>
            <w:tcW w:w="1063" w:type="dxa"/>
            <w:tcBorders>
              <w:top w:val="single" w:sz="4" w:space="0" w:color="000000"/>
              <w:left w:val="single" w:sz="13" w:space="0" w:color="E1FFFF"/>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35,457,783.4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47,399,133.4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35,657,506.7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47,199,410.0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bl>
    <w:p>
      <w:pPr>
        <w:pStyle w:val="BodyText"/>
        <w:spacing w:line="240" w:lineRule="auto" w:before="51"/>
        <w:ind w:right="1258"/>
        <w:jc w:val="left"/>
      </w:pPr>
      <w:r>
        <w:rPr/>
        <w:t>其他说明</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tbl>
      <w:tblPr>
        <w:tblW w:w="0" w:type="auto"/>
        <w:jc w:val="left"/>
        <w:tblInd w:w="276" w:type="dxa"/>
        <w:tblLayout w:type="fixed"/>
        <w:tblCellMar>
          <w:top w:w="0" w:type="dxa"/>
          <w:left w:w="0" w:type="dxa"/>
          <w:bottom w:w="0" w:type="dxa"/>
          <w:right w:w="0" w:type="dxa"/>
        </w:tblCellMar>
        <w:tblLook w:val="01E0"/>
      </w:tblPr>
      <w:tblGrid>
        <w:gridCol w:w="3698"/>
        <w:gridCol w:w="1702"/>
        <w:gridCol w:w="1984"/>
        <w:gridCol w:w="1994"/>
      </w:tblGrid>
      <w:tr>
        <w:trPr>
          <w:trHeight w:val="346" w:hRule="exact"/>
        </w:trPr>
        <w:tc>
          <w:tcPr>
            <w:tcW w:w="3698"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0"/>
              <w:ind w:left="-1" w:right="1"/>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6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0"/>
              <w:ind w:left="209" w:right="0"/>
              <w:jc w:val="left"/>
              <w:rPr>
                <w:rFonts w:ascii="宋体" w:hAnsi="宋体" w:cs="宋体" w:eastAsia="宋体" w:hint="default"/>
                <w:sz w:val="18"/>
                <w:szCs w:val="18"/>
              </w:rPr>
            </w:pPr>
            <w:r>
              <w:rPr>
                <w:rFonts w:ascii="宋体" w:hAnsi="宋体" w:cs="宋体" w:eastAsia="宋体" w:hint="default"/>
                <w:b/>
                <w:bCs/>
                <w:sz w:val="18"/>
                <w:szCs w:val="18"/>
              </w:rPr>
              <w:t>资本化开始时点</w:t>
            </w:r>
            <w:r>
              <w:rPr>
                <w:rFonts w:ascii="宋体" w:hAnsi="宋体" w:cs="宋体" w:eastAsia="宋体" w:hint="default"/>
                <w:sz w:val="18"/>
                <w:szCs w:val="18"/>
              </w:rPr>
            </w:r>
          </w:p>
        </w:tc>
        <w:tc>
          <w:tcPr>
            <w:tcW w:w="1984"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0"/>
              <w:ind w:left="261" w:right="0"/>
              <w:jc w:val="left"/>
              <w:rPr>
                <w:rFonts w:ascii="宋体" w:hAnsi="宋体" w:cs="宋体" w:eastAsia="宋体" w:hint="default"/>
                <w:sz w:val="18"/>
                <w:szCs w:val="18"/>
              </w:rPr>
            </w:pPr>
            <w:r>
              <w:rPr>
                <w:rFonts w:ascii="宋体" w:hAnsi="宋体" w:cs="宋体" w:eastAsia="宋体" w:hint="default"/>
                <w:b/>
                <w:bCs/>
                <w:sz w:val="18"/>
                <w:szCs w:val="18"/>
              </w:rPr>
              <w:t>资本化的具体依据</w:t>
            </w:r>
            <w:r>
              <w:rPr>
                <w:rFonts w:ascii="宋体" w:hAnsi="宋体" w:cs="宋体" w:eastAsia="宋体" w:hint="default"/>
                <w:sz w:val="18"/>
                <w:szCs w:val="18"/>
              </w:rPr>
            </w:r>
          </w:p>
        </w:tc>
        <w:tc>
          <w:tcPr>
            <w:tcW w:w="1994"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0"/>
              <w:ind w:left="176" w:right="0"/>
              <w:jc w:val="left"/>
              <w:rPr>
                <w:rFonts w:ascii="宋体" w:hAnsi="宋体" w:cs="宋体" w:eastAsia="宋体" w:hint="default"/>
                <w:sz w:val="18"/>
                <w:szCs w:val="18"/>
              </w:rPr>
            </w:pPr>
            <w:r>
              <w:rPr>
                <w:rFonts w:ascii="宋体" w:hAnsi="宋体" w:cs="宋体" w:eastAsia="宋体" w:hint="default"/>
                <w:b/>
                <w:bCs/>
                <w:sz w:val="18"/>
                <w:szCs w:val="18"/>
              </w:rPr>
              <w:t>截至期末的研发进度</w:t>
            </w:r>
            <w:r>
              <w:rPr>
                <w:rFonts w:ascii="宋体" w:hAnsi="宋体" w:cs="宋体" w:eastAsia="宋体" w:hint="default"/>
                <w:sz w:val="18"/>
                <w:szCs w:val="18"/>
              </w:rPr>
            </w:r>
          </w:p>
        </w:tc>
      </w:tr>
      <w:tr>
        <w:trPr>
          <w:trHeight w:val="347" w:hRule="exact"/>
        </w:trPr>
        <w:tc>
          <w:tcPr>
            <w:tcW w:w="369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榕基易贸商务平台</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hAnsi="宋体" w:cs="宋体" w:eastAsia="宋体" w:hint="default"/>
                <w:sz w:val="18"/>
                <w:szCs w:val="18"/>
              </w:rPr>
              <w:t>经审批的立项申请</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hAnsi="宋体" w:cs="宋体" w:eastAsia="宋体" w:hint="default"/>
                <w:sz w:val="18"/>
                <w:szCs w:val="18"/>
              </w:rPr>
              <w:t>在研</w:t>
            </w:r>
          </w:p>
        </w:tc>
      </w:tr>
      <w:tr>
        <w:trPr>
          <w:trHeight w:val="347" w:hRule="exact"/>
        </w:trPr>
        <w:tc>
          <w:tcPr>
            <w:tcW w:w="3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检验检疫数据分析展现平台</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经审批的立项申请</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在研</w:t>
            </w:r>
          </w:p>
        </w:tc>
      </w:tr>
      <w:tr>
        <w:trPr>
          <w:trHeight w:val="347" w:hRule="exact"/>
        </w:trPr>
        <w:tc>
          <w:tcPr>
            <w:tcW w:w="3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榕基核与辐射环境安全监管平台</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经审批的立项申请</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在研</w:t>
            </w:r>
          </w:p>
        </w:tc>
      </w:tr>
      <w:tr>
        <w:trPr>
          <w:trHeight w:val="347" w:hRule="exact"/>
        </w:trPr>
        <w:tc>
          <w:tcPr>
            <w:tcW w:w="3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干部信息综合管理系统</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经审批的立项申请</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在研</w:t>
            </w:r>
          </w:p>
        </w:tc>
      </w:tr>
      <w:tr>
        <w:trPr>
          <w:trHeight w:val="348" w:hRule="exact"/>
        </w:trPr>
        <w:tc>
          <w:tcPr>
            <w:tcW w:w="3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榕基安全可靠电子政务应用平台</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经审批的立项申请</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在研</w:t>
            </w:r>
          </w:p>
        </w:tc>
      </w:tr>
      <w:tr>
        <w:trPr>
          <w:trHeight w:val="347" w:hRule="exact"/>
        </w:trPr>
        <w:tc>
          <w:tcPr>
            <w:tcW w:w="3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中小企业公共服务平台</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经审批的立项申请</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在研</w:t>
            </w:r>
          </w:p>
        </w:tc>
      </w:tr>
      <w:tr>
        <w:trPr>
          <w:trHeight w:val="347" w:hRule="exact"/>
        </w:trPr>
        <w:tc>
          <w:tcPr>
            <w:tcW w:w="3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榕基移动视频</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经审批的立项申请</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在研</w:t>
            </w:r>
          </w:p>
        </w:tc>
      </w:tr>
      <w:tr>
        <w:trPr>
          <w:trHeight w:val="347" w:hRule="exact"/>
        </w:trPr>
        <w:tc>
          <w:tcPr>
            <w:tcW w:w="3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安全可靠政务信息采编系统</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经审批的立项申请</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在研</w:t>
            </w:r>
          </w:p>
        </w:tc>
      </w:tr>
      <w:tr>
        <w:trPr>
          <w:trHeight w:val="347" w:hRule="exact"/>
        </w:trPr>
        <w:tc>
          <w:tcPr>
            <w:tcW w:w="3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星榕基中小企业信息化公共服务平台</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经审批的立项申请</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在研</w:t>
            </w:r>
          </w:p>
        </w:tc>
      </w:tr>
      <w:tr>
        <w:trPr>
          <w:trHeight w:val="347" w:hRule="exact"/>
        </w:trPr>
        <w:tc>
          <w:tcPr>
            <w:tcW w:w="3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星榕基家校互动移动应用软件</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经审批的立项申请</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在研</w:t>
            </w:r>
          </w:p>
        </w:tc>
      </w:tr>
      <w:tr>
        <w:trPr>
          <w:trHeight w:val="348" w:hRule="exact"/>
        </w:trPr>
        <w:tc>
          <w:tcPr>
            <w:tcW w:w="3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基于任务管理平台的手机</w:t>
            </w:r>
            <w:r>
              <w:rPr>
                <w:rFonts w:ascii="Times New Roman" w:hAnsi="Times New Roman" w:cs="Times New Roman" w:eastAsia="Times New Roman" w:hint="default"/>
                <w:sz w:val="18"/>
                <w:szCs w:val="18"/>
              </w:rPr>
              <w:t>/PAD</w:t>
            </w:r>
            <w:r>
              <w:rPr>
                <w:rFonts w:ascii="宋体" w:hAnsi="宋体" w:cs="宋体" w:eastAsia="宋体" w:hint="default"/>
                <w:sz w:val="18"/>
                <w:szCs w:val="18"/>
              </w:rPr>
              <w:t>移动办公应用</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经审批的立项申请</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已完工</w:t>
            </w:r>
          </w:p>
        </w:tc>
      </w:tr>
      <w:tr>
        <w:trPr>
          <w:trHeight w:val="347" w:hRule="exact"/>
        </w:trPr>
        <w:tc>
          <w:tcPr>
            <w:tcW w:w="3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榕基旅游产业监测调度系统</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经审批的立项申请</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已完工</w:t>
            </w:r>
          </w:p>
        </w:tc>
      </w:tr>
      <w:tr>
        <w:trPr>
          <w:trHeight w:val="347" w:hRule="exact"/>
        </w:trPr>
        <w:tc>
          <w:tcPr>
            <w:tcW w:w="3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榕基手写批注系统</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经审批的立项申请</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已完工</w:t>
            </w:r>
          </w:p>
        </w:tc>
      </w:tr>
      <w:tr>
        <w:trPr>
          <w:trHeight w:val="347" w:hRule="exact"/>
        </w:trPr>
        <w:tc>
          <w:tcPr>
            <w:tcW w:w="3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星榕基教育物联网检测管理平台软件</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经审批的立项申请</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已完工</w:t>
            </w:r>
          </w:p>
        </w:tc>
      </w:tr>
      <w:tr>
        <w:trPr>
          <w:trHeight w:val="347" w:hRule="exact"/>
        </w:trPr>
        <w:tc>
          <w:tcPr>
            <w:tcW w:w="3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星榕基智慧校园软件</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经审批的立项申请</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已完工</w:t>
            </w:r>
          </w:p>
        </w:tc>
      </w:tr>
      <w:tr>
        <w:trPr>
          <w:trHeight w:val="347" w:hRule="exact"/>
        </w:trPr>
        <w:tc>
          <w:tcPr>
            <w:tcW w:w="3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榕基统一数据平台软件</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经审批的立项申请</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已完工</w:t>
            </w:r>
          </w:p>
        </w:tc>
      </w:tr>
      <w:tr>
        <w:trPr>
          <w:trHeight w:val="348" w:hRule="exact"/>
        </w:trPr>
        <w:tc>
          <w:tcPr>
            <w:tcW w:w="3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榕基协同督办系统软件</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经审批的立项申请</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已完工</w:t>
            </w:r>
          </w:p>
        </w:tc>
      </w:tr>
      <w:tr>
        <w:trPr>
          <w:trHeight w:val="347" w:hRule="exact"/>
        </w:trPr>
        <w:tc>
          <w:tcPr>
            <w:tcW w:w="3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榕基协同工作平台软件</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经审批的立项申请</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已完工</w:t>
            </w:r>
          </w:p>
        </w:tc>
      </w:tr>
      <w:tr>
        <w:trPr>
          <w:trHeight w:val="347" w:hRule="exact"/>
        </w:trPr>
        <w:tc>
          <w:tcPr>
            <w:tcW w:w="3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榕基紧急信息管理系统软件</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经审批的立项申请</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已完工</w:t>
            </w:r>
          </w:p>
        </w:tc>
      </w:tr>
      <w:tr>
        <w:trPr>
          <w:trHeight w:val="347" w:hRule="exact"/>
        </w:trPr>
        <w:tc>
          <w:tcPr>
            <w:tcW w:w="3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星榕基物联网应用公共支撑平台</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经审批的立项申请</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已完工</w:t>
            </w:r>
          </w:p>
        </w:tc>
      </w:tr>
      <w:tr>
        <w:trPr>
          <w:trHeight w:val="348" w:hRule="exact"/>
        </w:trPr>
        <w:tc>
          <w:tcPr>
            <w:tcW w:w="3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星榕基平安校园物联网云平台</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经审批的立项申请</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已完工</w:t>
            </w: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258"/>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358" w:hRule="exact"/>
        </w:trPr>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5"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3" w:hRule="exact"/>
        </w:trPr>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或形成商誉的事</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2735" w:type="dxa"/>
            <w:tcBorders>
              <w:top w:val="nil" w:sz="6" w:space="0" w:color="auto"/>
              <w:left w:val="single" w:sz="4" w:space="0" w:color="000000"/>
              <w:bottom w:val="single" w:sz="4" w:space="0" w:color="000000"/>
              <w:right w:val="single" w:sz="4" w:space="0" w:color="000000"/>
            </w:tcBorders>
            <w:shd w:val="clear" w:color="auto" w:fill="D3D3D3"/>
          </w:tcPr>
          <w:p>
            <w:pPr/>
          </w:p>
        </w:tc>
        <w:tc>
          <w:tcPr>
            <w:tcW w:w="2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r>
    </w:tbl>
    <w:p>
      <w:pPr>
        <w:spacing w:line="240" w:lineRule="auto" w:before="3"/>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358" w:hRule="exact"/>
        </w:trPr>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5"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3" w:hRule="exact"/>
        </w:trPr>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或形成商誉的事</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2735" w:type="dxa"/>
            <w:tcBorders>
              <w:top w:val="nil" w:sz="6" w:space="0" w:color="auto"/>
              <w:left w:val="single" w:sz="4" w:space="0" w:color="000000"/>
              <w:bottom w:val="single" w:sz="4" w:space="0" w:color="000000"/>
              <w:right w:val="single" w:sz="4" w:space="0" w:color="000000"/>
            </w:tcBorders>
            <w:shd w:val="clear" w:color="auto" w:fill="D3D3D3"/>
          </w:tcPr>
          <w:p>
            <w:pPr/>
          </w:p>
        </w:tc>
        <w:tc>
          <w:tcPr>
            <w:tcW w:w="2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r>
    </w:tbl>
    <w:p>
      <w:pPr>
        <w:pStyle w:val="BodyText"/>
        <w:spacing w:line="360" w:lineRule="auto" w:before="51"/>
        <w:ind w:left="153" w:right="5091"/>
        <w:jc w:val="left"/>
      </w:pPr>
      <w:r>
        <w:rPr/>
        <w:t>说明商誉减值测试过程、参数及商誉减值损失的确认方法： 其他说明</w:t>
      </w:r>
    </w:p>
    <w:p>
      <w:pPr>
        <w:spacing w:line="240" w:lineRule="auto" w:before="11"/>
        <w:rPr>
          <w:rFonts w:ascii="宋体" w:hAnsi="宋体" w:cs="宋体" w:eastAsia="宋体" w:hint="default"/>
          <w:sz w:val="19"/>
          <w:szCs w:val="19"/>
        </w:rPr>
      </w:pPr>
    </w:p>
    <w:p>
      <w:pPr>
        <w:pStyle w:val="Heading3"/>
        <w:spacing w:line="240" w:lineRule="auto"/>
        <w:ind w:right="1258"/>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595,528.33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264,679.20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330,849.13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595,528.33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264,679.20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330,849.13</w:t>
            </w:r>
          </w:p>
        </w:tc>
      </w:tr>
    </w:tbl>
    <w:p>
      <w:pPr>
        <w:pStyle w:val="BodyText"/>
        <w:spacing w:line="240" w:lineRule="auto" w:before="51"/>
        <w:ind w:right="125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258"/>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0"/>
        <w:gridCol w:w="1916"/>
        <w:gridCol w:w="1914"/>
        <w:gridCol w:w="1914"/>
        <w:gridCol w:w="1914"/>
      </w:tblGrid>
      <w:tr>
        <w:trPr>
          <w:trHeight w:val="205" w:hRule="exact"/>
        </w:trPr>
        <w:tc>
          <w:tcPr>
            <w:tcW w:w="1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383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90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3D3D3"/>
          </w:tcPr>
          <w:p>
            <w:pPr/>
          </w:p>
        </w:tc>
        <w:tc>
          <w:tcPr>
            <w:tcW w:w="3828" w:type="dxa"/>
            <w:gridSpan w:val="2"/>
            <w:vMerge/>
            <w:tcBorders>
              <w:left w:val="single" w:sz="4" w:space="0" w:color="000000"/>
              <w:bottom w:val="single" w:sz="4" w:space="0" w:color="000000"/>
              <w:right w:val="single" w:sz="4" w:space="0" w:color="000000"/>
            </w:tcBorders>
            <w:shd w:val="clear" w:color="auto" w:fill="D3D3D3"/>
          </w:tcPr>
          <w:p>
            <w:pPr/>
          </w:p>
        </w:tc>
      </w:tr>
      <w:tr>
        <w:trPr>
          <w:trHeight w:val="195" w:hRule="exact"/>
        </w:trPr>
        <w:tc>
          <w:tcPr>
            <w:tcW w:w="1900" w:type="dxa"/>
            <w:vMerge/>
            <w:tcBorders>
              <w:left w:val="single" w:sz="4" w:space="0" w:color="000000"/>
              <w:bottom w:val="nil" w:sz="6" w:space="0" w:color="auto"/>
              <w:right w:val="single" w:sz="4" w:space="0" w:color="000000"/>
            </w:tcBorders>
            <w:shd w:val="clear" w:color="auto" w:fill="D3D3D3"/>
          </w:tcPr>
          <w:p>
            <w:pPr/>
          </w:p>
        </w:tc>
        <w:tc>
          <w:tcPr>
            <w:tcW w:w="19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7" w:hRule="exact"/>
        </w:trPr>
        <w:tc>
          <w:tcPr>
            <w:tcW w:w="190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6"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31,575,994.28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4,032,175.86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22,046,991.27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2,871,144.29</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75,128,974.81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18,189,437.19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71,260,678.64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17,076,029.34</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6,048,333.35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654,833.34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2,904,551.26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292,330.13</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112,753,302.44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22,876,446.39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96,212,221.17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20,239,503.76</w:t>
            </w: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886"/>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3"/>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12"/>
        <w:gridCol w:w="1904"/>
        <w:gridCol w:w="1914"/>
        <w:gridCol w:w="1914"/>
        <w:gridCol w:w="1903"/>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3D3D3"/>
          </w:tcPr>
          <w:p>
            <w:pPr/>
          </w:p>
        </w:tc>
        <w:tc>
          <w:tcPr>
            <w:tcW w:w="190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401"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411"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904"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c>
          <w:tcPr>
            <w:tcW w:w="1903" w:type="dxa"/>
            <w:vMerge/>
            <w:tcBorders>
              <w:left w:val="single" w:sz="4" w:space="0" w:color="000000"/>
              <w:right w:val="single" w:sz="4" w:space="0" w:color="000000"/>
            </w:tcBorders>
            <w:shd w:val="clear" w:color="auto" w:fill="D3D3D3"/>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3D3D3"/>
          </w:tcPr>
          <w:p>
            <w:pPr/>
          </w:p>
        </w:tc>
        <w:tc>
          <w:tcPr>
            <w:tcW w:w="190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0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4"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22,876,446.39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20,239,503.76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1,508,295.84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781,937.24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86,261,489.73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56,463,095.32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87,769,785.57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57,245,032.56</w:t>
            </w: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2,735,338.87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13,465,758.45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14,565,324.53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18,228,187.46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14,848,739.78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14,823,160.75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11,451,389.66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15,448,363.98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12,862,302.48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24,296,019.09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86,261,489.73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56,463,095.32</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25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预付土地出让金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9,471,720.10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9,471,720.10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683,920.00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预付房屋、设备款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135,600.00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174,700.00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9,607,320.10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10,330,340.10</w:t>
            </w:r>
          </w:p>
        </w:tc>
      </w:tr>
    </w:tbl>
    <w:p>
      <w:pPr>
        <w:pStyle w:val="BodyText"/>
        <w:spacing w:line="240" w:lineRule="auto" w:before="51"/>
        <w:ind w:right="125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258"/>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59"/>
        <w:gridCol w:w="3209"/>
        <w:gridCol w:w="3178"/>
      </w:tblGrid>
      <w:tr>
        <w:trPr>
          <w:trHeight w:val="402" w:hRule="exact"/>
        </w:trPr>
        <w:tc>
          <w:tcPr>
            <w:tcW w:w="31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039" w:right="0"/>
              <w:jc w:val="left"/>
              <w:rPr>
                <w:rFonts w:ascii="Times New Roman" w:hAnsi="Times New Roman" w:cs="Times New Roman" w:eastAsia="Times New Roman" w:hint="default"/>
                <w:sz w:val="18"/>
                <w:szCs w:val="18"/>
              </w:rPr>
            </w:pPr>
            <w:r>
              <w:rPr>
                <w:rFonts w:ascii="Times New Roman"/>
                <w:sz w:val="18"/>
              </w:rPr>
              <w:t>495,000,000.00</w:t>
            </w:r>
          </w:p>
        </w:tc>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8" w:right="0"/>
              <w:jc w:val="left"/>
              <w:rPr>
                <w:rFonts w:ascii="Times New Roman" w:hAnsi="Times New Roman" w:cs="Times New Roman" w:eastAsia="Times New Roman" w:hint="default"/>
                <w:sz w:val="18"/>
                <w:szCs w:val="18"/>
              </w:rPr>
            </w:pPr>
            <w:r>
              <w:rPr>
                <w:rFonts w:ascii="Times New Roman"/>
                <w:sz w:val="18"/>
              </w:rPr>
              <w:t>114,000,000.00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495,000,000.00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7" w:right="0"/>
              <w:jc w:val="left"/>
              <w:rPr>
                <w:rFonts w:ascii="Times New Roman" w:hAnsi="Times New Roman" w:cs="Times New Roman" w:eastAsia="Times New Roman" w:hint="default"/>
                <w:sz w:val="18"/>
                <w:szCs w:val="18"/>
              </w:rPr>
            </w:pPr>
            <w:r>
              <w:rPr>
                <w:rFonts w:ascii="Times New Roman"/>
                <w:sz w:val="18"/>
              </w:rPr>
              <w:t>114,000,000.00</w:t>
            </w:r>
          </w:p>
        </w:tc>
      </w:tr>
    </w:tbl>
    <w:p>
      <w:pPr>
        <w:pStyle w:val="BodyText"/>
        <w:spacing w:line="240" w:lineRule="auto" w:before="51"/>
        <w:ind w:right="1258"/>
        <w:jc w:val="left"/>
      </w:pPr>
      <w:r>
        <w:rPr/>
        <w:t>短期借款分类的说明：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258"/>
        <w:jc w:val="left"/>
      </w:pPr>
      <w:r>
        <w:rPr/>
        <w:t>本期末已逾期未偿还的短期借款总额为元，其中重要的已逾期未偿还的短期借款情况如下：</w:t>
      </w:r>
    </w:p>
    <w:p>
      <w:pPr>
        <w:pStyle w:val="BodyText"/>
        <w:spacing w:line="240" w:lineRule="auto" w:before="116"/>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2"/>
        <w:ind w:right="125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125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258"/>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23,211,091.00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10,683,069.00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23,211,091.00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10,683,069.00</w:t>
            </w:r>
          </w:p>
        </w:tc>
      </w:tr>
    </w:tbl>
    <w:p>
      <w:pPr>
        <w:pStyle w:val="BodyText"/>
        <w:spacing w:line="240" w:lineRule="auto" w:before="51"/>
        <w:ind w:right="1258"/>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1258"/>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258"/>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179,625,337.60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173,089,876.03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93,524,386.19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42,973,843.50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273,149,723.79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216,063,719.53</w:t>
            </w: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安徽慈湖建设集团有限公司第五分公司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19,324,728.57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福建省闽保信息技术股份有限公司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5,883,341.51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福州冠盛信息技术有限公司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3,317,320.40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福建省枢建通信技术有限公司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3,151,214.21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福建锐华有限公司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2,500,250.00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34,176,854.69</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25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258"/>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225,356,038.20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215,035,250.57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225,356,038.20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215,035,250.57</w:t>
            </w: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河南省交通通信中心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6,646,762.40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未达到收入确认条件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福建广电网络集团股份有限公司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3,248,285.00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未达到收入确认条件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中共福建省委政法委员会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3,031,892.80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未达到收入确认条件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中共福州市委办公厅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2,435,100.00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未达到收入确认条件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河南省质量技术监督局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2,424,216.60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未达到收入确认条件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17,786,256.80</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4772;top:14;width:2;height:393" coordorigin="4772,14" coordsize="2,393">
              <v:shape style="position:absolute;left:4772;top:14;width:2;height:393" coordorigin="4772,14" coordsize="0,393" path="m4772,14l4772,407e" filled="false" stroked="true" strokeweight="1.140pt" strokecolor="#d3d3d3">
                <v:path arrowok="t"/>
              </v:shape>
            </v:group>
            <v:group style="position:absolute;left:37;top:14;width:4724;height:393" coordorigin="37,14" coordsize="4724,393">
              <v:shape style="position:absolute;left:37;top:14;width:4724;height:393" coordorigin="37,14" coordsize="4724,393" path="m37,407l4760,407,4760,14,37,14,37,407xe" filled="true" fillcolor="#d3d3d3" stroked="false">
                <v:path arrowok="t"/>
                <v:fill type="solid"/>
              </v:shape>
            </v:group>
            <v:group style="position:absolute;left:4805;top:14;width:2;height:393" coordorigin="4805,14" coordsize="2,393">
              <v:shape style="position:absolute;left:4805;top:14;width:2;height:393" coordorigin="4805,14" coordsize="0,393" path="m4805,14l4805,407e" filled="false" stroked="true" strokeweight="1.140pt" strokecolor="#d3d3d3">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d3d3d3">
                <v:path arrowok="t"/>
              </v:shape>
            </v:group>
            <v:group style="position:absolute;left:4817;top:14;width:4733;height:393" coordorigin="4817,14" coordsize="4733,393">
              <v:shape style="position:absolute;left:4817;top:14;width:4733;height:393" coordorigin="4817,14" coordsize="4733,393" path="m4817,407l9550,407,9550,14,4817,14,4817,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0;height:2" coordorigin="5,412" coordsize="4780,2">
              <v:shape style="position:absolute;left:5;top:412;width:4780;height:2" coordorigin="5,412" coordsize="4780,0" path="m5,412l4784,412e" filled="false" stroked="true" strokeweight=".48001pt" strokecolor="#000000">
                <v:path arrowok="t"/>
              </v:shape>
            </v:group>
            <v:group style="position:absolute;left:4789;top:14;width:2;height:402" coordorigin="4789,14" coordsize="2,402">
              <v:shape style="position:absolute;left:4789;top:14;width:2;height:402" coordorigin="4789,14" coordsize="0,402" path="m4789,14l4789,416e" filled="false" stroked="true" strokeweight=".48001pt" strokecolor="#000000">
                <v:path arrowok="t"/>
              </v:shape>
            </v:group>
            <v:group style="position:absolute;left:4794;top:412;width:4779;height:2" coordorigin="4794,412" coordsize="4779,2">
              <v:shape style="position:absolute;left:4794;top:412;width:4779;height:2" coordorigin="4794,412" coordsize="4779,0" path="m4794,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19;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3;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1258"/>
        <w:jc w:val="left"/>
      </w:pPr>
      <w:r>
        <w:rPr/>
        <w:t>其他说明：</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1258"/>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258"/>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17,347,240.51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119,392,853.34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117,527,923.27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19,212,170.58</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5,869,922.60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5,867,924.60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1,998.00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190,995.00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190,995.00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17,347,240.51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125,453,770.94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123,586,842.87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19,214,168.58</w:t>
            </w: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16,267,241.84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106,115,198.51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104,134,671.24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18,247,769.11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3,976,704.99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3,976,704.99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4,145,982.36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4,145,877.42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104.94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3,726,687.76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3,726,687.76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144,828.56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144,723.62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104.94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274,466.04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274,466.04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4,816,613.00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4,819,813.00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9,600.00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1,067,198.67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209,715.08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322,217.22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954,696.53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非货币性福利</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128,639.40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128,639.40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17,347,240.51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119,392,853.34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117,527,923.27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19,212,170.58</w:t>
            </w: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5,672,617.71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5,670,673.71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1,944.00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197,304.89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197,250.89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5,869,922.60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5,867,924.60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1,998.00</w:t>
            </w:r>
          </w:p>
        </w:tc>
      </w:tr>
    </w:tbl>
    <w:p>
      <w:pPr>
        <w:pStyle w:val="BodyText"/>
        <w:spacing w:line="240" w:lineRule="auto" w:before="51"/>
        <w:ind w:right="1258"/>
        <w:jc w:val="left"/>
      </w:pPr>
      <w:r>
        <w:rPr/>
        <w:t>其他说明：</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1258"/>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3,766,506.32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988,076.98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4,068,110.53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1,405,781.12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332,806.24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306,693.91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177,917.84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104,230.81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126,399.16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72,152.94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621,769.75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823,277.05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328,693.53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269,537.63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其他税种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248,851.32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74,810.27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9,671,054.69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4,044,560.71</w:t>
            </w:r>
          </w:p>
        </w:tc>
      </w:tr>
    </w:tbl>
    <w:p>
      <w:pPr>
        <w:pStyle w:val="BodyText"/>
        <w:spacing w:line="240" w:lineRule="auto" w:before="51"/>
        <w:ind w:right="125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5" w:type="dxa"/>
            <w:tcBorders>
              <w:top w:val="single" w:sz="4" w:space="0" w:color="000000"/>
              <w:left w:val="single" w:sz="13" w:space="0" w:color="D3D3D3"/>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65,972.22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541,031.25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138,355.91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541,031.25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204,328.13</w:t>
            </w:r>
          </w:p>
        </w:tc>
      </w:tr>
    </w:tbl>
    <w:p>
      <w:pPr>
        <w:pStyle w:val="BodyText"/>
        <w:spacing w:line="240" w:lineRule="auto" w:before="51"/>
        <w:ind w:right="1258"/>
        <w:jc w:val="left"/>
      </w:pPr>
      <w:r>
        <w:rPr/>
        <w:t>重要的已逾期未支付的利息情况：</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right="125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1258"/>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0"/>
        <w:rPr>
          <w:rFonts w:ascii="宋体" w:hAnsi="宋体" w:cs="宋体" w:eastAsia="宋体" w:hint="default"/>
          <w:sz w:val="25"/>
          <w:szCs w:val="25"/>
        </w:rPr>
      </w:pPr>
    </w:p>
    <w:p>
      <w:pPr>
        <w:pStyle w:val="Heading3"/>
        <w:spacing w:line="240" w:lineRule="auto"/>
        <w:ind w:right="1258"/>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258"/>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17,357,543.08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7,279,294.33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11,117,360.34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7,894,840.80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28,474,903.42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15,174,135.13</w:t>
            </w: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北京华奥世纪科技发展有限公司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1,325,900.00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马鞍山市秀山投资有限公司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福建瑞聚信息技术股份有限公司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杭州慧泉信息科技有限公司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中铁建设集团有限公司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4,345,900.00</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25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42</w:t>
      </w:r>
      <w:r>
        <w:rPr/>
        <w:t>、持有待售的负债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125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88"/>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3" w:type="dxa"/>
            <w:tcBorders>
              <w:top w:val="single" w:sz="4" w:space="0" w:color="000000"/>
              <w:left w:val="single" w:sz="13" w:space="0" w:color="D3D3D3"/>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一年内到期的递延收益</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1,694,721.14</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3,694,721.14</w:t>
            </w:r>
          </w:p>
        </w:tc>
      </w:tr>
    </w:tbl>
    <w:p>
      <w:pPr>
        <w:pStyle w:val="BodyText"/>
        <w:spacing w:line="240" w:lineRule="auto" w:before="51"/>
        <w:ind w:right="1258"/>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left="156" w:right="1258"/>
        <w:jc w:val="left"/>
      </w:pPr>
      <w:r>
        <w:rPr/>
        <w:t>（1）一年内到期的长期借款</w:t>
      </w:r>
    </w:p>
    <w:p>
      <w:pPr>
        <w:spacing w:line="240" w:lineRule="auto" w:before="1"/>
        <w:rPr>
          <w:rFonts w:ascii="宋体" w:hAnsi="宋体" w:cs="宋体" w:eastAsia="宋体" w:hint="default"/>
          <w:sz w:val="19"/>
          <w:szCs w:val="19"/>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324" w:type="dxa"/>
        <w:tblLayout w:type="fixed"/>
        <w:tblCellMar>
          <w:top w:w="0" w:type="dxa"/>
          <w:left w:w="0" w:type="dxa"/>
          <w:bottom w:w="0" w:type="dxa"/>
          <w:right w:w="0" w:type="dxa"/>
        </w:tblCellMar>
        <w:tblLook w:val="01E0"/>
      </w:tblPr>
      <w:tblGrid>
        <w:gridCol w:w="3096"/>
        <w:gridCol w:w="3094"/>
        <w:gridCol w:w="3092"/>
      </w:tblGrid>
      <w:tr>
        <w:trPr>
          <w:trHeight w:val="346" w:hRule="exact"/>
        </w:trPr>
        <w:tc>
          <w:tcPr>
            <w:tcW w:w="3096"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3094"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9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8" w:hRule="exact"/>
        </w:trPr>
        <w:tc>
          <w:tcPr>
            <w:tcW w:w="3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信用借款</w:t>
            </w:r>
          </w:p>
        </w:tc>
        <w:tc>
          <w:tcPr>
            <w:tcW w:w="3094" w:type="dxa"/>
            <w:tcBorders>
              <w:top w:val="single" w:sz="6" w:space="0" w:color="000000"/>
              <w:left w:val="single" w:sz="6" w:space="0" w:color="000000"/>
              <w:bottom w:val="single" w:sz="6" w:space="0" w:color="000000"/>
              <w:right w:val="single" w:sz="6" w:space="0" w:color="000000"/>
            </w:tcBorders>
          </w:tcPr>
          <w:p>
            <w:pPr/>
          </w:p>
        </w:tc>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2,000,000.00</w:t>
            </w:r>
          </w:p>
        </w:tc>
      </w:tr>
    </w:tbl>
    <w:p>
      <w:pPr>
        <w:spacing w:line="240" w:lineRule="auto" w:before="8"/>
        <w:rPr>
          <w:rFonts w:ascii="宋体" w:hAnsi="宋体" w:cs="宋体" w:eastAsia="宋体" w:hint="default"/>
          <w:sz w:val="6"/>
          <w:szCs w:val="6"/>
        </w:rPr>
      </w:pPr>
    </w:p>
    <w:p>
      <w:pPr>
        <w:pStyle w:val="BodyText"/>
        <w:spacing w:line="240" w:lineRule="auto" w:before="44"/>
        <w:ind w:left="156" w:right="1258"/>
        <w:jc w:val="left"/>
      </w:pPr>
      <w:r>
        <w:rPr/>
        <w:t>（2）一年内到期的递延收益</w:t>
      </w:r>
    </w:p>
    <w:p>
      <w:pPr>
        <w:spacing w:line="240" w:lineRule="auto" w:before="1"/>
        <w:rPr>
          <w:rFonts w:ascii="宋体" w:hAnsi="宋体" w:cs="宋体" w:eastAsia="宋体" w:hint="default"/>
          <w:sz w:val="19"/>
          <w:szCs w:val="19"/>
        </w:rPr>
      </w:pPr>
    </w:p>
    <w:p>
      <w:pPr>
        <w:pStyle w:val="BodyText"/>
        <w:spacing w:line="240" w:lineRule="auto" w:before="44"/>
        <w:ind w:left="0" w:right="150"/>
        <w:jc w:val="right"/>
      </w:pPr>
      <w:r>
        <w:rPr/>
        <w:t>单位： 元</w:t>
      </w:r>
    </w:p>
    <w:p>
      <w:pPr>
        <w:spacing w:after="0" w:line="240" w:lineRule="auto"/>
        <w:jc w:val="right"/>
        <w:sectPr>
          <w:pgSz w:w="11910" w:h="16840"/>
          <w:pgMar w:header="877" w:footer="982" w:top="1100" w:bottom="1180" w:left="980" w:right="980"/>
        </w:sectPr>
      </w:pPr>
    </w:p>
    <w:p>
      <w:pPr>
        <w:spacing w:line="240" w:lineRule="auto" w:before="7"/>
        <w:rPr>
          <w:rFonts w:ascii="宋体" w:hAnsi="宋体" w:cs="宋体" w:eastAsia="宋体" w:hint="default"/>
          <w:sz w:val="24"/>
          <w:szCs w:val="24"/>
        </w:rPr>
      </w:pPr>
    </w:p>
    <w:tbl>
      <w:tblPr>
        <w:tblW w:w="0" w:type="auto"/>
        <w:jc w:val="left"/>
        <w:tblInd w:w="428" w:type="dxa"/>
        <w:tblLayout w:type="fixed"/>
        <w:tblCellMar>
          <w:top w:w="0" w:type="dxa"/>
          <w:left w:w="0" w:type="dxa"/>
          <w:bottom w:w="0" w:type="dxa"/>
          <w:right w:w="0" w:type="dxa"/>
        </w:tblCellMar>
        <w:tblLook w:val="01E0"/>
      </w:tblPr>
      <w:tblGrid>
        <w:gridCol w:w="2834"/>
        <w:gridCol w:w="1134"/>
        <w:gridCol w:w="992"/>
        <w:gridCol w:w="1134"/>
        <w:gridCol w:w="851"/>
        <w:gridCol w:w="854"/>
        <w:gridCol w:w="1270"/>
      </w:tblGrid>
      <w:tr>
        <w:trPr>
          <w:trHeight w:val="661" w:hRule="exact"/>
        </w:trPr>
        <w:tc>
          <w:tcPr>
            <w:tcW w:w="2834" w:type="dxa"/>
            <w:tcBorders>
              <w:top w:val="single" w:sz="6" w:space="0" w:color="000000"/>
              <w:left w:val="single" w:sz="8" w:space="0" w:color="000000"/>
              <w:bottom w:val="single" w:sz="8" w:space="0" w:color="000000"/>
              <w:right w:val="single" w:sz="8" w:space="0" w:color="000000"/>
            </w:tcBorders>
            <w:shd w:val="clear" w:color="auto" w:fill="BFBFBF"/>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134" w:type="dxa"/>
            <w:tcBorders>
              <w:top w:val="single" w:sz="6" w:space="0" w:color="000000"/>
              <w:left w:val="single" w:sz="8" w:space="0" w:color="000000"/>
              <w:bottom w:val="single" w:sz="8" w:space="0" w:color="000000"/>
              <w:right w:val="single" w:sz="8" w:space="0" w:color="000000"/>
            </w:tcBorders>
            <w:shd w:val="clear" w:color="auto" w:fill="BFBFBF"/>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92" w:type="dxa"/>
            <w:tcBorders>
              <w:top w:val="single" w:sz="6" w:space="0" w:color="000000"/>
              <w:left w:val="single" w:sz="8" w:space="0" w:color="000000"/>
              <w:bottom w:val="single" w:sz="8" w:space="0" w:color="000000"/>
              <w:right w:val="single" w:sz="8" w:space="0" w:color="000000"/>
            </w:tcBorders>
            <w:shd w:val="clear" w:color="auto" w:fill="BFBFBF"/>
          </w:tcPr>
          <w:p>
            <w:pPr>
              <w:pStyle w:val="TableParagraph"/>
              <w:spacing w:line="316" w:lineRule="auto" w:before="20"/>
              <w:ind w:left="216" w:right="3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134" w:type="dxa"/>
            <w:tcBorders>
              <w:top w:val="single" w:sz="6" w:space="0" w:color="000000"/>
              <w:left w:val="single" w:sz="8" w:space="0" w:color="000000"/>
              <w:bottom w:val="single" w:sz="8" w:space="0" w:color="000000"/>
              <w:right w:val="single" w:sz="8" w:space="0" w:color="000000"/>
            </w:tcBorders>
            <w:shd w:val="clear" w:color="auto" w:fill="BFBFBF"/>
          </w:tcPr>
          <w:p>
            <w:pPr>
              <w:pStyle w:val="TableParagraph"/>
              <w:spacing w:line="316" w:lineRule="auto" w:before="20"/>
              <w:ind w:left="106" w:right="17" w:hanging="90"/>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851" w:type="dxa"/>
            <w:tcBorders>
              <w:top w:val="single" w:sz="6" w:space="0" w:color="000000"/>
              <w:left w:val="single" w:sz="8" w:space="0" w:color="000000"/>
              <w:bottom w:val="single" w:sz="8" w:space="0" w:color="000000"/>
              <w:right w:val="single" w:sz="8" w:space="0" w:color="000000"/>
            </w:tcBorders>
            <w:shd w:val="clear" w:color="auto" w:fill="BFBFBF"/>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854" w:type="dxa"/>
            <w:tcBorders>
              <w:top w:val="single" w:sz="6" w:space="0" w:color="000000"/>
              <w:left w:val="single" w:sz="8" w:space="0" w:color="000000"/>
              <w:bottom w:val="single" w:sz="8" w:space="0" w:color="000000"/>
              <w:right w:val="single" w:sz="8" w:space="0" w:color="000000"/>
            </w:tcBorders>
            <w:shd w:val="clear" w:color="auto" w:fill="BFBFBF"/>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0" w:type="dxa"/>
            <w:tcBorders>
              <w:top w:val="single" w:sz="6" w:space="0" w:color="000000"/>
              <w:left w:val="single" w:sz="8" w:space="0" w:color="000000"/>
              <w:bottom w:val="single" w:sz="8" w:space="0" w:color="000000"/>
              <w:right w:val="single" w:sz="8" w:space="0" w:color="000000"/>
            </w:tcBorders>
            <w:shd w:val="clear" w:color="auto" w:fill="BFBFBF"/>
          </w:tcPr>
          <w:p>
            <w:pPr>
              <w:pStyle w:val="TableParagraph"/>
              <w:spacing w:line="300" w:lineRule="auto" w:before="20"/>
              <w:ind w:left="265" w:right="59" w:hanging="20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 收益相关</w:t>
            </w:r>
          </w:p>
        </w:tc>
      </w:tr>
      <w:tr>
        <w:trPr>
          <w:trHeight w:val="352" w:hRule="exact"/>
        </w:trPr>
        <w:tc>
          <w:tcPr>
            <w:tcW w:w="2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榕基马鞍山智慧园</w:t>
            </w:r>
            <w:r>
              <w:rPr>
                <w:rFonts w:ascii="Times New Roman" w:hAnsi="Times New Roman" w:cs="Times New Roman" w:eastAsia="Times New Roman" w:hint="default"/>
                <w:sz w:val="18"/>
                <w:szCs w:val="18"/>
              </w:rPr>
              <w:t>”</w:t>
            </w:r>
            <w:r>
              <w:rPr>
                <w:rFonts w:ascii="宋体" w:hAnsi="宋体" w:cs="宋体" w:eastAsia="宋体" w:hint="default"/>
                <w:sz w:val="18"/>
                <w:szCs w:val="18"/>
              </w:rPr>
              <w:t>项目补助资金</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1,168,503.24</w:t>
            </w:r>
          </w:p>
        </w:tc>
        <w:tc>
          <w:tcPr>
            <w:tcW w:w="992" w:type="dxa"/>
            <w:tcBorders>
              <w:top w:val="single" w:sz="8" w:space="0" w:color="000000"/>
              <w:left w:val="single" w:sz="8" w:space="0" w:color="000000"/>
              <w:bottom w:val="single" w:sz="8" w:space="0" w:color="000000"/>
              <w:right w:val="single" w:sz="8" w:space="0" w:color="000000"/>
            </w:tcBorders>
          </w:tcPr>
          <w:p>
            <w:pP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1,168,503.24</w:t>
            </w:r>
          </w:p>
        </w:tc>
        <w:tc>
          <w:tcPr>
            <w:tcW w:w="851" w:type="dxa"/>
            <w:tcBorders>
              <w:top w:val="single" w:sz="8" w:space="0" w:color="000000"/>
              <w:left w:val="single" w:sz="8" w:space="0" w:color="000000"/>
              <w:bottom w:val="single" w:sz="8" w:space="0" w:color="000000"/>
              <w:right w:val="single" w:sz="8" w:space="0" w:color="000000"/>
            </w:tcBorders>
          </w:tcPr>
          <w:p>
            <w:pPr/>
          </w:p>
        </w:tc>
        <w:tc>
          <w:tcPr>
            <w:tcW w:w="854" w:type="dxa"/>
            <w:tcBorders>
              <w:top w:val="single" w:sz="8" w:space="0" w:color="000000"/>
              <w:left w:val="single" w:sz="8" w:space="0" w:color="000000"/>
              <w:bottom w:val="single" w:sz="8" w:space="0" w:color="000000"/>
              <w:right w:val="single" w:sz="8" w:space="0" w:color="000000"/>
            </w:tcBorders>
          </w:tcPr>
          <w:p>
            <w:pPr/>
          </w:p>
        </w:tc>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65" w:hRule="exact"/>
        </w:trPr>
        <w:tc>
          <w:tcPr>
            <w:tcW w:w="2834"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1"/>
              <w:ind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年第一批战略性新兴产业专项 经费</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37,500.00</w:t>
            </w:r>
          </w:p>
        </w:tc>
        <w:tc>
          <w:tcPr>
            <w:tcW w:w="992" w:type="dxa"/>
            <w:tcBorders>
              <w:top w:val="single" w:sz="8" w:space="0" w:color="000000"/>
              <w:left w:val="single" w:sz="8" w:space="0" w:color="000000"/>
              <w:bottom w:val="single" w:sz="8" w:space="0" w:color="000000"/>
              <w:right w:val="single" w:sz="8" w:space="0" w:color="000000"/>
            </w:tcBorders>
          </w:tcPr>
          <w:p>
            <w:pP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37,500.00</w:t>
            </w:r>
          </w:p>
        </w:tc>
        <w:tc>
          <w:tcPr>
            <w:tcW w:w="851" w:type="dxa"/>
            <w:tcBorders>
              <w:top w:val="single" w:sz="8" w:space="0" w:color="000000"/>
              <w:left w:val="single" w:sz="8" w:space="0" w:color="000000"/>
              <w:bottom w:val="single" w:sz="8" w:space="0" w:color="000000"/>
              <w:right w:val="single" w:sz="8" w:space="0" w:color="000000"/>
            </w:tcBorders>
          </w:tcPr>
          <w:p>
            <w:pPr/>
          </w:p>
        </w:tc>
        <w:tc>
          <w:tcPr>
            <w:tcW w:w="854" w:type="dxa"/>
            <w:tcBorders>
              <w:top w:val="single" w:sz="8" w:space="0" w:color="000000"/>
              <w:left w:val="single" w:sz="8" w:space="0" w:color="000000"/>
              <w:bottom w:val="single" w:sz="8" w:space="0" w:color="000000"/>
              <w:right w:val="single" w:sz="8" w:space="0" w:color="000000"/>
            </w:tcBorders>
          </w:tcPr>
          <w:p>
            <w:pPr/>
          </w:p>
        </w:tc>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2" w:hRule="exact"/>
        </w:trPr>
        <w:tc>
          <w:tcPr>
            <w:tcW w:w="2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首届福州市政府质量奖奖励金</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40,000.00</w:t>
            </w:r>
          </w:p>
        </w:tc>
        <w:tc>
          <w:tcPr>
            <w:tcW w:w="992" w:type="dxa"/>
            <w:tcBorders>
              <w:top w:val="single" w:sz="8" w:space="0" w:color="000000"/>
              <w:left w:val="single" w:sz="8" w:space="0" w:color="000000"/>
              <w:bottom w:val="single" w:sz="8" w:space="0" w:color="000000"/>
              <w:right w:val="single" w:sz="8" w:space="0" w:color="000000"/>
            </w:tcBorders>
          </w:tcPr>
          <w:p>
            <w:pP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40,000.00</w:t>
            </w:r>
          </w:p>
        </w:tc>
        <w:tc>
          <w:tcPr>
            <w:tcW w:w="851" w:type="dxa"/>
            <w:tcBorders>
              <w:top w:val="single" w:sz="8" w:space="0" w:color="000000"/>
              <w:left w:val="single" w:sz="8" w:space="0" w:color="000000"/>
              <w:bottom w:val="single" w:sz="8" w:space="0" w:color="000000"/>
              <w:right w:val="single" w:sz="8" w:space="0" w:color="000000"/>
            </w:tcBorders>
          </w:tcPr>
          <w:p>
            <w:pPr/>
          </w:p>
        </w:tc>
        <w:tc>
          <w:tcPr>
            <w:tcW w:w="854" w:type="dxa"/>
            <w:tcBorders>
              <w:top w:val="single" w:sz="8" w:space="0" w:color="000000"/>
              <w:left w:val="single" w:sz="8" w:space="0" w:color="000000"/>
              <w:bottom w:val="single" w:sz="8" w:space="0" w:color="000000"/>
              <w:right w:val="single" w:sz="8" w:space="0" w:color="000000"/>
            </w:tcBorders>
          </w:tcPr>
          <w:p>
            <w:pPr/>
          </w:p>
        </w:tc>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64" w:hRule="exact"/>
        </w:trPr>
        <w:tc>
          <w:tcPr>
            <w:tcW w:w="2834"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1"/>
              <w:ind w:right="73"/>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年重大专项榕基</w:t>
            </w:r>
            <w:r>
              <w:rPr>
                <w:rFonts w:ascii="Times New Roman" w:hAnsi="Times New Roman" w:cs="Times New Roman" w:eastAsia="Times New Roman" w:hint="default"/>
                <w:sz w:val="18"/>
                <w:szCs w:val="18"/>
              </w:rPr>
              <w:t>WEB</w:t>
            </w:r>
            <w:r>
              <w:rPr>
                <w:rFonts w:ascii="宋体" w:hAnsi="宋体" w:cs="宋体" w:eastAsia="宋体" w:hint="default"/>
                <w:sz w:val="18"/>
                <w:szCs w:val="18"/>
              </w:rPr>
              <w:t>应用安全 扫描系统专项资金</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333,333.32</w:t>
            </w:r>
          </w:p>
        </w:tc>
        <w:tc>
          <w:tcPr>
            <w:tcW w:w="992" w:type="dxa"/>
            <w:tcBorders>
              <w:top w:val="single" w:sz="8" w:space="0" w:color="000000"/>
              <w:left w:val="single" w:sz="8" w:space="0" w:color="000000"/>
              <w:bottom w:val="single" w:sz="8" w:space="0" w:color="000000"/>
              <w:right w:val="single" w:sz="8" w:space="0" w:color="000000"/>
            </w:tcBorders>
          </w:tcPr>
          <w:p>
            <w:pP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333,333.32</w:t>
            </w:r>
          </w:p>
        </w:tc>
        <w:tc>
          <w:tcPr>
            <w:tcW w:w="851" w:type="dxa"/>
            <w:tcBorders>
              <w:top w:val="single" w:sz="8" w:space="0" w:color="000000"/>
              <w:left w:val="single" w:sz="8" w:space="0" w:color="000000"/>
              <w:bottom w:val="single" w:sz="8" w:space="0" w:color="000000"/>
              <w:right w:val="single" w:sz="8" w:space="0" w:color="000000"/>
            </w:tcBorders>
          </w:tcPr>
          <w:p>
            <w:pPr/>
          </w:p>
        </w:tc>
        <w:tc>
          <w:tcPr>
            <w:tcW w:w="854" w:type="dxa"/>
            <w:tcBorders>
              <w:top w:val="single" w:sz="8" w:space="0" w:color="000000"/>
              <w:left w:val="single" w:sz="8" w:space="0" w:color="000000"/>
              <w:bottom w:val="single" w:sz="8" w:space="0" w:color="000000"/>
              <w:right w:val="single" w:sz="8" w:space="0" w:color="000000"/>
            </w:tcBorders>
          </w:tcPr>
          <w:p>
            <w:pPr/>
          </w:p>
        </w:tc>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65" w:hRule="exact"/>
        </w:trPr>
        <w:tc>
          <w:tcPr>
            <w:tcW w:w="2834"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1"/>
              <w:ind w:right="113"/>
              <w:jc w:val="left"/>
              <w:rPr>
                <w:rFonts w:ascii="宋体" w:hAnsi="宋体" w:cs="宋体" w:eastAsia="宋体" w:hint="default"/>
                <w:sz w:val="18"/>
                <w:szCs w:val="18"/>
              </w:rPr>
            </w:pPr>
            <w:r>
              <w:rPr>
                <w:rFonts w:ascii="宋体" w:hAnsi="宋体" w:cs="宋体" w:eastAsia="宋体" w:hint="default"/>
                <w:sz w:val="18"/>
                <w:szCs w:val="18"/>
              </w:rPr>
              <w:t>关于下达</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年第二批软件产业发 展专项资金的通知</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115,384.58</w:t>
            </w:r>
          </w:p>
        </w:tc>
        <w:tc>
          <w:tcPr>
            <w:tcW w:w="992" w:type="dxa"/>
            <w:tcBorders>
              <w:top w:val="single" w:sz="8" w:space="0" w:color="000000"/>
              <w:left w:val="single" w:sz="8" w:space="0" w:color="000000"/>
              <w:bottom w:val="single" w:sz="8" w:space="0" w:color="000000"/>
              <w:right w:val="single" w:sz="8" w:space="0" w:color="000000"/>
            </w:tcBorders>
          </w:tcPr>
          <w:p>
            <w:pP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115,384.58</w:t>
            </w:r>
          </w:p>
        </w:tc>
        <w:tc>
          <w:tcPr>
            <w:tcW w:w="851" w:type="dxa"/>
            <w:tcBorders>
              <w:top w:val="single" w:sz="8" w:space="0" w:color="000000"/>
              <w:left w:val="single" w:sz="8" w:space="0" w:color="000000"/>
              <w:bottom w:val="single" w:sz="8" w:space="0" w:color="000000"/>
              <w:right w:val="single" w:sz="8" w:space="0" w:color="000000"/>
            </w:tcBorders>
          </w:tcPr>
          <w:p>
            <w:pPr/>
          </w:p>
        </w:tc>
        <w:tc>
          <w:tcPr>
            <w:tcW w:w="854" w:type="dxa"/>
            <w:tcBorders>
              <w:top w:val="single" w:sz="8" w:space="0" w:color="000000"/>
              <w:left w:val="single" w:sz="8" w:space="0" w:color="000000"/>
              <w:bottom w:val="single" w:sz="8" w:space="0" w:color="000000"/>
              <w:right w:val="single" w:sz="8" w:space="0" w:color="000000"/>
            </w:tcBorders>
          </w:tcPr>
          <w:p>
            <w:pPr/>
          </w:p>
        </w:tc>
        <w:tc>
          <w:tcPr>
            <w:tcW w:w="12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3" w:hRule="exact"/>
        </w:trPr>
        <w:tc>
          <w:tcPr>
            <w:tcW w:w="2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1,694,721.14</w:t>
            </w:r>
          </w:p>
        </w:tc>
        <w:tc>
          <w:tcPr>
            <w:tcW w:w="992" w:type="dxa"/>
            <w:tcBorders>
              <w:top w:val="single" w:sz="8" w:space="0" w:color="000000"/>
              <w:left w:val="single" w:sz="8" w:space="0" w:color="000000"/>
              <w:bottom w:val="single" w:sz="8" w:space="0" w:color="000000"/>
              <w:right w:val="single" w:sz="8" w:space="0" w:color="000000"/>
            </w:tcBorders>
          </w:tcPr>
          <w:p>
            <w:pPr/>
          </w:p>
        </w:tc>
        <w:tc>
          <w:tcPr>
            <w:tcW w:w="11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1,694,721.14</w:t>
            </w:r>
          </w:p>
        </w:tc>
        <w:tc>
          <w:tcPr>
            <w:tcW w:w="851" w:type="dxa"/>
            <w:tcBorders>
              <w:top w:val="single" w:sz="8" w:space="0" w:color="000000"/>
              <w:left w:val="single" w:sz="8" w:space="0" w:color="000000"/>
              <w:bottom w:val="single" w:sz="8" w:space="0" w:color="000000"/>
              <w:right w:val="single" w:sz="8" w:space="0" w:color="000000"/>
            </w:tcBorders>
          </w:tcPr>
          <w:p>
            <w:pPr/>
          </w:p>
        </w:tc>
        <w:tc>
          <w:tcPr>
            <w:tcW w:w="854" w:type="dxa"/>
            <w:tcBorders>
              <w:top w:val="single" w:sz="8" w:space="0" w:color="000000"/>
              <w:left w:val="single" w:sz="8" w:space="0" w:color="000000"/>
              <w:bottom w:val="single" w:sz="8" w:space="0" w:color="000000"/>
              <w:right w:val="single" w:sz="8" w:space="0" w:color="000000"/>
            </w:tcBorders>
          </w:tcPr>
          <w:p>
            <w:pPr/>
          </w:p>
        </w:tc>
        <w:tc>
          <w:tcPr>
            <w:tcW w:w="1270"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95"/>
        <w:ind w:right="1258"/>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待转销项税额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20,431,377.14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18,310,356.54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20,431,377.14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18,310,356.54</w:t>
            </w:r>
          </w:p>
        </w:tc>
      </w:tr>
    </w:tbl>
    <w:p>
      <w:pPr>
        <w:pStyle w:val="BodyText"/>
        <w:spacing w:line="240" w:lineRule="auto" w:before="51"/>
        <w:ind w:right="1258"/>
        <w:jc w:val="left"/>
      </w:pPr>
      <w:r>
        <w:rPr/>
        <w:t>短期应付债券的增减变动：</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03" w:right="32"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125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258"/>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88"/>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13" w:space="0" w:color="D3D3D3"/>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pStyle w:val="BodyText"/>
        <w:spacing w:line="360" w:lineRule="auto" w:before="51"/>
        <w:ind w:left="153" w:right="-19"/>
        <w:jc w:val="left"/>
      </w:pPr>
      <w:r>
        <w:rPr/>
        <w:t>长期借款分类的说明： 其他说明，包括利率区间：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2315" w:space="6514"/>
            <w:col w:w="1121"/>
          </w:cols>
        </w:sectPr>
      </w:pPr>
    </w:p>
    <w:p>
      <w:pPr>
        <w:spacing w:line="240" w:lineRule="auto" w:before="0"/>
        <w:rPr>
          <w:rFonts w:ascii="宋体" w:hAnsi="宋体" w:cs="宋体" w:eastAsia="宋体" w:hint="default"/>
          <w:sz w:val="5"/>
          <w:szCs w:val="5"/>
        </w:rPr>
      </w:pPr>
    </w:p>
    <w:tbl>
      <w:tblPr>
        <w:tblW w:w="0" w:type="auto"/>
        <w:jc w:val="left"/>
        <w:tblInd w:w="144" w:type="dxa"/>
        <w:tblLayout w:type="fixed"/>
        <w:tblCellMar>
          <w:top w:w="0" w:type="dxa"/>
          <w:left w:w="0" w:type="dxa"/>
          <w:bottom w:w="0" w:type="dxa"/>
          <w:right w:w="0" w:type="dxa"/>
        </w:tblCellMar>
        <w:tblLook w:val="01E0"/>
      </w:tblPr>
      <w:tblGrid>
        <w:gridCol w:w="3274"/>
        <w:gridCol w:w="1501"/>
        <w:gridCol w:w="1502"/>
        <w:gridCol w:w="1502"/>
        <w:gridCol w:w="1501"/>
      </w:tblGrid>
      <w:tr>
        <w:trPr>
          <w:trHeight w:val="352" w:hRule="exact"/>
        </w:trPr>
        <w:tc>
          <w:tcPr>
            <w:tcW w:w="3274"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1501"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240" w:lineRule="auto" w:before="21"/>
              <w:ind w:left="470"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02"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240" w:lineRule="auto" w:before="21"/>
              <w:ind w:left="380" w:right="0"/>
              <w:jc w:val="left"/>
              <w:rPr>
                <w:rFonts w:ascii="宋体" w:hAnsi="宋体" w:cs="宋体" w:eastAsia="宋体" w:hint="default"/>
                <w:sz w:val="18"/>
                <w:szCs w:val="18"/>
              </w:rPr>
            </w:pPr>
            <w:r>
              <w:rPr>
                <w:rFonts w:ascii="宋体" w:hAnsi="宋体" w:cs="宋体" w:eastAsia="宋体" w:hint="default"/>
                <w:sz w:val="18"/>
                <w:szCs w:val="18"/>
              </w:rPr>
              <w:t>利率区间</w:t>
            </w:r>
          </w:p>
        </w:tc>
        <w:tc>
          <w:tcPr>
            <w:tcW w:w="1502"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240" w:lineRule="auto" w:before="21"/>
              <w:ind w:left="47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01" w:type="dxa"/>
            <w:tcBorders>
              <w:top w:val="single" w:sz="8" w:space="0" w:color="000000"/>
              <w:left w:val="single" w:sz="8" w:space="0" w:color="000000"/>
              <w:bottom w:val="single" w:sz="8" w:space="0" w:color="000000"/>
              <w:right w:val="single" w:sz="8" w:space="0" w:color="000000"/>
            </w:tcBorders>
            <w:shd w:val="clear" w:color="auto" w:fill="BFBFBF"/>
          </w:tcPr>
          <w:p>
            <w:pPr>
              <w:pStyle w:val="TableParagraph"/>
              <w:spacing w:line="240" w:lineRule="auto" w:before="21"/>
              <w:ind w:left="380" w:right="0"/>
              <w:jc w:val="left"/>
              <w:rPr>
                <w:rFonts w:ascii="宋体" w:hAnsi="宋体" w:cs="宋体" w:eastAsia="宋体" w:hint="default"/>
                <w:sz w:val="18"/>
                <w:szCs w:val="18"/>
              </w:rPr>
            </w:pPr>
            <w:r>
              <w:rPr>
                <w:rFonts w:ascii="宋体" w:hAnsi="宋体" w:cs="宋体" w:eastAsia="宋体" w:hint="default"/>
                <w:sz w:val="18"/>
                <w:szCs w:val="18"/>
              </w:rPr>
              <w:t>利率区间</w:t>
            </w:r>
          </w:p>
        </w:tc>
      </w:tr>
      <w:tr>
        <w:trPr>
          <w:trHeight w:val="353" w:hRule="exact"/>
        </w:trPr>
        <w:tc>
          <w:tcPr>
            <w:tcW w:w="3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1501" w:type="dxa"/>
            <w:tcBorders>
              <w:top w:val="single" w:sz="8" w:space="0" w:color="000000"/>
              <w:left w:val="single" w:sz="8" w:space="0" w:color="000000"/>
              <w:bottom w:val="single" w:sz="8" w:space="0" w:color="000000"/>
              <w:right w:val="single" w:sz="8" w:space="0" w:color="000000"/>
            </w:tcBorders>
          </w:tcPr>
          <w:p>
            <w:pPr/>
          </w:p>
        </w:tc>
        <w:tc>
          <w:tcPr>
            <w:tcW w:w="1502" w:type="dxa"/>
            <w:tcBorders>
              <w:top w:val="single" w:sz="8" w:space="0" w:color="000000"/>
              <w:left w:val="single" w:sz="8" w:space="0" w:color="000000"/>
              <w:bottom w:val="single" w:sz="8" w:space="0" w:color="000000"/>
              <w:right w:val="single" w:sz="8" w:space="0" w:color="000000"/>
            </w:tcBorders>
          </w:tcPr>
          <w:p>
            <w:pPr/>
          </w:p>
        </w:tc>
        <w:tc>
          <w:tcPr>
            <w:tcW w:w="15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447" w:right="0"/>
              <w:jc w:val="left"/>
              <w:rPr>
                <w:rFonts w:ascii="Times New Roman" w:hAnsi="Times New Roman" w:cs="Times New Roman" w:eastAsia="Times New Roman" w:hint="default"/>
                <w:sz w:val="18"/>
                <w:szCs w:val="18"/>
              </w:rPr>
            </w:pPr>
            <w:r>
              <w:rPr>
                <w:rFonts w:ascii="Times New Roman"/>
                <w:sz w:val="18"/>
              </w:rPr>
              <w:t>50,000,000.00</w:t>
            </w:r>
          </w:p>
        </w:tc>
        <w:tc>
          <w:tcPr>
            <w:tcW w:w="15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4.75%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1258"/>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258"/>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24"/>
          <w:szCs w:val="24"/>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258"/>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2" w:top="1100" w:bottom="1180" w:left="980" w:right="980"/>
        </w:sectPr>
      </w:pPr>
    </w:p>
    <w:p>
      <w:pPr>
        <w:pStyle w:val="BodyText"/>
        <w:spacing w:line="357" w:lineRule="auto" w:before="44"/>
        <w:ind w:left="153" w:right="-19"/>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655" w:space="417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62"/>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3D3D3"/>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left="153" w:right="6531"/>
        <w:jc w:val="left"/>
      </w:pPr>
      <w:r>
        <w:rPr/>
        <w:t>其他金融工具划分为金融负债的依据说明 其他说明</w:t>
      </w:r>
    </w:p>
    <w:p>
      <w:pPr>
        <w:spacing w:line="240" w:lineRule="auto" w:before="11"/>
        <w:rPr>
          <w:rFonts w:ascii="宋体" w:hAnsi="宋体" w:cs="宋体" w:eastAsia="宋体" w:hint="default"/>
          <w:sz w:val="19"/>
          <w:szCs w:val="19"/>
        </w:rPr>
      </w:pPr>
    </w:p>
    <w:p>
      <w:pPr>
        <w:pStyle w:val="Heading3"/>
        <w:spacing w:line="240" w:lineRule="auto"/>
        <w:ind w:right="1258"/>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258"/>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125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8"/>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258"/>
        <w:jc w:val="left"/>
      </w:pPr>
      <w:r>
        <w:rPr/>
        <w:t>设定受益计划义务现值：</w:t>
      </w:r>
    </w:p>
    <w:p>
      <w:pPr>
        <w:pStyle w:val="BodyText"/>
        <w:spacing w:line="240" w:lineRule="auto" w:before="116"/>
        <w:ind w:left="0" w:right="151"/>
        <w:jc w:val="right"/>
      </w:pPr>
      <w:r>
        <w:rPr/>
        <w:t>单位： 元</w:t>
      </w:r>
    </w:p>
    <w:p>
      <w:pPr>
        <w:spacing w:after="0" w:line="240" w:lineRule="auto"/>
        <w:jc w:val="right"/>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1258"/>
        <w:jc w:val="left"/>
      </w:pPr>
      <w:r>
        <w:rPr/>
        <w:t>计划资产：</w:t>
      </w:r>
    </w:p>
    <w:p>
      <w:pPr>
        <w:pStyle w:val="BodyText"/>
        <w:spacing w:line="240" w:lineRule="auto" w:before="117"/>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1258"/>
        <w:jc w:val="left"/>
      </w:pPr>
      <w:r>
        <w:rPr/>
        <w:t>设定受益计划净负债（净资产）</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51"/>
        <w:ind w:left="153" w:right="2571"/>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6"/>
        <w:ind w:left="153" w:right="125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right="125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right="1258"/>
        <w:jc w:val="left"/>
      </w:pPr>
      <w:r>
        <w:rPr/>
        <w:t>其他说明，包括重要预计负债的相关重要假设、估计说明：</w:t>
      </w:r>
    </w:p>
    <w:p>
      <w:pPr>
        <w:spacing w:line="240" w:lineRule="auto" w:before="10"/>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5"/>
        <w:gridCol w:w="1594"/>
        <w:gridCol w:w="1594"/>
        <w:gridCol w:w="1595"/>
      </w:tblGrid>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59,682,078.50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63,352,018.49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59,682,078.50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60.01</w:t>
            </w:r>
          </w:p>
        </w:tc>
        <w:tc>
          <w:tcPr>
            <w:tcW w:w="159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63,352,018.49</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258"/>
        <w:jc w:val="left"/>
      </w:pPr>
      <w:r>
        <w:rPr/>
        <w:t>涉及政府补助的项目：</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3"/>
        <w:gridCol w:w="1205"/>
        <w:gridCol w:w="1134"/>
        <w:gridCol w:w="852"/>
        <w:gridCol w:w="1063"/>
        <w:gridCol w:w="1063"/>
        <w:gridCol w:w="850"/>
        <w:gridCol w:w="1276"/>
        <w:gridCol w:w="1063"/>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91" w:right="11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0" w:right="60"/>
              <w:jc w:val="both"/>
              <w:rPr>
                <w:rFonts w:ascii="宋体" w:hAnsi="宋体" w:cs="宋体" w:eastAsia="宋体" w:hint="default"/>
                <w:sz w:val="18"/>
                <w:szCs w:val="18"/>
              </w:rPr>
            </w:pPr>
            <w:r>
              <w:rPr>
                <w:rFonts w:ascii="宋体" w:hAnsi="宋体" w:cs="宋体" w:eastAsia="宋体" w:hint="default"/>
                <w:sz w:val="18"/>
                <w:szCs w:val="18"/>
              </w:rPr>
              <w:t>本期计入 营业外收 入金额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0"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55"/>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榕基马鞍山 智慧园</w:t>
            </w:r>
            <w:r>
              <w:rPr>
                <w:rFonts w:ascii="Times New Roman" w:hAnsi="Times New Roman" w:cs="Times New Roman" w:eastAsia="Times New Roman" w:hint="default"/>
                <w:sz w:val="18"/>
                <w:szCs w:val="18"/>
              </w:rPr>
              <w:t>"</w:t>
            </w:r>
            <w:r>
              <w:rPr>
                <w:rFonts w:ascii="宋体" w:hAnsi="宋体" w:cs="宋体" w:eastAsia="宋体" w:hint="default"/>
                <w:sz w:val="18"/>
                <w:szCs w:val="18"/>
              </w:rPr>
              <w:t>项目 补助资金</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29,303,745.14</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4" w:right="0"/>
              <w:jc w:val="left"/>
              <w:rPr>
                <w:rFonts w:ascii="Times New Roman" w:hAnsi="Times New Roman" w:cs="Times New Roman" w:eastAsia="Times New Roman" w:hint="default"/>
                <w:sz w:val="18"/>
                <w:szCs w:val="18"/>
              </w:rPr>
            </w:pPr>
            <w:r>
              <w:rPr>
                <w:rFonts w:ascii="Times New Roman"/>
                <w:sz w:val="18"/>
              </w:rPr>
              <w:t>60.00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29,303,685.14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4"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信阳榕基软 件园</w:t>
            </w:r>
            <w:r>
              <w:rPr>
                <w:rFonts w:ascii="Times New Roman" w:hAnsi="Times New Roman" w:cs="Times New Roman" w:eastAsia="Times New Roman" w:hint="default"/>
                <w:sz w:val="18"/>
                <w:szCs w:val="18"/>
              </w:rPr>
              <w:t>"</w:t>
            </w:r>
            <w:r>
              <w:rPr>
                <w:rFonts w:ascii="宋体" w:hAnsi="宋体" w:cs="宋体" w:eastAsia="宋体" w:hint="default"/>
                <w:sz w:val="18"/>
                <w:szCs w:val="18"/>
              </w:rPr>
              <w:t>项目补</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063"/>
        <w:gridCol w:w="1205"/>
        <w:gridCol w:w="1134"/>
        <w:gridCol w:w="852"/>
        <w:gridCol w:w="1063"/>
        <w:gridCol w:w="1063"/>
        <w:gridCol w:w="850"/>
        <w:gridCol w:w="1276"/>
        <w:gridCol w:w="1063"/>
      </w:tblGrid>
      <w:tr>
        <w:trPr>
          <w:trHeight w:val="362"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助资金</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年福建</w:t>
            </w:r>
          </w:p>
        </w:tc>
        <w:tc>
          <w:tcPr>
            <w:tcW w:w="1205"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省互联网经</w:t>
            </w:r>
          </w:p>
        </w:tc>
        <w:tc>
          <w:tcPr>
            <w:tcW w:w="1205"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852"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济新增引导</w:t>
            </w:r>
          </w:p>
        </w:tc>
        <w:tc>
          <w:tcPr>
            <w:tcW w:w="1205"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852"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w:t>
            </w:r>
            <w:r>
              <w:rPr>
                <w:rFonts w:ascii="Times New Roman" w:hAnsi="Times New Roman" w:cs="Times New Roman" w:eastAsia="Times New Roman" w:hint="default"/>
                <w:sz w:val="18"/>
                <w:szCs w:val="18"/>
              </w:rPr>
              <w:t>-</w:t>
            </w:r>
            <w:r>
              <w:rPr>
                <w:rFonts w:ascii="宋体" w:hAnsi="宋体" w:cs="宋体" w:eastAsia="宋体" w:hint="default"/>
                <w:sz w:val="18"/>
                <w:szCs w:val="18"/>
              </w:rPr>
              <w:t>星榕基</w:t>
            </w:r>
          </w:p>
        </w:tc>
        <w:tc>
          <w:tcPr>
            <w:tcW w:w="1205"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852"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07"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中小企业信</w:t>
            </w:r>
          </w:p>
        </w:tc>
        <w:tc>
          <w:tcPr>
            <w:tcW w:w="1205"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852"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息化公共服</w:t>
            </w:r>
          </w:p>
        </w:tc>
        <w:tc>
          <w:tcPr>
            <w:tcW w:w="1205"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852"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务平台</w:t>
            </w:r>
          </w:p>
        </w:tc>
        <w:tc>
          <w:tcPr>
            <w:tcW w:w="1205"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福建省战略</w:t>
            </w:r>
          </w:p>
        </w:tc>
        <w:tc>
          <w:tcPr>
            <w:tcW w:w="1205" w:type="dxa"/>
            <w:tcBorders>
              <w:top w:val="single" w:sz="4" w:space="0" w:color="000000"/>
              <w:left w:val="single" w:sz="4" w:space="0" w:color="000000"/>
              <w:bottom w:val="nil" w:sz="6" w:space="0" w:color="auto"/>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性新兴产业</w:t>
            </w:r>
          </w:p>
        </w:tc>
        <w:tc>
          <w:tcPr>
            <w:tcW w:w="1205"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28"/>
              <w:jc w:val="left"/>
              <w:rPr>
                <w:rFonts w:ascii="宋体" w:hAnsi="宋体" w:cs="宋体" w:eastAsia="宋体" w:hint="default"/>
                <w:sz w:val="18"/>
                <w:szCs w:val="18"/>
              </w:rPr>
            </w:pPr>
            <w:r>
              <w:rPr>
                <w:rFonts w:ascii="宋体" w:hAnsi="宋体" w:cs="宋体" w:eastAsia="宋体" w:hint="default"/>
                <w:sz w:val="18"/>
                <w:szCs w:val="18"/>
              </w:rPr>
              <w:t>技术开发和 产业化项目</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1,925,000.00</w:t>
            </w:r>
          </w:p>
        </w:tc>
        <w:tc>
          <w:tcPr>
            <w:tcW w:w="1134"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1,925,000.00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3"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（北斗及卫</w:t>
            </w:r>
          </w:p>
        </w:tc>
        <w:tc>
          <w:tcPr>
            <w:tcW w:w="1205"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星）</w:t>
            </w:r>
          </w:p>
        </w:tc>
        <w:tc>
          <w:tcPr>
            <w:tcW w:w="1205" w:type="dxa"/>
            <w:tcBorders>
              <w:top w:val="nil" w:sz="6" w:space="0" w:color="auto"/>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年福州</w:t>
            </w:r>
          </w:p>
        </w:tc>
        <w:tc>
          <w:tcPr>
            <w:tcW w:w="1205"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19"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28"/>
              <w:jc w:val="left"/>
              <w:rPr>
                <w:rFonts w:ascii="宋体" w:hAnsi="宋体" w:cs="宋体" w:eastAsia="宋体" w:hint="default"/>
                <w:sz w:val="18"/>
                <w:szCs w:val="18"/>
              </w:rPr>
            </w:pPr>
            <w:r>
              <w:rPr>
                <w:rFonts w:ascii="宋体" w:hAnsi="宋体" w:cs="宋体" w:eastAsia="宋体" w:hint="default"/>
                <w:sz w:val="18"/>
                <w:szCs w:val="18"/>
              </w:rPr>
              <w:t>市软件产业 发展专项资</w:t>
            </w:r>
          </w:p>
        </w:tc>
        <w:tc>
          <w:tcPr>
            <w:tcW w:w="1205"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900,000.00</w:t>
            </w:r>
          </w:p>
        </w:tc>
        <w:tc>
          <w:tcPr>
            <w:tcW w:w="852"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7" w:hRule="exact"/>
        </w:trPr>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金项目</w:t>
            </w:r>
          </w:p>
        </w:tc>
        <w:tc>
          <w:tcPr>
            <w:tcW w:w="1205"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福建省战略</w:t>
            </w:r>
          </w:p>
        </w:tc>
        <w:tc>
          <w:tcPr>
            <w:tcW w:w="1205"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性新兴产业</w:t>
            </w:r>
          </w:p>
        </w:tc>
        <w:tc>
          <w:tcPr>
            <w:tcW w:w="1205"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852"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技术开发和</w:t>
            </w:r>
          </w:p>
        </w:tc>
        <w:tc>
          <w:tcPr>
            <w:tcW w:w="1205"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852"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产业化项目</w:t>
            </w:r>
          </w:p>
        </w:tc>
        <w:tc>
          <w:tcPr>
            <w:tcW w:w="1205"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770,000.00</w:t>
            </w:r>
          </w:p>
        </w:tc>
        <w:tc>
          <w:tcPr>
            <w:tcW w:w="852"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770,000.00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3"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（北斗</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AIS</w:t>
            </w:r>
          </w:p>
        </w:tc>
        <w:tc>
          <w:tcPr>
            <w:tcW w:w="1205"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852"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渔船防碰撞</w:t>
            </w:r>
          </w:p>
        </w:tc>
        <w:tc>
          <w:tcPr>
            <w:tcW w:w="1205"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852"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预警系统）</w:t>
            </w:r>
          </w:p>
        </w:tc>
        <w:tc>
          <w:tcPr>
            <w:tcW w:w="1205"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年重大</w:t>
            </w:r>
          </w:p>
        </w:tc>
        <w:tc>
          <w:tcPr>
            <w:tcW w:w="1205" w:type="dxa"/>
            <w:tcBorders>
              <w:top w:val="single" w:sz="4" w:space="0" w:color="000000"/>
              <w:left w:val="single" w:sz="4" w:space="0" w:color="000000"/>
              <w:bottom w:val="nil" w:sz="6" w:space="0" w:color="auto"/>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专项榕基</w:t>
            </w:r>
          </w:p>
        </w:tc>
        <w:tc>
          <w:tcPr>
            <w:tcW w:w="1205"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WEB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应用安</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250,000.03</w:t>
            </w:r>
          </w:p>
        </w:tc>
        <w:tc>
          <w:tcPr>
            <w:tcW w:w="1134"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0.01</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250,000.02</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08"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全扫描系统</w:t>
            </w:r>
          </w:p>
        </w:tc>
        <w:tc>
          <w:tcPr>
            <w:tcW w:w="1205"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专项资金</w:t>
            </w:r>
          </w:p>
        </w:tc>
        <w:tc>
          <w:tcPr>
            <w:tcW w:w="1205" w:type="dxa"/>
            <w:tcBorders>
              <w:top w:val="nil" w:sz="6" w:space="0" w:color="auto"/>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首届福州市</w:t>
            </w:r>
          </w:p>
        </w:tc>
        <w:tc>
          <w:tcPr>
            <w:tcW w:w="1205" w:type="dxa"/>
            <w:tcBorders>
              <w:top w:val="single" w:sz="4" w:space="0" w:color="000000"/>
              <w:left w:val="single" w:sz="4" w:space="0" w:color="000000"/>
              <w:bottom w:val="nil" w:sz="6" w:space="0" w:color="auto"/>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政府质量奖</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203,333.33</w:t>
            </w:r>
          </w:p>
        </w:tc>
        <w:tc>
          <w:tcPr>
            <w:tcW w:w="1134"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203,333.33</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3" w:hRule="exact"/>
        </w:trPr>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奖励金</w:t>
            </w:r>
          </w:p>
        </w:tc>
        <w:tc>
          <w:tcPr>
            <w:tcW w:w="1205" w:type="dxa"/>
            <w:tcBorders>
              <w:top w:val="nil" w:sz="6" w:space="0" w:color="auto"/>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59,682,078.50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63,352,018.49</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25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1258"/>
        <w:jc w:val="left"/>
      </w:pPr>
      <w:r>
        <w:rPr/>
        <w:t>其他说明：</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1258"/>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7"/>
        <w:gridCol w:w="1196"/>
        <w:gridCol w:w="1196"/>
        <w:gridCol w:w="1196"/>
        <w:gridCol w:w="1196"/>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7" w:type="dxa"/>
            <w:tcBorders>
              <w:top w:val="single" w:sz="4" w:space="0" w:color="000000"/>
              <w:left w:val="single" w:sz="4" w:space="0" w:color="000000"/>
              <w:bottom w:val="nil" w:sz="6" w:space="0" w:color="auto"/>
              <w:right w:val="single" w:sz="4" w:space="0" w:color="000000"/>
            </w:tcBorders>
            <w:shd w:val="clear" w:color="auto" w:fill="D3D3D3"/>
          </w:tcPr>
          <w:p>
            <w:pPr/>
          </w:p>
        </w:tc>
        <w:tc>
          <w:tcPr>
            <w:tcW w:w="5968"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3D3D3"/>
          </w:tcPr>
          <w:p>
            <w:pPr/>
          </w:p>
        </w:tc>
        <w:tc>
          <w:tcPr>
            <w:tcW w:w="11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8" w:type="dxa"/>
            <w:gridSpan w:val="5"/>
            <w:vMerge/>
            <w:tcBorders>
              <w:left w:val="single" w:sz="4" w:space="0" w:color="000000"/>
              <w:bottom w:val="single" w:sz="4" w:space="0" w:color="000000"/>
              <w:right w:val="single" w:sz="4" w:space="0" w:color="000000"/>
            </w:tcBorders>
            <w:shd w:val="clear" w:color="auto" w:fill="D3D3D3"/>
          </w:tcPr>
          <w:p>
            <w:pPr/>
          </w:p>
        </w:tc>
        <w:tc>
          <w:tcPr>
            <w:tcW w:w="120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3D3D3"/>
          </w:tcPr>
          <w:p>
            <w:pPr/>
          </w:p>
        </w:tc>
        <w:tc>
          <w:tcPr>
            <w:tcW w:w="1197" w:type="dxa"/>
            <w:vMerge/>
            <w:tcBorders>
              <w:left w:val="single" w:sz="4" w:space="0" w:color="000000"/>
              <w:bottom w:val="nil" w:sz="6" w:space="0" w:color="auto"/>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7"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84" w:type="dxa"/>
            <w:vMerge/>
            <w:tcBorders>
              <w:left w:val="single" w:sz="4" w:space="0" w:color="000000"/>
              <w:bottom w:val="single" w:sz="4" w:space="0" w:color="000000"/>
              <w:right w:val="single" w:sz="4" w:space="0" w:color="000000"/>
            </w:tcBorders>
            <w:shd w:val="clear" w:color="auto" w:fill="D3D3D3"/>
          </w:tcPr>
          <w:p>
            <w:pPr/>
          </w:p>
        </w:tc>
        <w:tc>
          <w:tcPr>
            <w:tcW w:w="120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622,200,000.00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622,200,000.00</w:t>
            </w:r>
          </w:p>
        </w:tc>
      </w:tr>
    </w:tbl>
    <w:p>
      <w:pPr>
        <w:pStyle w:val="BodyText"/>
        <w:spacing w:line="240" w:lineRule="auto" w:before="51"/>
        <w:ind w:right="125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258"/>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258"/>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62"/>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3D3D3"/>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left="153" w:right="3651"/>
        <w:jc w:val="left"/>
      </w:pPr>
      <w:r>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3"/>
        <w:spacing w:line="240" w:lineRule="auto"/>
        <w:ind w:right="1258"/>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362,926,508.93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362,926,508.93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6,432,103.36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6,432,103.36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369,358,612.29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369,358,612.29</w:t>
            </w:r>
          </w:p>
        </w:tc>
      </w:tr>
    </w:tbl>
    <w:p>
      <w:pPr>
        <w:pStyle w:val="BodyText"/>
        <w:spacing w:line="240" w:lineRule="auto" w:before="51"/>
        <w:ind w:right="1258"/>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1258"/>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0"/>
        <w:gridCol w:w="1069"/>
        <w:gridCol w:w="935"/>
        <w:gridCol w:w="1152"/>
        <w:gridCol w:w="935"/>
        <w:gridCol w:w="936"/>
        <w:gridCol w:w="935"/>
        <w:gridCol w:w="796"/>
      </w:tblGrid>
      <w:tr>
        <w:trPr>
          <w:trHeight w:val="401" w:hRule="exact"/>
        </w:trPr>
        <w:tc>
          <w:tcPr>
            <w:tcW w:w="28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2" w:hRule="exact"/>
        </w:trPr>
        <w:tc>
          <w:tcPr>
            <w:tcW w:w="2810" w:type="dxa"/>
            <w:vMerge/>
            <w:tcBorders>
              <w:left w:val="single" w:sz="4" w:space="0" w:color="000000"/>
              <w:bottom w:val="single" w:sz="4" w:space="0" w:color="000000"/>
              <w:right w:val="single" w:sz="4" w:space="0" w:color="000000"/>
            </w:tcBorders>
            <w:shd w:val="clear" w:color="auto" w:fill="D3D3D3"/>
          </w:tcPr>
          <w:p>
            <w:pPr/>
          </w:p>
        </w:tc>
        <w:tc>
          <w:tcPr>
            <w:tcW w:w="1069" w:type="dxa"/>
            <w:vMerge/>
            <w:tcBorders>
              <w:left w:val="single" w:sz="4" w:space="0" w:color="000000"/>
              <w:bottom w:val="single" w:sz="4" w:space="0" w:color="000000"/>
              <w:right w:val="single" w:sz="4" w:space="0" w:color="000000"/>
            </w:tcBorders>
            <w:shd w:val="clear" w:color="auto" w:fill="D3D3D3"/>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本期所得</w:t>
            </w:r>
          </w:p>
        </w:tc>
        <w:tc>
          <w:tcPr>
            <w:tcW w:w="11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9" w:right="0"/>
              <w:jc w:val="left"/>
              <w:rPr>
                <w:rFonts w:ascii="宋体" w:hAnsi="宋体" w:cs="宋体" w:eastAsia="宋体" w:hint="default"/>
                <w:sz w:val="18"/>
                <w:szCs w:val="18"/>
              </w:rPr>
            </w:pPr>
            <w:r>
              <w:rPr>
                <w:rFonts w:ascii="宋体" w:hAnsi="宋体" w:cs="宋体" w:eastAsia="宋体" w:hint="default"/>
                <w:sz w:val="18"/>
                <w:szCs w:val="18"/>
              </w:rPr>
              <w:t>减：前期计入</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5"/>
                <w:sz w:val="18"/>
                <w:szCs w:val="18"/>
              </w:rPr>
              <w:t>减：所得税</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税后归属</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税后归属</w:t>
            </w:r>
          </w:p>
        </w:tc>
        <w:tc>
          <w:tcPr>
            <w:tcW w:w="796"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799"/>
        <w:gridCol w:w="1069"/>
        <w:gridCol w:w="935"/>
        <w:gridCol w:w="1152"/>
        <w:gridCol w:w="935"/>
        <w:gridCol w:w="936"/>
        <w:gridCol w:w="935"/>
        <w:gridCol w:w="796"/>
      </w:tblGrid>
      <w:tr>
        <w:trPr>
          <w:trHeight w:val="357" w:hRule="exact"/>
        </w:trPr>
        <w:tc>
          <w:tcPr>
            <w:tcW w:w="2799" w:type="dxa"/>
            <w:vMerge w:val="restart"/>
            <w:tcBorders>
              <w:top w:val="single" w:sz="4" w:space="0" w:color="000000"/>
              <w:left w:val="single" w:sz="4" w:space="0" w:color="000000"/>
              <w:right w:val="single" w:sz="4" w:space="0" w:color="000000"/>
            </w:tcBorders>
            <w:shd w:val="clear" w:color="auto" w:fill="D3D3D3"/>
          </w:tcPr>
          <w:p>
            <w:pPr/>
          </w:p>
        </w:tc>
        <w:tc>
          <w:tcPr>
            <w:tcW w:w="1069" w:type="dxa"/>
            <w:vMerge w:val="restart"/>
            <w:tcBorders>
              <w:top w:val="single" w:sz="4" w:space="0" w:color="000000"/>
              <w:left w:val="single" w:sz="4" w:space="0" w:color="000000"/>
              <w:right w:val="single" w:sz="4" w:space="0" w:color="000000"/>
            </w:tcBorders>
            <w:shd w:val="clear" w:color="auto" w:fill="D3D3D3"/>
          </w:tcPr>
          <w:p>
            <w:pPr/>
          </w:p>
        </w:tc>
        <w:tc>
          <w:tcPr>
            <w:tcW w:w="935"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10"/>
              <w:ind w:left="371" w:right="101" w:hanging="270"/>
              <w:jc w:val="left"/>
              <w:rPr>
                <w:rFonts w:ascii="宋体" w:hAnsi="宋体" w:cs="宋体" w:eastAsia="宋体" w:hint="default"/>
                <w:sz w:val="18"/>
                <w:szCs w:val="18"/>
              </w:rPr>
            </w:pPr>
            <w:r>
              <w:rPr>
                <w:rFonts w:ascii="宋体" w:hAnsi="宋体" w:cs="宋体" w:eastAsia="宋体" w:hint="default"/>
                <w:sz w:val="18"/>
                <w:szCs w:val="18"/>
              </w:rPr>
              <w:t>税前发生 额</w:t>
            </w:r>
          </w:p>
        </w:tc>
        <w:tc>
          <w:tcPr>
            <w:tcW w:w="115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10"/>
              <w:ind w:left="29" w:right="30"/>
              <w:jc w:val="left"/>
              <w:rPr>
                <w:rFonts w:ascii="宋体" w:hAnsi="宋体" w:cs="宋体" w:eastAsia="宋体" w:hint="default"/>
                <w:sz w:val="18"/>
                <w:szCs w:val="18"/>
              </w:rPr>
            </w:pPr>
            <w:r>
              <w:rPr>
                <w:rFonts w:ascii="宋体" w:hAnsi="宋体" w:cs="宋体" w:eastAsia="宋体" w:hint="default"/>
                <w:sz w:val="18"/>
                <w:szCs w:val="18"/>
              </w:rPr>
              <w:t>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left="281"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93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于母公司</w:t>
            </w:r>
          </w:p>
        </w:tc>
        <w:tc>
          <w:tcPr>
            <w:tcW w:w="935"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10"/>
              <w:ind w:left="371" w:right="101" w:hanging="270"/>
              <w:jc w:val="left"/>
              <w:rPr>
                <w:rFonts w:ascii="宋体" w:hAnsi="宋体" w:cs="宋体" w:eastAsia="宋体" w:hint="default"/>
                <w:sz w:val="18"/>
                <w:szCs w:val="18"/>
              </w:rPr>
            </w:pPr>
            <w:r>
              <w:rPr>
                <w:rFonts w:ascii="宋体" w:hAnsi="宋体" w:cs="宋体" w:eastAsia="宋体" w:hint="default"/>
                <w:sz w:val="18"/>
                <w:szCs w:val="18"/>
              </w:rPr>
              <w:t>于少数股 东</w:t>
            </w:r>
          </w:p>
        </w:tc>
        <w:tc>
          <w:tcPr>
            <w:tcW w:w="796" w:type="dxa"/>
            <w:vMerge w:val="restart"/>
            <w:tcBorders>
              <w:top w:val="single" w:sz="4" w:space="0" w:color="000000"/>
              <w:left w:val="single" w:sz="4" w:space="0" w:color="000000"/>
              <w:right w:val="single" w:sz="4" w:space="0" w:color="000000"/>
            </w:tcBorders>
            <w:shd w:val="clear" w:color="auto" w:fill="D3D3D3"/>
          </w:tcPr>
          <w:p>
            <w:pPr/>
          </w:p>
        </w:tc>
      </w:tr>
      <w:tr>
        <w:trPr>
          <w:trHeight w:val="317" w:hRule="exact"/>
        </w:trPr>
        <w:tc>
          <w:tcPr>
            <w:tcW w:w="2799" w:type="dxa"/>
            <w:vMerge/>
            <w:tcBorders>
              <w:left w:val="single" w:sz="4" w:space="0" w:color="000000"/>
              <w:bottom w:val="single" w:sz="4" w:space="0" w:color="000000"/>
              <w:right w:val="single" w:sz="4" w:space="0" w:color="000000"/>
            </w:tcBorders>
            <w:shd w:val="clear" w:color="auto" w:fill="D3D3D3"/>
          </w:tcPr>
          <w:p>
            <w:pPr/>
          </w:p>
        </w:tc>
        <w:tc>
          <w:tcPr>
            <w:tcW w:w="1069" w:type="dxa"/>
            <w:vMerge/>
            <w:tcBorders>
              <w:left w:val="single" w:sz="4" w:space="0" w:color="000000"/>
              <w:bottom w:val="single" w:sz="4" w:space="0" w:color="000000"/>
              <w:right w:val="single" w:sz="4" w:space="0" w:color="000000"/>
            </w:tcBorders>
            <w:shd w:val="clear" w:color="auto" w:fill="D3D3D3"/>
          </w:tcPr>
          <w:p>
            <w:pPr/>
          </w:p>
        </w:tc>
        <w:tc>
          <w:tcPr>
            <w:tcW w:w="935" w:type="dxa"/>
            <w:vMerge/>
            <w:tcBorders>
              <w:left w:val="single" w:sz="4" w:space="0" w:color="000000"/>
              <w:bottom w:val="single" w:sz="4" w:space="0" w:color="000000"/>
              <w:right w:val="single" w:sz="4" w:space="0" w:color="000000"/>
            </w:tcBorders>
            <w:shd w:val="clear" w:color="auto" w:fill="D3D3D3"/>
          </w:tcPr>
          <w:p>
            <w:pPr/>
          </w:p>
        </w:tc>
        <w:tc>
          <w:tcPr>
            <w:tcW w:w="1152" w:type="dxa"/>
            <w:vMerge/>
            <w:tcBorders>
              <w:left w:val="single" w:sz="4" w:space="0" w:color="000000"/>
              <w:bottom w:val="single" w:sz="4" w:space="0" w:color="000000"/>
              <w:right w:val="single" w:sz="4" w:space="0" w:color="000000"/>
            </w:tcBorders>
            <w:shd w:val="clear" w:color="auto" w:fill="D3D3D3"/>
          </w:tcPr>
          <w:p>
            <w:pPr/>
          </w:p>
        </w:tc>
        <w:tc>
          <w:tcPr>
            <w:tcW w:w="935" w:type="dxa"/>
            <w:tcBorders>
              <w:top w:val="nil" w:sz="6" w:space="0" w:color="auto"/>
              <w:left w:val="single" w:sz="4" w:space="0" w:color="000000"/>
              <w:bottom w:val="single" w:sz="4" w:space="0" w:color="000000"/>
              <w:right w:val="single" w:sz="4" w:space="0" w:color="000000"/>
            </w:tcBorders>
            <w:shd w:val="clear" w:color="auto" w:fill="D3D3D3"/>
          </w:tcPr>
          <w:p>
            <w:pPr/>
          </w:p>
        </w:tc>
        <w:tc>
          <w:tcPr>
            <w:tcW w:w="936" w:type="dxa"/>
            <w:tcBorders>
              <w:top w:val="nil" w:sz="6" w:space="0" w:color="auto"/>
              <w:left w:val="single" w:sz="4" w:space="0" w:color="000000"/>
              <w:bottom w:val="single" w:sz="4" w:space="0" w:color="000000"/>
              <w:right w:val="single" w:sz="4" w:space="0" w:color="000000"/>
            </w:tcBorders>
            <w:shd w:val="clear" w:color="auto" w:fill="D3D3D3"/>
          </w:tcPr>
          <w:p>
            <w:pPr/>
          </w:p>
        </w:tc>
        <w:tc>
          <w:tcPr>
            <w:tcW w:w="935" w:type="dxa"/>
            <w:vMerge/>
            <w:tcBorders>
              <w:left w:val="single" w:sz="4" w:space="0" w:color="000000"/>
              <w:bottom w:val="single" w:sz="4" w:space="0" w:color="000000"/>
              <w:right w:val="single" w:sz="4" w:space="0" w:color="000000"/>
            </w:tcBorders>
            <w:shd w:val="clear" w:color="auto" w:fill="D3D3D3"/>
          </w:tcPr>
          <w:p>
            <w:pPr/>
          </w:p>
        </w:tc>
        <w:tc>
          <w:tcPr>
            <w:tcW w:w="796"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77"/>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9,251,708.77</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-6,029,132.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-6,029,132.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3,222,576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9" w:type="dxa"/>
            <w:vMerge w:val="restart"/>
            <w:tcBorders>
              <w:top w:val="single" w:sz="4" w:space="0" w:color="000000"/>
              <w:left w:val="single" w:sz="9"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9,251,708.77</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-6,029,132.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-6,029,132.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3,222,576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9" w:type="dxa"/>
            <w:vMerge/>
            <w:tcBorders>
              <w:left w:val="single" w:sz="9" w:space="0" w:color="D3D3D3"/>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9" w:type="dxa"/>
            <w:vMerge/>
            <w:tcBorders>
              <w:left w:val="single" w:sz="9" w:space="0" w:color="D3D3D3"/>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9" w:type="dxa"/>
            <w:vMerge w:val="restart"/>
            <w:tcBorders>
              <w:top w:val="single" w:sz="4" w:space="0" w:color="000000"/>
              <w:left w:val="single" w:sz="9"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9,251,708.77</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-6,029,132.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-6,029,132.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3,222,576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9" w:type="dxa"/>
            <w:vMerge/>
            <w:tcBorders>
              <w:left w:val="single" w:sz="9" w:space="0" w:color="D3D3D3"/>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9" w:type="dxa"/>
            <w:vMerge/>
            <w:tcBorders>
              <w:left w:val="single" w:sz="9" w:space="0" w:color="D3D3D3"/>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pStyle w:val="BodyText"/>
        <w:spacing w:line="357" w:lineRule="auto" w:before="51"/>
        <w:ind w:left="513" w:right="151" w:hanging="360"/>
        <w:jc w:val="left"/>
      </w:pPr>
      <w:r>
        <w:rPr/>
        <w:t>其他说明，包括对现金流量套期损益的有效部分转为被套期项目初始确认金额调整： </w:t>
      </w:r>
      <w:r>
        <w:rPr>
          <w:spacing w:val="-1"/>
        </w:rPr>
        <w:t>其他综合收益的税后净额本期发生额为</w:t>
      </w:r>
      <w:r>
        <w:rPr>
          <w:rFonts w:ascii="Times New Roman" w:hAnsi="Times New Roman" w:cs="Times New Roman" w:eastAsia="Times New Roman" w:hint="default"/>
          <w:spacing w:val="-1"/>
        </w:rPr>
        <w:t>-6,029,132.25</w:t>
      </w:r>
      <w:r>
        <w:rPr>
          <w:rFonts w:ascii="Times New Roman" w:hAnsi="Times New Roman" w:cs="Times New Roman" w:eastAsia="Times New Roman" w:hint="default"/>
          <w:spacing w:val="31"/>
        </w:rPr>
        <w:t> </w:t>
      </w:r>
      <w:r>
        <w:rPr>
          <w:spacing w:val="-2"/>
        </w:rPr>
        <w:t>元。其中，归属于母公司股东的其他综合收益的税后净额本期发生</w:t>
      </w:r>
    </w:p>
    <w:p>
      <w:pPr>
        <w:pStyle w:val="BodyText"/>
        <w:spacing w:line="216" w:lineRule="exact"/>
        <w:ind w:left="153" w:right="1258"/>
        <w:jc w:val="left"/>
      </w:pPr>
      <w:r>
        <w:rPr/>
        <w:t>额为</w:t>
      </w:r>
      <w:r>
        <w:rPr>
          <w:rFonts w:ascii="Times New Roman" w:hAnsi="Times New Roman" w:cs="Times New Roman" w:eastAsia="Times New Roman" w:hint="default"/>
        </w:rPr>
        <w:t>-6,029,132.25</w:t>
      </w:r>
      <w:r>
        <w:rPr>
          <w:rFonts w:ascii="Times New Roman" w:hAnsi="Times New Roman" w:cs="Times New Roman" w:eastAsia="Times New Roman" w:hint="default"/>
          <w:spacing w:val="-2"/>
        </w:rPr>
        <w:t> </w:t>
      </w:r>
      <w:r>
        <w:rPr/>
        <w:t>元；归属于少数股东的其他综合收益的税后净额的本期发生额为</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25"/>
          <w:szCs w:val="25"/>
        </w:rPr>
      </w:pPr>
    </w:p>
    <w:p>
      <w:pPr>
        <w:pStyle w:val="Heading3"/>
        <w:spacing w:line="240" w:lineRule="auto"/>
        <w:ind w:right="1258"/>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1258"/>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57,964,134.03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4,580,732.33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62,544,866.36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57,964,134.03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4,580,732.33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62,544,866.36</w:t>
            </w:r>
          </w:p>
        </w:tc>
      </w:tr>
    </w:tbl>
    <w:p>
      <w:pPr>
        <w:pStyle w:val="BodyText"/>
        <w:spacing w:line="360" w:lineRule="auto" w:before="51"/>
        <w:ind w:left="513" w:right="3458" w:hanging="360"/>
        <w:jc w:val="left"/>
      </w:pPr>
      <w:r>
        <w:rPr/>
        <w:t>盈余公积说明，包括本期增减变动情况、变动原因说明： 本期盈余公积增加系按母公司 </w:t>
      </w:r>
      <w:r>
        <w:rPr>
          <w:rFonts w:ascii="Times New Roman" w:hAnsi="Times New Roman" w:cs="Times New Roman" w:eastAsia="Times New Roman" w:hint="default"/>
        </w:rPr>
        <w:t>2017 </w:t>
      </w:r>
      <w:r>
        <w:rPr/>
        <w:t>年净利润的</w:t>
      </w:r>
      <w:r>
        <w:rPr>
          <w:spacing w:val="-47"/>
        </w:rPr>
        <w:t> </w:t>
      </w:r>
      <w:r>
        <w:rPr>
          <w:rFonts w:ascii="Times New Roman" w:hAnsi="Times New Roman" w:cs="Times New Roman" w:eastAsia="Times New Roman" w:hint="default"/>
        </w:rPr>
        <w:t>10.00%</w:t>
      </w:r>
      <w:r>
        <w:rPr/>
        <w:t>计提法定盈余公积。</w:t>
      </w:r>
    </w:p>
    <w:p>
      <w:pPr>
        <w:spacing w:line="240" w:lineRule="auto" w:before="1"/>
        <w:rPr>
          <w:rFonts w:ascii="宋体" w:hAnsi="宋体" w:cs="宋体" w:eastAsia="宋体" w:hint="default"/>
          <w:sz w:val="18"/>
          <w:szCs w:val="18"/>
        </w:rPr>
      </w:pPr>
    </w:p>
    <w:p>
      <w:pPr>
        <w:pStyle w:val="Heading3"/>
        <w:spacing w:line="240" w:lineRule="auto"/>
        <w:ind w:right="1258"/>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2"/>
        <w:gridCol w:w="2936"/>
        <w:gridCol w:w="2918"/>
      </w:tblGrid>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344,871,182.51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323,259,682.08</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344,871,182.51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323,259,682.08</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32,763,224.88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24,845,319.23</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4,580,732.33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3,233,818.80</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6,222,000.00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366,831,675.06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344,871,182.51</w:t>
            </w:r>
          </w:p>
        </w:tc>
      </w:tr>
    </w:tbl>
    <w:p>
      <w:pPr>
        <w:pStyle w:val="BodyText"/>
        <w:spacing w:line="240" w:lineRule="auto" w:before="51"/>
        <w:ind w:right="1258"/>
        <w:jc w:val="left"/>
      </w:pPr>
      <w:r>
        <w:rPr/>
        <w:t>调整期初未分配利润明细：</w:t>
      </w:r>
    </w:p>
    <w:p>
      <w:pPr>
        <w:pStyle w:val="BodyText"/>
        <w:spacing w:line="240" w:lineRule="auto" w:before="117"/>
        <w:ind w:left="513" w:right="1258"/>
        <w:jc w:val="left"/>
      </w:pPr>
      <w:r>
        <w:rPr/>
        <w:t>（</w:t>
      </w:r>
      <w:r>
        <w:rPr>
          <w:rFonts w:ascii="Times New Roman" w:hAnsi="Times New Roman" w:cs="Times New Roman" w:eastAsia="Times New Roman" w:hint="default"/>
        </w:rPr>
        <w:t>1</w:t>
      </w:r>
      <w:r>
        <w:rPr/>
        <w:t>）由于《企业会计准则》及其相关新规定进行追溯调整，影响期初未分配利润元。</w:t>
      </w:r>
    </w:p>
    <w:p>
      <w:pPr>
        <w:spacing w:after="0" w:line="240" w:lineRule="auto"/>
        <w:jc w:val="left"/>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pStyle w:val="BodyText"/>
        <w:spacing w:line="240" w:lineRule="auto" w:before="44"/>
        <w:ind w:left="513" w:right="1258"/>
        <w:jc w:val="left"/>
      </w:pPr>
      <w:r>
        <w:rPr/>
        <w:t>（</w:t>
      </w:r>
      <w:r>
        <w:rPr>
          <w:rFonts w:ascii="Times New Roman" w:hAnsi="Times New Roman" w:cs="Times New Roman" w:eastAsia="Times New Roman" w:hint="default"/>
        </w:rPr>
        <w:t>2</w:t>
      </w:r>
      <w:r>
        <w:rPr/>
        <w:t>）由于会计政策变更，影响期初未分配利润元。</w:t>
      </w:r>
    </w:p>
    <w:p>
      <w:pPr>
        <w:pStyle w:val="BodyText"/>
        <w:spacing w:line="240" w:lineRule="auto" w:before="102"/>
        <w:ind w:left="513" w:right="1258"/>
        <w:jc w:val="left"/>
      </w:pPr>
      <w:r>
        <w:rPr/>
        <w:t>（</w:t>
      </w: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3"/>
        <w:ind w:left="513" w:right="1258"/>
        <w:jc w:val="left"/>
      </w:pPr>
      <w:r>
        <w:rPr/>
        <w:t>（</w:t>
      </w: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2"/>
        <w:ind w:left="513" w:right="1258"/>
        <w:jc w:val="left"/>
      </w:pPr>
      <w:r>
        <w:rPr/>
        <w:t>（</w:t>
      </w:r>
      <w:r>
        <w:rPr>
          <w:rFonts w:ascii="Times New Roman" w:hAnsi="Times New Roman" w:cs="Times New Roman" w:eastAsia="Times New Roman" w:hint="default"/>
        </w:rPr>
        <w:t>5</w:t>
      </w:r>
      <w:r>
        <w:rPr/>
        <w:t>）其他调整合计影响期初未分配利润元。</w:t>
      </w:r>
    </w:p>
    <w:p>
      <w:pPr>
        <w:spacing w:line="240" w:lineRule="auto" w:before="9"/>
        <w:rPr>
          <w:rFonts w:ascii="宋体" w:hAnsi="宋体" w:cs="宋体" w:eastAsia="宋体" w:hint="default"/>
          <w:sz w:val="25"/>
          <w:szCs w:val="25"/>
        </w:rPr>
      </w:pPr>
    </w:p>
    <w:p>
      <w:pPr>
        <w:pStyle w:val="Heading3"/>
        <w:spacing w:line="240" w:lineRule="auto"/>
        <w:ind w:right="1258"/>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3D3D3"/>
          </w:tcPr>
          <w:p>
            <w:pPr/>
          </w:p>
        </w:tc>
        <w:tc>
          <w:tcPr>
            <w:tcW w:w="383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3D3D3"/>
          </w:tcPr>
          <w:p>
            <w:pPr/>
          </w:p>
        </w:tc>
        <w:tc>
          <w:tcPr>
            <w:tcW w:w="3828"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901" w:type="dxa"/>
            <w:vMerge/>
            <w:tcBorders>
              <w:left w:val="single" w:sz="4" w:space="0" w:color="000000"/>
              <w:bottom w:val="nil" w:sz="6" w:space="0" w:color="auto"/>
              <w:right w:val="single" w:sz="4" w:space="0" w:color="000000"/>
            </w:tcBorders>
            <w:shd w:val="clear" w:color="auto" w:fill="D3D3D3"/>
          </w:tcPr>
          <w:p>
            <w:pPr/>
          </w:p>
        </w:tc>
        <w:tc>
          <w:tcPr>
            <w:tcW w:w="19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6"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742,004,732.30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496,785,937.98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702,592,311.90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474,390,511.41</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742,004,732.30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496,785,937.98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702,592,311.90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474,390,511.41</w:t>
            </w: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rFonts w:ascii="Times New Roman" w:hAnsi="Times New Roman" w:cs="Times New Roman" w:eastAsia="Times New Roman" w:hint="default"/>
        </w:rPr>
        <w:t>62</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689,758.46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637,681.72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500,996.42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371,936.11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292,684.70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77,693.68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2,084,125.26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2,541,342.69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6,560.00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15,920.00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438,869.29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231,170.50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5"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452,136.49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590,096.52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478,667.45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残疾人就业保障金</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324,951.59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59,709.53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4,928,042.24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4,866,258.17</w:t>
            </w:r>
          </w:p>
        </w:tc>
      </w:tr>
    </w:tbl>
    <w:p>
      <w:pPr>
        <w:pStyle w:val="BodyText"/>
        <w:spacing w:line="439" w:lineRule="auto" w:before="51"/>
        <w:ind w:right="5450"/>
        <w:jc w:val="left"/>
      </w:pPr>
      <w:r>
        <w:rPr/>
        <w:t>其他说明： 说明：各项税金及附加的计缴标准详见附注四、税项。</w:t>
      </w:r>
    </w:p>
    <w:p>
      <w:pPr>
        <w:spacing w:line="240" w:lineRule="auto" w:before="7"/>
        <w:rPr>
          <w:rFonts w:ascii="宋体" w:hAnsi="宋体" w:cs="宋体" w:eastAsia="宋体" w:hint="default"/>
          <w:sz w:val="15"/>
          <w:szCs w:val="15"/>
        </w:rPr>
      </w:pPr>
    </w:p>
    <w:p>
      <w:pPr>
        <w:pStyle w:val="Heading3"/>
        <w:spacing w:line="240" w:lineRule="auto"/>
        <w:ind w:right="1258"/>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17,426,549.55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18,045,994.59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6,679,327.76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7,146,377.01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5,134,791.34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4,708,093.76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2,277,887.79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2,086,748.78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3,566,963.92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5,674,628.79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241,195.07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642,596.32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1,706,462.90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1,771,153.69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442,142.98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577,037.90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423,265.48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222,184.88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4,446,034.82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5,137,977.97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42,344,621.61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46,012,793.69</w:t>
            </w:r>
          </w:p>
        </w:tc>
      </w:tr>
    </w:tbl>
    <w:p>
      <w:pPr>
        <w:pStyle w:val="BodyText"/>
        <w:spacing w:line="240" w:lineRule="auto" w:before="51"/>
        <w:ind w:right="125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63,658,251.07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57,765,795.98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42,756,135.60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43,017,326.35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29,371,545.50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26,180,619.99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12,998,745.52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13,627,175.03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5,993,168.81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7,430,497.27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9,849,244.18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8,895,345.81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6,503,885.88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8,231,751.58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3,945,211.77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5,384,897.80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3,204,489.78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3,715,155.80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1,239,648.57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2,003,863.59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4,414,419.69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4,659,684.06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183,934,746.37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180,912,113.26</w:t>
            </w:r>
          </w:p>
        </w:tc>
      </w:tr>
    </w:tbl>
    <w:p>
      <w:pPr>
        <w:pStyle w:val="BodyText"/>
        <w:spacing w:line="240" w:lineRule="auto" w:before="51"/>
        <w:ind w:right="125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13,217,552.20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8,076,092.06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-2,411,126.01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-2,913,339.76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-657,106.86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8,645.52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224,079.68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276,523.35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10,373,399.01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5,447,921.17</w:t>
            </w:r>
          </w:p>
        </w:tc>
      </w:tr>
    </w:tbl>
    <w:p>
      <w:pPr>
        <w:pStyle w:val="BodyText"/>
        <w:spacing w:line="240" w:lineRule="auto" w:before="51"/>
        <w:ind w:right="125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5" w:type="dxa"/>
        <w:tblLayout w:type="fixed"/>
        <w:tblCellMar>
          <w:top w:w="0" w:type="dxa"/>
          <w:left w:w="0" w:type="dxa"/>
          <w:bottom w:w="0" w:type="dxa"/>
          <w:right w:w="0" w:type="dxa"/>
        </w:tblCellMar>
        <w:tblLook w:val="01E0"/>
      </w:tblPr>
      <w:tblGrid>
        <w:gridCol w:w="3159"/>
        <w:gridCol w:w="3205"/>
        <w:gridCol w:w="3188"/>
      </w:tblGrid>
      <w:tr>
        <w:trPr>
          <w:trHeight w:val="402" w:hRule="exact"/>
        </w:trPr>
        <w:tc>
          <w:tcPr>
            <w:tcW w:w="31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9,778,986.59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4,493,713.53</w:t>
            </w:r>
          </w:p>
        </w:tc>
      </w:tr>
      <w:tr>
        <w:trPr>
          <w:trHeight w:val="402" w:hRule="exact"/>
        </w:trPr>
        <w:tc>
          <w:tcPr>
            <w:tcW w:w="31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476,375.02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74,607.01</w:t>
            </w:r>
          </w:p>
        </w:tc>
      </w:tr>
      <w:tr>
        <w:trPr>
          <w:trHeight w:val="402" w:hRule="exact"/>
        </w:trPr>
        <w:tc>
          <w:tcPr>
            <w:tcW w:w="31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10,255,361.61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4,568,320.54</w:t>
            </w:r>
          </w:p>
        </w:tc>
      </w:tr>
    </w:tbl>
    <w:p>
      <w:pPr>
        <w:pStyle w:val="BodyText"/>
        <w:spacing w:line="240" w:lineRule="auto" w:before="51"/>
        <w:ind w:right="125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125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2"/>
        <w:gridCol w:w="2917"/>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20,026,939.61</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15,832,878.17</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1,914,869.95</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2,182,365.92</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8,049,481.20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8,326,697.62</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29,991,290.76</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26,341,941.71</w:t>
            </w:r>
          </w:p>
        </w:tc>
      </w:tr>
    </w:tbl>
    <w:p>
      <w:pPr>
        <w:spacing w:line="240" w:lineRule="auto" w:before="6"/>
        <w:rPr>
          <w:rFonts w:ascii="宋体" w:hAnsi="宋体" w:cs="宋体" w:eastAsia="宋体" w:hint="default"/>
          <w:sz w:val="20"/>
          <w:szCs w:val="20"/>
        </w:rPr>
      </w:pPr>
    </w:p>
    <w:p>
      <w:pPr>
        <w:pStyle w:val="BodyText"/>
        <w:spacing w:line="240" w:lineRule="auto" w:before="44"/>
        <w:ind w:right="1258"/>
        <w:jc w:val="left"/>
      </w:pPr>
      <w:r>
        <w:rPr/>
        <w:t>说明</w:t>
      </w:r>
      <w:r>
        <w:rPr>
          <w:spacing w:val="-90"/>
        </w:rPr>
        <w:t>：</w:t>
      </w:r>
      <w:r>
        <w:rPr/>
        <w:t>“其他”系购买银行短期理财产品的收益。</w:t>
      </w:r>
    </w:p>
    <w:p>
      <w:pPr>
        <w:spacing w:line="240" w:lineRule="auto" w:before="12"/>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69</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固定资产处置利得（损失以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-101,944.42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-127,534.48</w:t>
            </w: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rFonts w:ascii="Times New Roman" w:hAnsi="Times New Roman" w:cs="Times New Roman" w:eastAsia="Times New Roman" w:hint="default"/>
        </w:rPr>
        <w:t>70</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上海国际贸易单一窗口运维补贴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3,815,200.00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增值税税收返还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1,910,985.29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榕基马鞍山智慧园</w:t>
            </w:r>
            <w:r>
              <w:rPr>
                <w:rFonts w:ascii="Times New Roman" w:hAnsi="Times New Roman" w:cs="Times New Roman" w:eastAsia="Times New Roman" w:hint="default"/>
                <w:sz w:val="18"/>
                <w:szCs w:val="18"/>
              </w:rPr>
              <w:t>"</w:t>
            </w:r>
            <w:r>
              <w:rPr>
                <w:rFonts w:ascii="宋体" w:hAnsi="宋体" w:cs="宋体" w:eastAsia="宋体" w:hint="default"/>
                <w:sz w:val="18"/>
                <w:szCs w:val="18"/>
              </w:rPr>
              <w:t>项目补助资金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1,168,563.24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年市级软件产业发展专项基金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年重大专项榕基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WEB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应用安全扫 描系统专项资金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333,333.33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年产学研专项补助和工业企业优秀 创新产品、创建品牌奖励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年福建省第一批省级新型研发机构 奖励金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就业见习补贴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219,510.00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年总部企业奖励款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年度福建名牌产品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福建省科技计划项目</w:t>
            </w:r>
            <w:r>
              <w:rPr>
                <w:rFonts w:ascii="Times New Roman" w:hAnsi="Times New Roman" w:cs="Times New Roman" w:eastAsia="Times New Roman" w:hint="default"/>
                <w:sz w:val="18"/>
                <w:szCs w:val="18"/>
              </w:rPr>
              <w:t>"</w:t>
            </w:r>
            <w:r>
              <w:rPr>
                <w:rFonts w:ascii="宋体" w:hAnsi="宋体" w:cs="宋体" w:eastAsia="宋体" w:hint="default"/>
                <w:sz w:val="18"/>
                <w:szCs w:val="18"/>
              </w:rPr>
              <w:t>大数据平台实时 异常检测分析系统的关键技术研发及产 业化</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关于下达</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年第二批软件产业发展专 项资金的通知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115,384.58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年度科技小巨人领军企业研发费用 加计扣除奖励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年度福州市产品质量奖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年鼓楼区知识产权奖励经费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年度总部企业其他奖励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40,100.00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首届福州市政府质量奖奖励金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年第一批战略性新兴产业专项经费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重点扶持产业人才奖励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年第三季度福建省专利资助与福州 市专利奖励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22,142.80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鼓楼区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年度服务业奖励金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年第三季度福建省专利资助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年第二季度福建省专利资助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软件产品补贴款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9,491,019.24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7"/>
        <w:rPr>
          <w:rFonts w:ascii="Times New Roman" w:hAnsi="Times New Roman" w:cs="Times New Roman" w:eastAsia="Times New Roman" w:hint="default"/>
          <w:sz w:val="23"/>
          <w:szCs w:val="23"/>
        </w:rPr>
      </w:pPr>
    </w:p>
    <w:p>
      <w:pPr>
        <w:pStyle w:val="Heading3"/>
        <w:spacing w:line="240" w:lineRule="auto" w:before="35"/>
        <w:ind w:right="1258"/>
        <w:jc w:val="left"/>
        <w:rPr>
          <w:b w:val="0"/>
          <w:bCs w:val="0"/>
        </w:rPr>
      </w:pPr>
      <w:r>
        <w:rPr>
          <w:rFonts w:ascii="Times New Roman" w:hAnsi="Times New Roman" w:cs="Times New Roman" w:eastAsia="Times New Roman" w:hint="default"/>
        </w:rPr>
        <w:t>71</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407"/>
        <w:gridCol w:w="2392"/>
        <w:gridCol w:w="2392"/>
      </w:tblGrid>
      <w:tr>
        <w:trPr>
          <w:trHeight w:val="162" w:hRule="exact"/>
        </w:trPr>
        <w:tc>
          <w:tcPr>
            <w:tcW w:w="2366" w:type="dxa"/>
            <w:tcBorders>
              <w:top w:val="single" w:sz="4" w:space="0" w:color="000000"/>
              <w:left w:val="single" w:sz="4" w:space="0" w:color="000000"/>
              <w:bottom w:val="nil" w:sz="6" w:space="0" w:color="auto"/>
              <w:right w:val="single" w:sz="4" w:space="0" w:color="000000"/>
            </w:tcBorders>
            <w:shd w:val="clear" w:color="auto" w:fill="D3D3D3"/>
          </w:tcPr>
          <w:p>
            <w:pPr/>
          </w:p>
        </w:tc>
        <w:tc>
          <w:tcPr>
            <w:tcW w:w="2407"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0" w:hRule="exact"/>
        </w:trPr>
        <w:tc>
          <w:tcPr>
            <w:tcW w:w="23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66" w:type="dxa"/>
            <w:tcBorders>
              <w:top w:val="nil" w:sz="6" w:space="0" w:color="auto"/>
              <w:left w:val="single" w:sz="4" w:space="0" w:color="000000"/>
              <w:bottom w:val="single" w:sz="4" w:space="0" w:color="000000"/>
              <w:right w:val="single" w:sz="4" w:space="0" w:color="000000"/>
            </w:tcBorders>
            <w:shd w:val="clear" w:color="auto" w:fill="D3D3D3"/>
          </w:tcPr>
          <w:p>
            <w:pPr/>
          </w:p>
        </w:tc>
        <w:tc>
          <w:tcPr>
            <w:tcW w:w="2407"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07" w:type="dxa"/>
            <w:tcBorders>
              <w:top w:val="single" w:sz="4" w:space="0" w:color="000000"/>
              <w:left w:val="single" w:sz="13" w:space="0" w:color="D3D3D3"/>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9,274,410.77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20,573.82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1,236.16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20573.82</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20,573.82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9,275,646.93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20573.82</w:t>
            </w:r>
          </w:p>
        </w:tc>
      </w:tr>
    </w:tbl>
    <w:p>
      <w:pPr>
        <w:pStyle w:val="BodyText"/>
        <w:spacing w:line="240" w:lineRule="auto" w:before="51"/>
        <w:ind w:right="1258"/>
        <w:jc w:val="left"/>
      </w:pPr>
      <w:r>
        <w:rPr/>
        <w:t>计入当期损益的政府补助：</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202"/>
        <w:gridCol w:w="923"/>
        <w:gridCol w:w="1345"/>
        <w:gridCol w:w="1134"/>
        <w:gridCol w:w="710"/>
        <w:gridCol w:w="1063"/>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发放主体</w:t>
            </w:r>
          </w:p>
        </w:tc>
        <w:tc>
          <w:tcPr>
            <w:tcW w:w="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1" w:right="110"/>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9" w:right="79"/>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202" w:type="dxa"/>
            <w:tcBorders>
              <w:top w:val="single" w:sz="4" w:space="0" w:color="000000"/>
              <w:left w:val="single" w:sz="4" w:space="0" w:color="000000"/>
              <w:bottom w:val="nil" w:sz="6" w:space="0" w:color="auto"/>
              <w:right w:val="single" w:sz="4" w:space="0" w:color="000000"/>
            </w:tcBorders>
          </w:tcPr>
          <w:p>
            <w:pPr/>
          </w:p>
        </w:tc>
        <w:tc>
          <w:tcPr>
            <w:tcW w:w="923"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因承担国家为保</w:t>
            </w:r>
          </w:p>
        </w:tc>
        <w:tc>
          <w:tcPr>
            <w:tcW w:w="1134"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上海国际贸 易单一窗口 运维补贴</w:t>
            </w: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sz w:val="18"/>
                <w:szCs w:val="18"/>
              </w:rPr>
              <w:t>当地政府机关</w:t>
            </w:r>
          </w:p>
        </w:tc>
        <w:tc>
          <w:tcPr>
            <w:tcW w:w="9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50"/>
              <w:jc w:val="both"/>
              <w:rPr>
                <w:rFonts w:ascii="宋体" w:hAnsi="宋体" w:cs="宋体" w:eastAsia="宋体" w:hint="default"/>
                <w:sz w:val="18"/>
                <w:szCs w:val="18"/>
              </w:rPr>
            </w:pPr>
            <w:r>
              <w:rPr>
                <w:rFonts w:ascii="宋体" w:hAnsi="宋体" w:cs="宋体" w:eastAsia="宋体" w:hint="default"/>
                <w:sz w:val="18"/>
                <w:szCs w:val="18"/>
              </w:rPr>
              <w:t>障某种公用事业 或社会必要产品 供应或价格控制 职能而获得的补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3,815,200.00</w:t>
            </w: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202" w:type="dxa"/>
            <w:tcBorders>
              <w:top w:val="nil" w:sz="6" w:space="0" w:color="auto"/>
              <w:left w:val="single" w:sz="4" w:space="0" w:color="000000"/>
              <w:bottom w:val="single" w:sz="4" w:space="0" w:color="000000"/>
              <w:right w:val="single" w:sz="4" w:space="0" w:color="000000"/>
            </w:tcBorders>
          </w:tcPr>
          <w:p>
            <w:pPr/>
          </w:p>
        </w:tc>
        <w:tc>
          <w:tcPr>
            <w:tcW w:w="923"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134"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202" w:type="dxa"/>
            <w:tcBorders>
              <w:top w:val="single" w:sz="4" w:space="0" w:color="000000"/>
              <w:left w:val="single" w:sz="4" w:space="0" w:color="000000"/>
              <w:bottom w:val="nil" w:sz="6" w:space="0" w:color="auto"/>
              <w:right w:val="single" w:sz="4" w:space="0" w:color="000000"/>
            </w:tcBorders>
          </w:tcPr>
          <w:p>
            <w:pPr/>
          </w:p>
        </w:tc>
        <w:tc>
          <w:tcPr>
            <w:tcW w:w="923"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因从事国家鼓励</w:t>
            </w:r>
          </w:p>
        </w:tc>
        <w:tc>
          <w:tcPr>
            <w:tcW w:w="1134"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66" w:type="dxa"/>
            <w:tcBorders>
              <w:top w:val="nil" w:sz="6" w:space="0" w:color="auto"/>
              <w:left w:val="single" w:sz="4" w:space="0" w:color="000000"/>
              <w:bottom w:val="nil" w:sz="6" w:space="0" w:color="auto"/>
              <w:right w:val="single" w:sz="4" w:space="0" w:color="000000"/>
            </w:tcBorders>
          </w:tcPr>
          <w:p>
            <w:pPr/>
          </w:p>
        </w:tc>
        <w:tc>
          <w:tcPr>
            <w:tcW w:w="1202" w:type="dxa"/>
            <w:tcBorders>
              <w:top w:val="nil" w:sz="6" w:space="0" w:color="auto"/>
              <w:left w:val="single" w:sz="4" w:space="0" w:color="000000"/>
              <w:bottom w:val="nil" w:sz="6" w:space="0" w:color="auto"/>
              <w:right w:val="single" w:sz="4" w:space="0" w:color="000000"/>
            </w:tcBorders>
          </w:tcPr>
          <w:p>
            <w:pPr/>
          </w:p>
        </w:tc>
        <w:tc>
          <w:tcPr>
            <w:tcW w:w="923"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和扶持特定行</w:t>
            </w:r>
          </w:p>
        </w:tc>
        <w:tc>
          <w:tcPr>
            <w:tcW w:w="1134"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31"/>
              <w:jc w:val="left"/>
              <w:rPr>
                <w:rFonts w:ascii="宋体" w:hAnsi="宋体" w:cs="宋体" w:eastAsia="宋体" w:hint="default"/>
                <w:sz w:val="18"/>
                <w:szCs w:val="18"/>
              </w:rPr>
            </w:pPr>
            <w:r>
              <w:rPr>
                <w:rFonts w:ascii="宋体" w:hAnsi="宋体" w:cs="宋体" w:eastAsia="宋体" w:hint="default"/>
                <w:sz w:val="18"/>
                <w:szCs w:val="18"/>
              </w:rPr>
              <w:t>增值税税收 返还</w:t>
            </w: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sz w:val="18"/>
                <w:szCs w:val="18"/>
              </w:rPr>
              <w:t>当地政府机关</w:t>
            </w:r>
          </w:p>
        </w:tc>
        <w:tc>
          <w:tcPr>
            <w:tcW w:w="92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50"/>
              <w:jc w:val="left"/>
              <w:rPr>
                <w:rFonts w:ascii="宋体" w:hAnsi="宋体" w:cs="宋体" w:eastAsia="宋体" w:hint="default"/>
                <w:sz w:val="18"/>
                <w:szCs w:val="18"/>
              </w:rPr>
            </w:pPr>
            <w:r>
              <w:rPr>
                <w:rFonts w:ascii="宋体" w:hAnsi="宋体" w:cs="宋体" w:eastAsia="宋体" w:hint="default"/>
                <w:sz w:val="18"/>
                <w:szCs w:val="18"/>
              </w:rPr>
              <w:t>业、产业而获得 的补助（按国家</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1,910,985.29</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2,660,652.70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202" w:type="dxa"/>
            <w:tcBorders>
              <w:top w:val="nil" w:sz="6" w:space="0" w:color="auto"/>
              <w:left w:val="single" w:sz="4" w:space="0" w:color="000000"/>
              <w:bottom w:val="nil" w:sz="6" w:space="0" w:color="auto"/>
              <w:right w:val="single" w:sz="4" w:space="0" w:color="000000"/>
            </w:tcBorders>
          </w:tcPr>
          <w:p>
            <w:pPr/>
          </w:p>
        </w:tc>
        <w:tc>
          <w:tcPr>
            <w:tcW w:w="923"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级政策规定依法</w:t>
            </w:r>
          </w:p>
        </w:tc>
        <w:tc>
          <w:tcPr>
            <w:tcW w:w="1134"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202" w:type="dxa"/>
            <w:tcBorders>
              <w:top w:val="nil" w:sz="6" w:space="0" w:color="auto"/>
              <w:left w:val="single" w:sz="4" w:space="0" w:color="000000"/>
              <w:bottom w:val="single" w:sz="4" w:space="0" w:color="000000"/>
              <w:right w:val="single" w:sz="4" w:space="0" w:color="000000"/>
            </w:tcBorders>
          </w:tcPr>
          <w:p>
            <w:pPr/>
          </w:p>
        </w:tc>
        <w:tc>
          <w:tcPr>
            <w:tcW w:w="923"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取得）</w:t>
            </w:r>
          </w:p>
        </w:tc>
        <w:tc>
          <w:tcPr>
            <w:tcW w:w="1134"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9"/>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榕基马鞍山 智慧园</w:t>
            </w:r>
            <w:r>
              <w:rPr>
                <w:rFonts w:ascii="Times New Roman" w:hAnsi="Times New Roman" w:cs="Times New Roman" w:eastAsia="Times New Roman" w:hint="default"/>
                <w:sz w:val="18"/>
                <w:szCs w:val="18"/>
              </w:rPr>
              <w:t>"</w:t>
            </w:r>
            <w:r>
              <w:rPr>
                <w:rFonts w:ascii="宋体" w:hAnsi="宋体" w:cs="宋体" w:eastAsia="宋体" w:hint="default"/>
                <w:sz w:val="18"/>
                <w:szCs w:val="18"/>
              </w:rPr>
              <w:t>项目 补助资金</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sz w:val="18"/>
                <w:szCs w:val="18"/>
              </w:rPr>
              <w:t>当地政府机关</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1,168,563.24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584,251.62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62"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年市级</w:t>
            </w:r>
          </w:p>
        </w:tc>
        <w:tc>
          <w:tcPr>
            <w:tcW w:w="1202" w:type="dxa"/>
            <w:tcBorders>
              <w:top w:val="single" w:sz="4" w:space="0" w:color="000000"/>
              <w:left w:val="single" w:sz="4" w:space="0" w:color="000000"/>
              <w:bottom w:val="nil" w:sz="6" w:space="0" w:color="auto"/>
              <w:right w:val="single" w:sz="4" w:space="0" w:color="000000"/>
            </w:tcBorders>
          </w:tcPr>
          <w:p>
            <w:pPr/>
          </w:p>
        </w:tc>
        <w:tc>
          <w:tcPr>
            <w:tcW w:w="923"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因研究开发、技</w:t>
            </w:r>
          </w:p>
        </w:tc>
        <w:tc>
          <w:tcPr>
            <w:tcW w:w="1134"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软件产业发</w:t>
            </w: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65"/>
              <w:jc w:val="center"/>
              <w:rPr>
                <w:rFonts w:ascii="宋体" w:hAnsi="宋体" w:cs="宋体" w:eastAsia="宋体" w:hint="default"/>
                <w:sz w:val="18"/>
                <w:szCs w:val="18"/>
              </w:rPr>
            </w:pPr>
            <w:r>
              <w:rPr>
                <w:rFonts w:ascii="宋体" w:hAnsi="宋体" w:cs="宋体" w:eastAsia="宋体" w:hint="default"/>
                <w:sz w:val="18"/>
                <w:szCs w:val="18"/>
              </w:rPr>
              <w:t>当地政府机关</w:t>
            </w:r>
          </w:p>
        </w:tc>
        <w:tc>
          <w:tcPr>
            <w:tcW w:w="9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术更新及改造等</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500,000.00</w:t>
            </w: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3"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展专项基金</w:t>
            </w:r>
          </w:p>
        </w:tc>
        <w:tc>
          <w:tcPr>
            <w:tcW w:w="1202" w:type="dxa"/>
            <w:tcBorders>
              <w:top w:val="nil" w:sz="6" w:space="0" w:color="auto"/>
              <w:left w:val="single" w:sz="4" w:space="0" w:color="000000"/>
              <w:bottom w:val="single" w:sz="4" w:space="0" w:color="000000"/>
              <w:right w:val="single" w:sz="4" w:space="0" w:color="000000"/>
            </w:tcBorders>
          </w:tcPr>
          <w:p>
            <w:pPr/>
          </w:p>
        </w:tc>
        <w:tc>
          <w:tcPr>
            <w:tcW w:w="923"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134"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年重大</w:t>
            </w:r>
          </w:p>
        </w:tc>
        <w:tc>
          <w:tcPr>
            <w:tcW w:w="1202" w:type="dxa"/>
            <w:tcBorders>
              <w:top w:val="single" w:sz="4" w:space="0" w:color="000000"/>
              <w:left w:val="single" w:sz="4" w:space="0" w:color="000000"/>
              <w:bottom w:val="nil" w:sz="6" w:space="0" w:color="auto"/>
              <w:right w:val="single" w:sz="4" w:space="0" w:color="000000"/>
            </w:tcBorders>
          </w:tcPr>
          <w:p>
            <w:pPr/>
          </w:p>
        </w:tc>
        <w:tc>
          <w:tcPr>
            <w:tcW w:w="923"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专项榕基</w:t>
            </w:r>
          </w:p>
        </w:tc>
        <w:tc>
          <w:tcPr>
            <w:tcW w:w="1202" w:type="dxa"/>
            <w:tcBorders>
              <w:top w:val="nil" w:sz="6" w:space="0" w:color="auto"/>
              <w:left w:val="single" w:sz="4" w:space="0" w:color="000000"/>
              <w:bottom w:val="nil" w:sz="6" w:space="0" w:color="auto"/>
              <w:right w:val="single" w:sz="4" w:space="0" w:color="000000"/>
            </w:tcBorders>
          </w:tcPr>
          <w:p>
            <w:pPr/>
          </w:p>
        </w:tc>
        <w:tc>
          <w:tcPr>
            <w:tcW w:w="923"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因研究开发、技</w:t>
            </w:r>
          </w:p>
        </w:tc>
        <w:tc>
          <w:tcPr>
            <w:tcW w:w="1134"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WEB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应用安</w:t>
            </w: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65"/>
              <w:jc w:val="center"/>
              <w:rPr>
                <w:rFonts w:ascii="宋体" w:hAnsi="宋体" w:cs="宋体" w:eastAsia="宋体" w:hint="default"/>
                <w:sz w:val="18"/>
                <w:szCs w:val="18"/>
              </w:rPr>
            </w:pPr>
            <w:r>
              <w:rPr>
                <w:rFonts w:ascii="宋体" w:hAnsi="宋体" w:cs="宋体" w:eastAsia="宋体" w:hint="default"/>
                <w:sz w:val="18"/>
                <w:szCs w:val="18"/>
              </w:rPr>
              <w:t>当地政府机关</w:t>
            </w:r>
          </w:p>
        </w:tc>
        <w:tc>
          <w:tcPr>
            <w:tcW w:w="92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术更新及改造等</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333,333.33</w:t>
            </w: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08"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全扫描系统</w:t>
            </w:r>
          </w:p>
        </w:tc>
        <w:tc>
          <w:tcPr>
            <w:tcW w:w="1202" w:type="dxa"/>
            <w:tcBorders>
              <w:top w:val="nil" w:sz="6" w:space="0" w:color="auto"/>
              <w:left w:val="single" w:sz="4" w:space="0" w:color="000000"/>
              <w:bottom w:val="nil" w:sz="6" w:space="0" w:color="auto"/>
              <w:right w:val="single" w:sz="4" w:space="0" w:color="000000"/>
            </w:tcBorders>
          </w:tcPr>
          <w:p>
            <w:pPr/>
          </w:p>
        </w:tc>
        <w:tc>
          <w:tcPr>
            <w:tcW w:w="923"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134"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专项资金</w:t>
            </w:r>
          </w:p>
        </w:tc>
        <w:tc>
          <w:tcPr>
            <w:tcW w:w="1202" w:type="dxa"/>
            <w:tcBorders>
              <w:top w:val="nil" w:sz="6" w:space="0" w:color="auto"/>
              <w:left w:val="single" w:sz="4" w:space="0" w:color="000000"/>
              <w:bottom w:val="single" w:sz="4" w:space="0" w:color="000000"/>
              <w:right w:val="single" w:sz="4" w:space="0" w:color="000000"/>
            </w:tcBorders>
          </w:tcPr>
          <w:p>
            <w:pPr/>
          </w:p>
        </w:tc>
        <w:tc>
          <w:tcPr>
            <w:tcW w:w="923"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2"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年产学</w:t>
            </w:r>
          </w:p>
        </w:tc>
        <w:tc>
          <w:tcPr>
            <w:tcW w:w="1202" w:type="dxa"/>
            <w:tcBorders>
              <w:top w:val="single" w:sz="4" w:space="0" w:color="000000"/>
              <w:left w:val="single" w:sz="4" w:space="0" w:color="000000"/>
              <w:bottom w:val="nil" w:sz="6" w:space="0" w:color="auto"/>
              <w:right w:val="single" w:sz="4" w:space="0" w:color="000000"/>
            </w:tcBorders>
          </w:tcPr>
          <w:p>
            <w:pPr/>
          </w:p>
        </w:tc>
        <w:tc>
          <w:tcPr>
            <w:tcW w:w="923"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研专项补助</w:t>
            </w:r>
          </w:p>
        </w:tc>
        <w:tc>
          <w:tcPr>
            <w:tcW w:w="1202" w:type="dxa"/>
            <w:tcBorders>
              <w:top w:val="nil" w:sz="6" w:space="0" w:color="auto"/>
              <w:left w:val="single" w:sz="4" w:space="0" w:color="000000"/>
              <w:bottom w:val="nil" w:sz="6" w:space="0" w:color="auto"/>
              <w:right w:val="single" w:sz="4" w:space="0" w:color="000000"/>
            </w:tcBorders>
          </w:tcPr>
          <w:p>
            <w:pPr/>
          </w:p>
        </w:tc>
        <w:tc>
          <w:tcPr>
            <w:tcW w:w="923"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因研究开发、技</w:t>
            </w:r>
          </w:p>
        </w:tc>
        <w:tc>
          <w:tcPr>
            <w:tcW w:w="1134"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和工业企业</w:t>
            </w: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65"/>
              <w:jc w:val="center"/>
              <w:rPr>
                <w:rFonts w:ascii="宋体" w:hAnsi="宋体" w:cs="宋体" w:eastAsia="宋体" w:hint="default"/>
                <w:sz w:val="18"/>
                <w:szCs w:val="18"/>
              </w:rPr>
            </w:pPr>
            <w:r>
              <w:rPr>
                <w:rFonts w:ascii="宋体" w:hAnsi="宋体" w:cs="宋体" w:eastAsia="宋体" w:hint="default"/>
                <w:sz w:val="18"/>
                <w:szCs w:val="18"/>
              </w:rPr>
              <w:t>当地政府机关</w:t>
            </w:r>
          </w:p>
        </w:tc>
        <w:tc>
          <w:tcPr>
            <w:tcW w:w="92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术更新及改造等</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18"/>
                <w:szCs w:val="18"/>
              </w:rPr>
            </w:pPr>
            <w:r>
              <w:rPr>
                <w:rFonts w:ascii="Times New Roman"/>
                <w:sz w:val="18"/>
              </w:rPr>
              <w:t>300,000.00</w:t>
            </w: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1"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优秀创新产</w:t>
            </w:r>
          </w:p>
        </w:tc>
        <w:tc>
          <w:tcPr>
            <w:tcW w:w="1202" w:type="dxa"/>
            <w:tcBorders>
              <w:top w:val="nil" w:sz="6" w:space="0" w:color="auto"/>
              <w:left w:val="single" w:sz="4" w:space="0" w:color="000000"/>
              <w:bottom w:val="nil" w:sz="6" w:space="0" w:color="auto"/>
              <w:right w:val="single" w:sz="4" w:space="0" w:color="000000"/>
            </w:tcBorders>
          </w:tcPr>
          <w:p>
            <w:pPr/>
          </w:p>
        </w:tc>
        <w:tc>
          <w:tcPr>
            <w:tcW w:w="923"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134"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2"/>
                <w:sz w:val="18"/>
                <w:szCs w:val="18"/>
              </w:rPr>
              <w:t>品、创建品牌</w:t>
            </w:r>
          </w:p>
        </w:tc>
        <w:tc>
          <w:tcPr>
            <w:tcW w:w="1202" w:type="dxa"/>
            <w:tcBorders>
              <w:top w:val="nil" w:sz="6" w:space="0" w:color="auto"/>
              <w:left w:val="single" w:sz="4" w:space="0" w:color="000000"/>
              <w:bottom w:val="single" w:sz="4" w:space="0" w:color="000000"/>
              <w:right w:val="single" w:sz="4" w:space="0" w:color="000000"/>
            </w:tcBorders>
          </w:tcPr>
          <w:p>
            <w:pPr/>
          </w:p>
        </w:tc>
        <w:tc>
          <w:tcPr>
            <w:tcW w:w="923"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6"/>
        <w:gridCol w:w="1202"/>
        <w:gridCol w:w="923"/>
        <w:gridCol w:w="1345"/>
        <w:gridCol w:w="1134"/>
        <w:gridCol w:w="710"/>
        <w:gridCol w:w="1063"/>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202"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6"/>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年福建 省第一批省 级新型研发 机构奖励金</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当地政府机关</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0"/>
              <w:jc w:val="both"/>
              <w:rPr>
                <w:rFonts w:ascii="宋体" w:hAnsi="宋体" w:cs="宋体" w:eastAsia="宋体" w:hint="default"/>
                <w:sz w:val="18"/>
                <w:szCs w:val="18"/>
              </w:rPr>
            </w:pPr>
            <w:r>
              <w:rPr>
                <w:rFonts w:ascii="宋体" w:hAnsi="宋体" w:cs="宋体" w:eastAsia="宋体" w:hint="default"/>
                <w:sz w:val="18"/>
                <w:szCs w:val="18"/>
              </w:rPr>
              <w:t>因研究开发、技 术更新及改造等 获得的补助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202" w:type="dxa"/>
            <w:tcBorders>
              <w:top w:val="single" w:sz="4" w:space="0" w:color="000000"/>
              <w:left w:val="single" w:sz="4" w:space="0" w:color="000000"/>
              <w:bottom w:val="nil" w:sz="6" w:space="0" w:color="auto"/>
              <w:right w:val="single" w:sz="4" w:space="0" w:color="000000"/>
            </w:tcBorders>
          </w:tcPr>
          <w:p>
            <w:pPr/>
          </w:p>
        </w:tc>
        <w:tc>
          <w:tcPr>
            <w:tcW w:w="923"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因承担国家为保</w:t>
            </w:r>
          </w:p>
        </w:tc>
        <w:tc>
          <w:tcPr>
            <w:tcW w:w="1134"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66" w:type="dxa"/>
            <w:tcBorders>
              <w:top w:val="nil" w:sz="6" w:space="0" w:color="auto"/>
              <w:left w:val="single" w:sz="4" w:space="0" w:color="000000"/>
              <w:bottom w:val="nil" w:sz="6" w:space="0" w:color="auto"/>
              <w:right w:val="single" w:sz="4" w:space="0" w:color="000000"/>
            </w:tcBorders>
          </w:tcPr>
          <w:p>
            <w:pPr/>
          </w:p>
        </w:tc>
        <w:tc>
          <w:tcPr>
            <w:tcW w:w="1202" w:type="dxa"/>
            <w:tcBorders>
              <w:top w:val="nil" w:sz="6" w:space="0" w:color="auto"/>
              <w:left w:val="single" w:sz="4" w:space="0" w:color="000000"/>
              <w:bottom w:val="nil" w:sz="6" w:space="0" w:color="auto"/>
              <w:right w:val="single" w:sz="4" w:space="0" w:color="000000"/>
            </w:tcBorders>
          </w:tcPr>
          <w:p>
            <w:pPr/>
          </w:p>
        </w:tc>
        <w:tc>
          <w:tcPr>
            <w:tcW w:w="923"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障某种公用事业</w:t>
            </w:r>
          </w:p>
        </w:tc>
        <w:tc>
          <w:tcPr>
            <w:tcW w:w="1134"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31"/>
              <w:jc w:val="left"/>
              <w:rPr>
                <w:rFonts w:ascii="宋体" w:hAnsi="宋体" w:cs="宋体" w:eastAsia="宋体" w:hint="default"/>
                <w:sz w:val="18"/>
                <w:szCs w:val="18"/>
              </w:rPr>
            </w:pPr>
            <w:r>
              <w:rPr>
                <w:rFonts w:ascii="宋体" w:hAnsi="宋体" w:cs="宋体" w:eastAsia="宋体" w:hint="default"/>
                <w:sz w:val="18"/>
                <w:szCs w:val="18"/>
              </w:rPr>
              <w:t>就业见习补 贴</w:t>
            </w: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当地政府机关</w:t>
            </w:r>
          </w:p>
        </w:tc>
        <w:tc>
          <w:tcPr>
            <w:tcW w:w="92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50"/>
              <w:jc w:val="left"/>
              <w:rPr>
                <w:rFonts w:ascii="宋体" w:hAnsi="宋体" w:cs="宋体" w:eastAsia="宋体" w:hint="default"/>
                <w:sz w:val="18"/>
                <w:szCs w:val="18"/>
              </w:rPr>
            </w:pPr>
            <w:r>
              <w:rPr>
                <w:rFonts w:ascii="宋体" w:hAnsi="宋体" w:cs="宋体" w:eastAsia="宋体" w:hint="default"/>
                <w:sz w:val="18"/>
                <w:szCs w:val="18"/>
              </w:rPr>
              <w:t>或社会必要产品 供应或价格控制</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219,510.00</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64,800.00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202" w:type="dxa"/>
            <w:tcBorders>
              <w:top w:val="nil" w:sz="6" w:space="0" w:color="auto"/>
              <w:left w:val="single" w:sz="4" w:space="0" w:color="000000"/>
              <w:bottom w:val="nil" w:sz="6" w:space="0" w:color="auto"/>
              <w:right w:val="single" w:sz="4" w:space="0" w:color="000000"/>
            </w:tcBorders>
          </w:tcPr>
          <w:p>
            <w:pPr/>
          </w:p>
        </w:tc>
        <w:tc>
          <w:tcPr>
            <w:tcW w:w="923"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职能而获得的补</w:t>
            </w:r>
          </w:p>
        </w:tc>
        <w:tc>
          <w:tcPr>
            <w:tcW w:w="1134"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202" w:type="dxa"/>
            <w:tcBorders>
              <w:top w:val="nil" w:sz="6" w:space="0" w:color="auto"/>
              <w:left w:val="single" w:sz="4" w:space="0" w:color="000000"/>
              <w:bottom w:val="single" w:sz="4" w:space="0" w:color="000000"/>
              <w:right w:val="single" w:sz="4" w:space="0" w:color="000000"/>
            </w:tcBorders>
          </w:tcPr>
          <w:p>
            <w:pPr/>
          </w:p>
        </w:tc>
        <w:tc>
          <w:tcPr>
            <w:tcW w:w="923"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134"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202" w:type="dxa"/>
            <w:tcBorders>
              <w:top w:val="single" w:sz="4" w:space="0" w:color="000000"/>
              <w:left w:val="single" w:sz="4" w:space="0" w:color="000000"/>
              <w:bottom w:val="nil" w:sz="6" w:space="0" w:color="auto"/>
              <w:right w:val="single" w:sz="4" w:space="0" w:color="000000"/>
            </w:tcBorders>
          </w:tcPr>
          <w:p>
            <w:pPr/>
          </w:p>
        </w:tc>
        <w:tc>
          <w:tcPr>
            <w:tcW w:w="923"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因符合地方政府</w:t>
            </w:r>
          </w:p>
        </w:tc>
        <w:tc>
          <w:tcPr>
            <w:tcW w:w="1134"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22" w:right="86"/>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年总部 企业奖励款</w:t>
            </w: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当地政府机关</w:t>
            </w:r>
          </w:p>
        </w:tc>
        <w:tc>
          <w:tcPr>
            <w:tcW w:w="9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50"/>
              <w:jc w:val="left"/>
              <w:rPr>
                <w:rFonts w:ascii="宋体" w:hAnsi="宋体" w:cs="宋体" w:eastAsia="宋体" w:hint="default"/>
                <w:sz w:val="18"/>
                <w:szCs w:val="18"/>
              </w:rPr>
            </w:pPr>
            <w:r>
              <w:rPr>
                <w:rFonts w:ascii="宋体" w:hAnsi="宋体" w:cs="宋体" w:eastAsia="宋体" w:hint="default"/>
                <w:sz w:val="18"/>
                <w:szCs w:val="18"/>
              </w:rPr>
              <w:t>招商引资等地方 性扶持政策而获</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170,000.00</w:t>
            </w: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6"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202" w:type="dxa"/>
            <w:tcBorders>
              <w:top w:val="nil" w:sz="6" w:space="0" w:color="auto"/>
              <w:left w:val="single" w:sz="4" w:space="0" w:color="000000"/>
              <w:bottom w:val="single" w:sz="4" w:space="0" w:color="000000"/>
              <w:right w:val="single" w:sz="4" w:space="0" w:color="000000"/>
            </w:tcBorders>
          </w:tcPr>
          <w:p>
            <w:pPr/>
          </w:p>
        </w:tc>
        <w:tc>
          <w:tcPr>
            <w:tcW w:w="923"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得的补助</w:t>
            </w:r>
          </w:p>
        </w:tc>
        <w:tc>
          <w:tcPr>
            <w:tcW w:w="1134"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86"/>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年度福 建名牌产品</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当地政府机关</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因研究开发、技 术更新及改造等 获得的补助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福建省科技</w:t>
            </w:r>
          </w:p>
        </w:tc>
        <w:tc>
          <w:tcPr>
            <w:tcW w:w="1202" w:type="dxa"/>
            <w:tcBorders>
              <w:top w:val="single" w:sz="4" w:space="0" w:color="000000"/>
              <w:left w:val="single" w:sz="4" w:space="0" w:color="000000"/>
              <w:bottom w:val="nil" w:sz="6" w:space="0" w:color="auto"/>
              <w:right w:val="single" w:sz="4" w:space="0" w:color="000000"/>
            </w:tcBorders>
          </w:tcPr>
          <w:p>
            <w:pPr/>
          </w:p>
        </w:tc>
        <w:tc>
          <w:tcPr>
            <w:tcW w:w="923"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计划项目</w:t>
            </w:r>
            <w:r>
              <w:rPr>
                <w:rFonts w:ascii="Times New Roman" w:hAnsi="Times New Roman" w:cs="Times New Roman" w:eastAsia="Times New Roman" w:hint="default"/>
                <w:sz w:val="18"/>
                <w:szCs w:val="18"/>
              </w:rPr>
              <w:t>"</w:t>
            </w:r>
            <w:r>
              <w:rPr>
                <w:rFonts w:ascii="宋体" w:hAnsi="宋体" w:cs="宋体" w:eastAsia="宋体" w:hint="default"/>
                <w:sz w:val="18"/>
                <w:szCs w:val="18"/>
              </w:rPr>
              <w:t>大</w:t>
            </w:r>
          </w:p>
        </w:tc>
        <w:tc>
          <w:tcPr>
            <w:tcW w:w="1202" w:type="dxa"/>
            <w:tcBorders>
              <w:top w:val="nil" w:sz="6" w:space="0" w:color="auto"/>
              <w:left w:val="single" w:sz="4" w:space="0" w:color="000000"/>
              <w:bottom w:val="nil" w:sz="6" w:space="0" w:color="auto"/>
              <w:right w:val="single" w:sz="4" w:space="0" w:color="000000"/>
            </w:tcBorders>
          </w:tcPr>
          <w:p>
            <w:pPr/>
          </w:p>
        </w:tc>
        <w:tc>
          <w:tcPr>
            <w:tcW w:w="923"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数据平台实</w:t>
            </w:r>
          </w:p>
        </w:tc>
        <w:tc>
          <w:tcPr>
            <w:tcW w:w="1202" w:type="dxa"/>
            <w:tcBorders>
              <w:top w:val="nil" w:sz="6" w:space="0" w:color="auto"/>
              <w:left w:val="single" w:sz="4" w:space="0" w:color="000000"/>
              <w:bottom w:val="nil" w:sz="6" w:space="0" w:color="auto"/>
              <w:right w:val="single" w:sz="4" w:space="0" w:color="000000"/>
            </w:tcBorders>
          </w:tcPr>
          <w:p>
            <w:pPr/>
          </w:p>
        </w:tc>
        <w:tc>
          <w:tcPr>
            <w:tcW w:w="923"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因研究开发、技</w:t>
            </w:r>
          </w:p>
        </w:tc>
        <w:tc>
          <w:tcPr>
            <w:tcW w:w="1134"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时异常检测</w:t>
            </w: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当地政府机关</w:t>
            </w:r>
          </w:p>
        </w:tc>
        <w:tc>
          <w:tcPr>
            <w:tcW w:w="92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术更新及改造等</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120,000.00</w:t>
            </w: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8"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分析系统的</w:t>
            </w:r>
          </w:p>
        </w:tc>
        <w:tc>
          <w:tcPr>
            <w:tcW w:w="1202" w:type="dxa"/>
            <w:tcBorders>
              <w:top w:val="nil" w:sz="6" w:space="0" w:color="auto"/>
              <w:left w:val="single" w:sz="4" w:space="0" w:color="000000"/>
              <w:bottom w:val="nil" w:sz="6" w:space="0" w:color="auto"/>
              <w:right w:val="single" w:sz="4" w:space="0" w:color="000000"/>
            </w:tcBorders>
          </w:tcPr>
          <w:p>
            <w:pPr/>
          </w:p>
        </w:tc>
        <w:tc>
          <w:tcPr>
            <w:tcW w:w="923"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134"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关键技术研</w:t>
            </w:r>
          </w:p>
        </w:tc>
        <w:tc>
          <w:tcPr>
            <w:tcW w:w="1202" w:type="dxa"/>
            <w:tcBorders>
              <w:top w:val="nil" w:sz="6" w:space="0" w:color="auto"/>
              <w:left w:val="single" w:sz="4" w:space="0" w:color="000000"/>
              <w:bottom w:val="nil" w:sz="6" w:space="0" w:color="auto"/>
              <w:right w:val="single" w:sz="4" w:space="0" w:color="000000"/>
            </w:tcBorders>
          </w:tcPr>
          <w:p>
            <w:pPr/>
          </w:p>
        </w:tc>
        <w:tc>
          <w:tcPr>
            <w:tcW w:w="923"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发及产业化</w:t>
            </w:r>
            <w:r>
              <w:rPr>
                <w:rFonts w:ascii="Times New Roman" w:hAnsi="Times New Roman" w:cs="Times New Roman" w:eastAsia="Times New Roman" w:hint="default"/>
                <w:sz w:val="18"/>
                <w:szCs w:val="18"/>
              </w:rPr>
              <w:t>"</w:t>
            </w:r>
          </w:p>
        </w:tc>
        <w:tc>
          <w:tcPr>
            <w:tcW w:w="1202" w:type="dxa"/>
            <w:tcBorders>
              <w:top w:val="nil" w:sz="6" w:space="0" w:color="auto"/>
              <w:left w:val="single" w:sz="4" w:space="0" w:color="000000"/>
              <w:bottom w:val="single" w:sz="4" w:space="0" w:color="000000"/>
              <w:right w:val="single" w:sz="4" w:space="0" w:color="000000"/>
            </w:tcBorders>
          </w:tcPr>
          <w:p>
            <w:pPr/>
          </w:p>
        </w:tc>
        <w:tc>
          <w:tcPr>
            <w:tcW w:w="923"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关于下达</w:t>
            </w:r>
          </w:p>
        </w:tc>
        <w:tc>
          <w:tcPr>
            <w:tcW w:w="1202" w:type="dxa"/>
            <w:tcBorders>
              <w:top w:val="single" w:sz="4" w:space="0" w:color="000000"/>
              <w:left w:val="single" w:sz="4" w:space="0" w:color="000000"/>
              <w:bottom w:val="nil" w:sz="6" w:space="0" w:color="auto"/>
              <w:right w:val="single" w:sz="4" w:space="0" w:color="000000"/>
            </w:tcBorders>
          </w:tcPr>
          <w:p>
            <w:pPr/>
          </w:p>
        </w:tc>
        <w:tc>
          <w:tcPr>
            <w:tcW w:w="923"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w:t>
            </w:r>
          </w:p>
        </w:tc>
        <w:tc>
          <w:tcPr>
            <w:tcW w:w="1202" w:type="dxa"/>
            <w:tcBorders>
              <w:top w:val="nil" w:sz="6" w:space="0" w:color="auto"/>
              <w:left w:val="single" w:sz="4" w:space="0" w:color="000000"/>
              <w:bottom w:val="nil" w:sz="6" w:space="0" w:color="auto"/>
              <w:right w:val="single" w:sz="4" w:space="0" w:color="000000"/>
            </w:tcBorders>
          </w:tcPr>
          <w:p>
            <w:pPr/>
          </w:p>
        </w:tc>
        <w:tc>
          <w:tcPr>
            <w:tcW w:w="923"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因研究开发、技</w:t>
            </w:r>
          </w:p>
        </w:tc>
        <w:tc>
          <w:tcPr>
            <w:tcW w:w="1134"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批软件产业</w:t>
            </w: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当地政府机关</w:t>
            </w:r>
          </w:p>
        </w:tc>
        <w:tc>
          <w:tcPr>
            <w:tcW w:w="9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术更新及改造等</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115,384.58</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461,538.48</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09"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发展专项资</w:t>
            </w:r>
          </w:p>
        </w:tc>
        <w:tc>
          <w:tcPr>
            <w:tcW w:w="1202" w:type="dxa"/>
            <w:tcBorders>
              <w:top w:val="nil" w:sz="6" w:space="0" w:color="auto"/>
              <w:left w:val="single" w:sz="4" w:space="0" w:color="000000"/>
              <w:bottom w:val="nil" w:sz="6" w:space="0" w:color="auto"/>
              <w:right w:val="single" w:sz="4" w:space="0" w:color="000000"/>
            </w:tcBorders>
          </w:tcPr>
          <w:p>
            <w:pPr/>
          </w:p>
        </w:tc>
        <w:tc>
          <w:tcPr>
            <w:tcW w:w="923"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134"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金的通知</w:t>
            </w:r>
          </w:p>
        </w:tc>
        <w:tc>
          <w:tcPr>
            <w:tcW w:w="1202" w:type="dxa"/>
            <w:tcBorders>
              <w:top w:val="nil" w:sz="6" w:space="0" w:color="auto"/>
              <w:left w:val="single" w:sz="4" w:space="0" w:color="000000"/>
              <w:bottom w:val="single" w:sz="4" w:space="0" w:color="000000"/>
              <w:right w:val="single" w:sz="4" w:space="0" w:color="000000"/>
            </w:tcBorders>
          </w:tcPr>
          <w:p>
            <w:pPr/>
          </w:p>
        </w:tc>
        <w:tc>
          <w:tcPr>
            <w:tcW w:w="923"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年度科</w:t>
            </w:r>
          </w:p>
        </w:tc>
        <w:tc>
          <w:tcPr>
            <w:tcW w:w="1202" w:type="dxa"/>
            <w:tcBorders>
              <w:top w:val="single" w:sz="4" w:space="0" w:color="000000"/>
              <w:left w:val="single" w:sz="4" w:space="0" w:color="000000"/>
              <w:bottom w:val="nil" w:sz="6" w:space="0" w:color="auto"/>
              <w:right w:val="single" w:sz="4" w:space="0" w:color="000000"/>
            </w:tcBorders>
          </w:tcPr>
          <w:p>
            <w:pPr/>
          </w:p>
        </w:tc>
        <w:tc>
          <w:tcPr>
            <w:tcW w:w="923"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技小巨人领</w:t>
            </w:r>
          </w:p>
        </w:tc>
        <w:tc>
          <w:tcPr>
            <w:tcW w:w="1202" w:type="dxa"/>
            <w:tcBorders>
              <w:top w:val="nil" w:sz="6" w:space="0" w:color="auto"/>
              <w:left w:val="single" w:sz="4" w:space="0" w:color="000000"/>
              <w:bottom w:val="nil" w:sz="6" w:space="0" w:color="auto"/>
              <w:right w:val="single" w:sz="4" w:space="0" w:color="000000"/>
            </w:tcBorders>
          </w:tcPr>
          <w:p>
            <w:pPr/>
          </w:p>
        </w:tc>
        <w:tc>
          <w:tcPr>
            <w:tcW w:w="923"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因研究开发、技</w:t>
            </w:r>
          </w:p>
        </w:tc>
        <w:tc>
          <w:tcPr>
            <w:tcW w:w="1134"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军企业研发</w:t>
            </w: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当地政府机关</w:t>
            </w:r>
          </w:p>
        </w:tc>
        <w:tc>
          <w:tcPr>
            <w:tcW w:w="92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术更新及改造等</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60,000.00</w:t>
            </w: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9"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费用加计扣</w:t>
            </w:r>
          </w:p>
        </w:tc>
        <w:tc>
          <w:tcPr>
            <w:tcW w:w="1202" w:type="dxa"/>
            <w:tcBorders>
              <w:top w:val="nil" w:sz="6" w:space="0" w:color="auto"/>
              <w:left w:val="single" w:sz="4" w:space="0" w:color="000000"/>
              <w:bottom w:val="nil" w:sz="6" w:space="0" w:color="auto"/>
              <w:right w:val="single" w:sz="4" w:space="0" w:color="000000"/>
            </w:tcBorders>
          </w:tcPr>
          <w:p>
            <w:pPr/>
          </w:p>
        </w:tc>
        <w:tc>
          <w:tcPr>
            <w:tcW w:w="923"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134"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除奖励</w:t>
            </w:r>
          </w:p>
        </w:tc>
        <w:tc>
          <w:tcPr>
            <w:tcW w:w="1202" w:type="dxa"/>
            <w:tcBorders>
              <w:top w:val="nil" w:sz="6" w:space="0" w:color="auto"/>
              <w:left w:val="single" w:sz="4" w:space="0" w:color="000000"/>
              <w:bottom w:val="single" w:sz="4" w:space="0" w:color="000000"/>
              <w:right w:val="single" w:sz="4" w:space="0" w:color="000000"/>
            </w:tcBorders>
          </w:tcPr>
          <w:p>
            <w:pPr/>
          </w:p>
        </w:tc>
        <w:tc>
          <w:tcPr>
            <w:tcW w:w="923"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年度福</w:t>
            </w:r>
          </w:p>
        </w:tc>
        <w:tc>
          <w:tcPr>
            <w:tcW w:w="1202" w:type="dxa"/>
            <w:tcBorders>
              <w:top w:val="single" w:sz="4" w:space="0" w:color="000000"/>
              <w:left w:val="single" w:sz="4" w:space="0" w:color="000000"/>
              <w:bottom w:val="nil" w:sz="6" w:space="0" w:color="auto"/>
              <w:right w:val="single" w:sz="4" w:space="0" w:color="000000"/>
            </w:tcBorders>
          </w:tcPr>
          <w:p>
            <w:pPr/>
          </w:p>
        </w:tc>
        <w:tc>
          <w:tcPr>
            <w:tcW w:w="923"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因研究开发、技</w:t>
            </w:r>
          </w:p>
        </w:tc>
        <w:tc>
          <w:tcPr>
            <w:tcW w:w="1134"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州市产品质</w:t>
            </w: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当地政府机关</w:t>
            </w:r>
          </w:p>
        </w:tc>
        <w:tc>
          <w:tcPr>
            <w:tcW w:w="9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术更新及改造等</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50,000.00</w:t>
            </w: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3"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量奖</w:t>
            </w:r>
          </w:p>
        </w:tc>
        <w:tc>
          <w:tcPr>
            <w:tcW w:w="1202" w:type="dxa"/>
            <w:tcBorders>
              <w:top w:val="nil" w:sz="6" w:space="0" w:color="auto"/>
              <w:left w:val="single" w:sz="4" w:space="0" w:color="000000"/>
              <w:bottom w:val="single" w:sz="4" w:space="0" w:color="000000"/>
              <w:right w:val="single" w:sz="4" w:space="0" w:color="000000"/>
            </w:tcBorders>
          </w:tcPr>
          <w:p>
            <w:pPr/>
          </w:p>
        </w:tc>
        <w:tc>
          <w:tcPr>
            <w:tcW w:w="923"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134"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年鼓楼</w:t>
            </w:r>
          </w:p>
        </w:tc>
        <w:tc>
          <w:tcPr>
            <w:tcW w:w="1202" w:type="dxa"/>
            <w:tcBorders>
              <w:top w:val="single" w:sz="4" w:space="0" w:color="000000"/>
              <w:left w:val="single" w:sz="4" w:space="0" w:color="000000"/>
              <w:bottom w:val="nil" w:sz="6" w:space="0" w:color="auto"/>
              <w:right w:val="single" w:sz="4" w:space="0" w:color="000000"/>
            </w:tcBorders>
          </w:tcPr>
          <w:p>
            <w:pPr/>
          </w:p>
        </w:tc>
        <w:tc>
          <w:tcPr>
            <w:tcW w:w="923"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因研究开发、技</w:t>
            </w:r>
          </w:p>
        </w:tc>
        <w:tc>
          <w:tcPr>
            <w:tcW w:w="1134"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区知识产权</w:t>
            </w: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当地政府机关</w:t>
            </w:r>
          </w:p>
        </w:tc>
        <w:tc>
          <w:tcPr>
            <w:tcW w:w="9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术更新及改造等</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47,000.00</w:t>
            </w: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3"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奖励经费</w:t>
            </w:r>
          </w:p>
        </w:tc>
        <w:tc>
          <w:tcPr>
            <w:tcW w:w="1202" w:type="dxa"/>
            <w:tcBorders>
              <w:top w:val="nil" w:sz="6" w:space="0" w:color="auto"/>
              <w:left w:val="single" w:sz="4" w:space="0" w:color="000000"/>
              <w:bottom w:val="single" w:sz="4" w:space="0" w:color="000000"/>
              <w:right w:val="single" w:sz="4" w:space="0" w:color="000000"/>
            </w:tcBorders>
          </w:tcPr>
          <w:p>
            <w:pPr/>
          </w:p>
        </w:tc>
        <w:tc>
          <w:tcPr>
            <w:tcW w:w="923"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134"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6"/>
        <w:gridCol w:w="1202"/>
        <w:gridCol w:w="923"/>
        <w:gridCol w:w="1345"/>
        <w:gridCol w:w="1134"/>
        <w:gridCol w:w="710"/>
        <w:gridCol w:w="1063"/>
        <w:gridCol w:w="1062"/>
        <w:gridCol w:w="1063"/>
      </w:tblGrid>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86"/>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年度总 部企业其他 奖励</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当地政府机关</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40,100.00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8"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首届福州市</w:t>
            </w:r>
          </w:p>
        </w:tc>
        <w:tc>
          <w:tcPr>
            <w:tcW w:w="1202" w:type="dxa"/>
            <w:tcBorders>
              <w:top w:val="single" w:sz="4" w:space="0" w:color="000000"/>
              <w:left w:val="single" w:sz="4" w:space="0" w:color="000000"/>
              <w:bottom w:val="nil" w:sz="6" w:space="0" w:color="auto"/>
              <w:right w:val="single" w:sz="4" w:space="0" w:color="000000"/>
            </w:tcBorders>
          </w:tcPr>
          <w:p>
            <w:pPr/>
          </w:p>
        </w:tc>
        <w:tc>
          <w:tcPr>
            <w:tcW w:w="923"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因研究开发、技</w:t>
            </w:r>
          </w:p>
        </w:tc>
        <w:tc>
          <w:tcPr>
            <w:tcW w:w="1134"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政府质量奖</w:t>
            </w: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当地政府机关</w:t>
            </w:r>
          </w:p>
        </w:tc>
        <w:tc>
          <w:tcPr>
            <w:tcW w:w="9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术更新及改造等</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40,000.00</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2"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奖励金</w:t>
            </w:r>
          </w:p>
        </w:tc>
        <w:tc>
          <w:tcPr>
            <w:tcW w:w="1202" w:type="dxa"/>
            <w:tcBorders>
              <w:top w:val="nil" w:sz="6" w:space="0" w:color="auto"/>
              <w:left w:val="single" w:sz="4" w:space="0" w:color="000000"/>
              <w:bottom w:val="single" w:sz="4" w:space="0" w:color="000000"/>
              <w:right w:val="single" w:sz="4" w:space="0" w:color="000000"/>
            </w:tcBorders>
          </w:tcPr>
          <w:p>
            <w:pPr/>
          </w:p>
        </w:tc>
        <w:tc>
          <w:tcPr>
            <w:tcW w:w="923"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134"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6"/>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 批战略性新 兴产业专项 经费</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当地政府机关</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0"/>
              <w:jc w:val="both"/>
              <w:rPr>
                <w:rFonts w:ascii="宋体" w:hAnsi="宋体" w:cs="宋体" w:eastAsia="宋体" w:hint="default"/>
                <w:sz w:val="18"/>
                <w:szCs w:val="18"/>
              </w:rPr>
            </w:pPr>
            <w:r>
              <w:rPr>
                <w:rFonts w:ascii="宋体" w:hAnsi="宋体" w:cs="宋体" w:eastAsia="宋体" w:hint="default"/>
                <w:sz w:val="18"/>
                <w:szCs w:val="18"/>
              </w:rPr>
              <w:t>因研究开发、技 术更新及改造等 获得的补助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37,500.00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262,500.00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重点扶持产 业人才奖励</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当地政府机关</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因研究开发、技 术更新及改造等 获得的补助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3"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w:t>
            </w:r>
          </w:p>
        </w:tc>
        <w:tc>
          <w:tcPr>
            <w:tcW w:w="1202" w:type="dxa"/>
            <w:tcBorders>
              <w:top w:val="single" w:sz="4" w:space="0" w:color="000000"/>
              <w:left w:val="single" w:sz="4" w:space="0" w:color="000000"/>
              <w:bottom w:val="nil" w:sz="6" w:space="0" w:color="auto"/>
              <w:right w:val="single" w:sz="4" w:space="0" w:color="000000"/>
            </w:tcBorders>
          </w:tcPr>
          <w:p>
            <w:pPr/>
          </w:p>
        </w:tc>
        <w:tc>
          <w:tcPr>
            <w:tcW w:w="923"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季度福建省</w:t>
            </w:r>
          </w:p>
        </w:tc>
        <w:tc>
          <w:tcPr>
            <w:tcW w:w="1202" w:type="dxa"/>
            <w:tcBorders>
              <w:top w:val="nil" w:sz="6" w:space="0" w:color="auto"/>
              <w:left w:val="single" w:sz="4" w:space="0" w:color="000000"/>
              <w:bottom w:val="nil" w:sz="6" w:space="0" w:color="auto"/>
              <w:right w:val="single" w:sz="4" w:space="0" w:color="000000"/>
            </w:tcBorders>
          </w:tcPr>
          <w:p>
            <w:pPr/>
          </w:p>
        </w:tc>
        <w:tc>
          <w:tcPr>
            <w:tcW w:w="923"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因研究开发、技</w:t>
            </w:r>
          </w:p>
        </w:tc>
        <w:tc>
          <w:tcPr>
            <w:tcW w:w="1134"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专利资助与</w:t>
            </w: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当地政府机关</w:t>
            </w:r>
          </w:p>
        </w:tc>
        <w:tc>
          <w:tcPr>
            <w:tcW w:w="9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术更新及改造等</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30,000.00</w:t>
            </w: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9"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福州市专利</w:t>
            </w:r>
          </w:p>
        </w:tc>
        <w:tc>
          <w:tcPr>
            <w:tcW w:w="1202" w:type="dxa"/>
            <w:tcBorders>
              <w:top w:val="nil" w:sz="6" w:space="0" w:color="auto"/>
              <w:left w:val="single" w:sz="4" w:space="0" w:color="000000"/>
              <w:bottom w:val="nil" w:sz="6" w:space="0" w:color="auto"/>
              <w:right w:val="single" w:sz="4" w:space="0" w:color="000000"/>
            </w:tcBorders>
          </w:tcPr>
          <w:p>
            <w:pPr/>
          </w:p>
        </w:tc>
        <w:tc>
          <w:tcPr>
            <w:tcW w:w="923"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134"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202" w:type="dxa"/>
            <w:tcBorders>
              <w:top w:val="nil" w:sz="6" w:space="0" w:color="auto"/>
              <w:left w:val="single" w:sz="4" w:space="0" w:color="000000"/>
              <w:bottom w:val="single" w:sz="4" w:space="0" w:color="000000"/>
              <w:right w:val="single" w:sz="4" w:space="0" w:color="000000"/>
            </w:tcBorders>
          </w:tcPr>
          <w:p>
            <w:pPr/>
          </w:p>
        </w:tc>
        <w:tc>
          <w:tcPr>
            <w:tcW w:w="923"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202" w:type="dxa"/>
            <w:tcBorders>
              <w:top w:val="single" w:sz="4" w:space="0" w:color="000000"/>
              <w:left w:val="single" w:sz="4" w:space="0" w:color="000000"/>
              <w:bottom w:val="nil" w:sz="6" w:space="0" w:color="auto"/>
              <w:right w:val="single" w:sz="4" w:space="0" w:color="000000"/>
            </w:tcBorders>
          </w:tcPr>
          <w:p>
            <w:pPr/>
          </w:p>
        </w:tc>
        <w:tc>
          <w:tcPr>
            <w:tcW w:w="923"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因承担国家为保</w:t>
            </w:r>
          </w:p>
        </w:tc>
        <w:tc>
          <w:tcPr>
            <w:tcW w:w="1134"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202" w:type="dxa"/>
            <w:tcBorders>
              <w:top w:val="nil" w:sz="6" w:space="0" w:color="auto"/>
              <w:left w:val="single" w:sz="4" w:space="0" w:color="000000"/>
              <w:bottom w:val="nil" w:sz="6" w:space="0" w:color="auto"/>
              <w:right w:val="single" w:sz="4" w:space="0" w:color="000000"/>
            </w:tcBorders>
          </w:tcPr>
          <w:p>
            <w:pPr/>
          </w:p>
        </w:tc>
        <w:tc>
          <w:tcPr>
            <w:tcW w:w="923"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障某种公用事业</w:t>
            </w:r>
          </w:p>
        </w:tc>
        <w:tc>
          <w:tcPr>
            <w:tcW w:w="1134"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当地政府机关</w:t>
            </w:r>
          </w:p>
        </w:tc>
        <w:tc>
          <w:tcPr>
            <w:tcW w:w="9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50"/>
              <w:jc w:val="left"/>
              <w:rPr>
                <w:rFonts w:ascii="宋体" w:hAnsi="宋体" w:cs="宋体" w:eastAsia="宋体" w:hint="default"/>
                <w:sz w:val="18"/>
                <w:szCs w:val="18"/>
              </w:rPr>
            </w:pPr>
            <w:r>
              <w:rPr>
                <w:rFonts w:ascii="宋体" w:hAnsi="宋体" w:cs="宋体" w:eastAsia="宋体" w:hint="default"/>
                <w:sz w:val="18"/>
                <w:szCs w:val="18"/>
              </w:rPr>
              <w:t>或社会必要产品 供应或价格控制</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22,142.80</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55,583.71</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3" w:hRule="exact"/>
        </w:trPr>
        <w:tc>
          <w:tcPr>
            <w:tcW w:w="1066" w:type="dxa"/>
            <w:tcBorders>
              <w:top w:val="nil" w:sz="6" w:space="0" w:color="auto"/>
              <w:left w:val="single" w:sz="4" w:space="0" w:color="000000"/>
              <w:bottom w:val="nil" w:sz="6" w:space="0" w:color="auto"/>
              <w:right w:val="single" w:sz="4" w:space="0" w:color="000000"/>
            </w:tcBorders>
          </w:tcPr>
          <w:p>
            <w:pPr/>
          </w:p>
        </w:tc>
        <w:tc>
          <w:tcPr>
            <w:tcW w:w="1202" w:type="dxa"/>
            <w:tcBorders>
              <w:top w:val="nil" w:sz="6" w:space="0" w:color="auto"/>
              <w:left w:val="single" w:sz="4" w:space="0" w:color="000000"/>
              <w:bottom w:val="nil" w:sz="6" w:space="0" w:color="auto"/>
              <w:right w:val="single" w:sz="4" w:space="0" w:color="000000"/>
            </w:tcBorders>
          </w:tcPr>
          <w:p>
            <w:pPr/>
          </w:p>
        </w:tc>
        <w:tc>
          <w:tcPr>
            <w:tcW w:w="923" w:type="dxa"/>
            <w:tcBorders>
              <w:top w:val="nil" w:sz="6" w:space="0" w:color="auto"/>
              <w:left w:val="single" w:sz="4" w:space="0" w:color="000000"/>
              <w:bottom w:val="nil" w:sz="6" w:space="0" w:color="auto"/>
              <w:right w:val="single" w:sz="4" w:space="0" w:color="000000"/>
            </w:tcBorders>
          </w:tcPr>
          <w:p>
            <w:pP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职能而获得的补</w:t>
            </w:r>
          </w:p>
        </w:tc>
        <w:tc>
          <w:tcPr>
            <w:tcW w:w="1134"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202" w:type="dxa"/>
            <w:tcBorders>
              <w:top w:val="nil" w:sz="6" w:space="0" w:color="auto"/>
              <w:left w:val="single" w:sz="4" w:space="0" w:color="000000"/>
              <w:bottom w:val="single" w:sz="4" w:space="0" w:color="000000"/>
              <w:right w:val="single" w:sz="4" w:space="0" w:color="000000"/>
            </w:tcBorders>
          </w:tcPr>
          <w:p>
            <w:pPr/>
          </w:p>
        </w:tc>
        <w:tc>
          <w:tcPr>
            <w:tcW w:w="923"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134"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202" w:type="dxa"/>
            <w:tcBorders>
              <w:top w:val="single" w:sz="4" w:space="0" w:color="000000"/>
              <w:left w:val="single" w:sz="4" w:space="0" w:color="000000"/>
              <w:bottom w:val="nil" w:sz="6" w:space="0" w:color="auto"/>
              <w:right w:val="single" w:sz="4" w:space="0" w:color="000000"/>
            </w:tcBorders>
          </w:tcPr>
          <w:p>
            <w:pPr/>
          </w:p>
        </w:tc>
        <w:tc>
          <w:tcPr>
            <w:tcW w:w="923"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因从事国家鼓励</w:t>
            </w:r>
          </w:p>
        </w:tc>
        <w:tc>
          <w:tcPr>
            <w:tcW w:w="1134"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1249"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09" w:lineRule="auto"/>
              <w:ind w:left="22" w:right="86"/>
              <w:jc w:val="both"/>
              <w:rPr>
                <w:rFonts w:ascii="宋体" w:hAnsi="宋体" w:cs="宋体" w:eastAsia="宋体" w:hint="default"/>
                <w:sz w:val="18"/>
                <w:szCs w:val="18"/>
              </w:rPr>
            </w:pPr>
            <w:r>
              <w:rPr>
                <w:rFonts w:ascii="宋体" w:hAnsi="宋体" w:cs="宋体" w:eastAsia="宋体" w:hint="default"/>
                <w:sz w:val="18"/>
                <w:szCs w:val="18"/>
              </w:rPr>
              <w:t>鼓楼区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年度服务业 奖励金</w:t>
            </w: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当地政府机关</w:t>
            </w:r>
          </w:p>
        </w:tc>
        <w:tc>
          <w:tcPr>
            <w:tcW w:w="9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50"/>
              <w:jc w:val="left"/>
              <w:rPr>
                <w:rFonts w:ascii="宋体" w:hAnsi="宋体" w:cs="宋体" w:eastAsia="宋体" w:hint="default"/>
                <w:sz w:val="18"/>
                <w:szCs w:val="18"/>
              </w:rPr>
            </w:pPr>
            <w:r>
              <w:rPr>
                <w:rFonts w:ascii="宋体" w:hAnsi="宋体" w:cs="宋体" w:eastAsia="宋体" w:hint="default"/>
                <w:sz w:val="18"/>
                <w:szCs w:val="18"/>
              </w:rPr>
              <w:t>和扶持特定行 业、产业而获得 的补助（按国家 级政策规定依法</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10,000.00</w:t>
            </w: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6"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202" w:type="dxa"/>
            <w:tcBorders>
              <w:top w:val="nil" w:sz="6" w:space="0" w:color="auto"/>
              <w:left w:val="single" w:sz="4" w:space="0" w:color="000000"/>
              <w:bottom w:val="single" w:sz="4" w:space="0" w:color="000000"/>
              <w:right w:val="single" w:sz="4" w:space="0" w:color="000000"/>
            </w:tcBorders>
          </w:tcPr>
          <w:p>
            <w:pPr/>
          </w:p>
        </w:tc>
        <w:tc>
          <w:tcPr>
            <w:tcW w:w="923"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取得）</w:t>
            </w:r>
          </w:p>
        </w:tc>
        <w:tc>
          <w:tcPr>
            <w:tcW w:w="1134"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w:t>
            </w:r>
          </w:p>
        </w:tc>
        <w:tc>
          <w:tcPr>
            <w:tcW w:w="1202" w:type="dxa"/>
            <w:tcBorders>
              <w:top w:val="single" w:sz="4" w:space="0" w:color="000000"/>
              <w:left w:val="single" w:sz="4" w:space="0" w:color="000000"/>
              <w:bottom w:val="nil" w:sz="6" w:space="0" w:color="auto"/>
              <w:right w:val="single" w:sz="4" w:space="0" w:color="000000"/>
            </w:tcBorders>
          </w:tcPr>
          <w:p>
            <w:pPr/>
          </w:p>
        </w:tc>
        <w:tc>
          <w:tcPr>
            <w:tcW w:w="923"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因研究开发、技</w:t>
            </w:r>
          </w:p>
        </w:tc>
        <w:tc>
          <w:tcPr>
            <w:tcW w:w="1134"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季度福建省</w:t>
            </w: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当地政府机关</w:t>
            </w:r>
          </w:p>
        </w:tc>
        <w:tc>
          <w:tcPr>
            <w:tcW w:w="9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术更新及改造等</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7,500.00</w:t>
            </w: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2"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专利资助</w:t>
            </w:r>
          </w:p>
        </w:tc>
        <w:tc>
          <w:tcPr>
            <w:tcW w:w="1202" w:type="dxa"/>
            <w:tcBorders>
              <w:top w:val="nil" w:sz="6" w:space="0" w:color="auto"/>
              <w:left w:val="single" w:sz="4" w:space="0" w:color="000000"/>
              <w:bottom w:val="single" w:sz="4" w:space="0" w:color="000000"/>
              <w:right w:val="single" w:sz="4" w:space="0" w:color="000000"/>
            </w:tcBorders>
          </w:tcPr>
          <w:p>
            <w:pPr/>
          </w:p>
        </w:tc>
        <w:tc>
          <w:tcPr>
            <w:tcW w:w="923"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134"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w:t>
            </w:r>
          </w:p>
        </w:tc>
        <w:tc>
          <w:tcPr>
            <w:tcW w:w="1202" w:type="dxa"/>
            <w:tcBorders>
              <w:top w:val="single" w:sz="4" w:space="0" w:color="000000"/>
              <w:left w:val="single" w:sz="4" w:space="0" w:color="000000"/>
              <w:bottom w:val="nil" w:sz="6" w:space="0" w:color="auto"/>
              <w:right w:val="single" w:sz="4" w:space="0" w:color="000000"/>
            </w:tcBorders>
          </w:tcPr>
          <w:p>
            <w:pPr/>
          </w:p>
        </w:tc>
        <w:tc>
          <w:tcPr>
            <w:tcW w:w="923"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因研究开发、技</w:t>
            </w:r>
          </w:p>
        </w:tc>
        <w:tc>
          <w:tcPr>
            <w:tcW w:w="1134"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季度福建省</w:t>
            </w: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当地政府机关</w:t>
            </w:r>
          </w:p>
        </w:tc>
        <w:tc>
          <w:tcPr>
            <w:tcW w:w="9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术更新及改造等</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6,000.00</w:t>
            </w: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2"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专利资助</w:t>
            </w:r>
          </w:p>
        </w:tc>
        <w:tc>
          <w:tcPr>
            <w:tcW w:w="1202" w:type="dxa"/>
            <w:tcBorders>
              <w:top w:val="nil" w:sz="6" w:space="0" w:color="auto"/>
              <w:left w:val="single" w:sz="4" w:space="0" w:color="000000"/>
              <w:bottom w:val="single" w:sz="4" w:space="0" w:color="000000"/>
              <w:right w:val="single" w:sz="4" w:space="0" w:color="000000"/>
            </w:tcBorders>
          </w:tcPr>
          <w:p>
            <w:pPr/>
          </w:p>
        </w:tc>
        <w:tc>
          <w:tcPr>
            <w:tcW w:w="923"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134"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软件产品补 贴款</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当地政府机关</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因研究开发、技 术更新及改造等 获得的补助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互联网</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当地政府机关</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因研究开发、技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6"/>
        <w:gridCol w:w="1202"/>
        <w:gridCol w:w="923"/>
        <w:gridCol w:w="1345"/>
        <w:gridCol w:w="1134"/>
        <w:gridCol w:w="710"/>
        <w:gridCol w:w="1063"/>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left"/>
              <w:rPr>
                <w:rFonts w:ascii="宋体" w:hAnsi="宋体" w:cs="宋体" w:eastAsia="宋体" w:hint="default"/>
                <w:sz w:val="18"/>
                <w:szCs w:val="18"/>
              </w:rPr>
            </w:pPr>
            <w:r>
              <w:rPr>
                <w:rFonts w:ascii="宋体" w:hAnsi="宋体" w:cs="宋体" w:eastAsia="宋体" w:hint="default"/>
                <w:sz w:val="18"/>
                <w:szCs w:val="18"/>
              </w:rPr>
              <w:t>创业启动资 金</w:t>
            </w:r>
          </w:p>
        </w:tc>
        <w:tc>
          <w:tcPr>
            <w:tcW w:w="1202"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50"/>
              <w:jc w:val="left"/>
              <w:rPr>
                <w:rFonts w:ascii="宋体" w:hAnsi="宋体" w:cs="宋体" w:eastAsia="宋体" w:hint="default"/>
                <w:sz w:val="18"/>
                <w:szCs w:val="18"/>
              </w:rPr>
            </w:pPr>
            <w:r>
              <w:rPr>
                <w:rFonts w:ascii="宋体" w:hAnsi="宋体" w:cs="宋体" w:eastAsia="宋体" w:hint="default"/>
                <w:sz w:val="18"/>
                <w:szCs w:val="18"/>
              </w:rPr>
              <w:t>术更新及改造等 获得的补助</w:t>
            </w:r>
          </w:p>
        </w:tc>
        <w:tc>
          <w:tcPr>
            <w:tcW w:w="113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6"/>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互联网 创业启动资 金</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当地政府机关</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因研究开发、技 术更新及改造等 获得的补助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自贸专项发 展资金</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当地政府机关</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因研究开发、技 术更新及改造等 获得的补助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464,150.94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6"/>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年市级 科技计划项 目</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当地政府机关</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因研究开发、技 术更新及改造等 获得的补助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6"/>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年福建 省软件重大 专项及名牌 奖励</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当地政府机关</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0"/>
              <w:jc w:val="both"/>
              <w:rPr>
                <w:rFonts w:ascii="宋体" w:hAnsi="宋体" w:cs="宋体" w:eastAsia="宋体" w:hint="default"/>
                <w:sz w:val="18"/>
                <w:szCs w:val="18"/>
              </w:rPr>
            </w:pPr>
            <w:r>
              <w:rPr>
                <w:rFonts w:ascii="宋体" w:hAnsi="宋体" w:cs="宋体" w:eastAsia="宋体" w:hint="default"/>
                <w:sz w:val="18"/>
                <w:szCs w:val="18"/>
              </w:rPr>
              <w:t>因研究开发、技 术更新及改造等 获得的补助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333,333.32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高新技术企 业奖励</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当地政府机关</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因研究开发、技 术更新及改造等 获得的补助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2"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年市级</w:t>
            </w:r>
          </w:p>
        </w:tc>
        <w:tc>
          <w:tcPr>
            <w:tcW w:w="1202" w:type="dxa"/>
            <w:tcBorders>
              <w:top w:val="single" w:sz="4" w:space="0" w:color="000000"/>
              <w:left w:val="single" w:sz="4" w:space="0" w:color="000000"/>
              <w:bottom w:val="nil" w:sz="6" w:space="0" w:color="auto"/>
              <w:right w:val="single" w:sz="4" w:space="0" w:color="000000"/>
            </w:tcBorders>
          </w:tcPr>
          <w:p>
            <w:pPr/>
          </w:p>
        </w:tc>
        <w:tc>
          <w:tcPr>
            <w:tcW w:w="923"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因研究开发、技</w:t>
            </w:r>
          </w:p>
        </w:tc>
        <w:tc>
          <w:tcPr>
            <w:tcW w:w="1134"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科技计划项</w:t>
            </w: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当地政府机关</w:t>
            </w:r>
          </w:p>
        </w:tc>
        <w:tc>
          <w:tcPr>
            <w:tcW w:w="9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术更新及改造等</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3"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202" w:type="dxa"/>
            <w:tcBorders>
              <w:top w:val="nil" w:sz="6" w:space="0" w:color="auto"/>
              <w:left w:val="single" w:sz="4" w:space="0" w:color="000000"/>
              <w:bottom w:val="single" w:sz="4" w:space="0" w:color="000000"/>
              <w:right w:val="single" w:sz="4" w:space="0" w:color="000000"/>
            </w:tcBorders>
          </w:tcPr>
          <w:p>
            <w:pPr/>
          </w:p>
        </w:tc>
        <w:tc>
          <w:tcPr>
            <w:tcW w:w="923"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134"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福建省促进</w:t>
            </w:r>
          </w:p>
        </w:tc>
        <w:tc>
          <w:tcPr>
            <w:tcW w:w="1202" w:type="dxa"/>
            <w:tcBorders>
              <w:top w:val="single" w:sz="4" w:space="0" w:color="000000"/>
              <w:left w:val="single" w:sz="4" w:space="0" w:color="000000"/>
              <w:bottom w:val="nil" w:sz="6" w:space="0" w:color="auto"/>
              <w:right w:val="single" w:sz="4" w:space="0" w:color="000000"/>
            </w:tcBorders>
          </w:tcPr>
          <w:p>
            <w:pPr/>
          </w:p>
        </w:tc>
        <w:tc>
          <w:tcPr>
            <w:tcW w:w="923"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因研究开发、技</w:t>
            </w:r>
          </w:p>
        </w:tc>
        <w:tc>
          <w:tcPr>
            <w:tcW w:w="1134"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技术经纪专</w:t>
            </w: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当地政府机关</w:t>
            </w:r>
          </w:p>
        </w:tc>
        <w:tc>
          <w:tcPr>
            <w:tcW w:w="92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术更新及改造等</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91,400.00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3"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项资金</w:t>
            </w:r>
          </w:p>
        </w:tc>
        <w:tc>
          <w:tcPr>
            <w:tcW w:w="1202" w:type="dxa"/>
            <w:tcBorders>
              <w:top w:val="nil" w:sz="6" w:space="0" w:color="auto"/>
              <w:left w:val="single" w:sz="4" w:space="0" w:color="000000"/>
              <w:bottom w:val="single" w:sz="4" w:space="0" w:color="000000"/>
              <w:right w:val="single" w:sz="4" w:space="0" w:color="000000"/>
            </w:tcBorders>
          </w:tcPr>
          <w:p>
            <w:pPr/>
          </w:p>
        </w:tc>
        <w:tc>
          <w:tcPr>
            <w:tcW w:w="923"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134"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年鼓楼</w:t>
            </w:r>
          </w:p>
        </w:tc>
        <w:tc>
          <w:tcPr>
            <w:tcW w:w="1202" w:type="dxa"/>
            <w:tcBorders>
              <w:top w:val="single" w:sz="4" w:space="0" w:color="000000"/>
              <w:left w:val="single" w:sz="4" w:space="0" w:color="000000"/>
              <w:bottom w:val="nil" w:sz="6" w:space="0" w:color="auto"/>
              <w:right w:val="single" w:sz="4" w:space="0" w:color="000000"/>
            </w:tcBorders>
          </w:tcPr>
          <w:p>
            <w:pPr/>
          </w:p>
        </w:tc>
        <w:tc>
          <w:tcPr>
            <w:tcW w:w="923" w:type="dxa"/>
            <w:tcBorders>
              <w:top w:val="single" w:sz="4" w:space="0" w:color="000000"/>
              <w:left w:val="single" w:sz="4" w:space="0" w:color="000000"/>
              <w:bottom w:val="nil" w:sz="6" w:space="0" w:color="auto"/>
              <w:right w:val="single" w:sz="4" w:space="0" w:color="000000"/>
            </w:tcBorders>
          </w:tcPr>
          <w:p>
            <w:pPr/>
          </w:p>
        </w:tc>
        <w:tc>
          <w:tcPr>
            <w:tcW w:w="13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因研究开发、技</w:t>
            </w:r>
          </w:p>
        </w:tc>
        <w:tc>
          <w:tcPr>
            <w:tcW w:w="1134"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区知识产权</w:t>
            </w:r>
          </w:p>
        </w:tc>
        <w:tc>
          <w:tcPr>
            <w:tcW w:w="12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当地政府机关</w:t>
            </w:r>
          </w:p>
        </w:tc>
        <w:tc>
          <w:tcPr>
            <w:tcW w:w="92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3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术更新及改造等</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69,500.00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3"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奖励经费</w:t>
            </w:r>
          </w:p>
        </w:tc>
        <w:tc>
          <w:tcPr>
            <w:tcW w:w="1202" w:type="dxa"/>
            <w:tcBorders>
              <w:top w:val="nil" w:sz="6" w:space="0" w:color="auto"/>
              <w:left w:val="single" w:sz="4" w:space="0" w:color="000000"/>
              <w:bottom w:val="single" w:sz="4" w:space="0" w:color="000000"/>
              <w:right w:val="single" w:sz="4" w:space="0" w:color="000000"/>
            </w:tcBorders>
          </w:tcPr>
          <w:p>
            <w:pPr/>
          </w:p>
        </w:tc>
        <w:tc>
          <w:tcPr>
            <w:tcW w:w="923" w:type="dxa"/>
            <w:tcBorders>
              <w:top w:val="nil" w:sz="6" w:space="0" w:color="auto"/>
              <w:left w:val="single" w:sz="4" w:space="0" w:color="000000"/>
              <w:bottom w:val="single" w:sz="4" w:space="0" w:color="000000"/>
              <w:right w:val="single" w:sz="4" w:space="0" w:color="000000"/>
            </w:tcBorders>
          </w:tcPr>
          <w:p>
            <w:pPr/>
          </w:p>
        </w:tc>
        <w:tc>
          <w:tcPr>
            <w:tcW w:w="13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134"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86"/>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省科技 三等奖</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当地政府机关</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因研究开发、技 术更新及改造等 获得的补助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专项奖励与 资助</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当地政府机关</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因研究开发、技 术更新及改造等 获得的补助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专利奖励与 资助</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当地政府机关</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因研究开发、技 术更新及改造等 获得的补助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榕基移动应 用服务平台</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当地政府机关</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因研究开发、技 术更新及改造等 获得的补助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收到创新券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当地政府机关</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因研究开发、技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066"/>
        <w:gridCol w:w="1202"/>
        <w:gridCol w:w="923"/>
        <w:gridCol w:w="1345"/>
        <w:gridCol w:w="1134"/>
        <w:gridCol w:w="710"/>
        <w:gridCol w:w="1063"/>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02"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50"/>
              <w:jc w:val="left"/>
              <w:rPr>
                <w:rFonts w:ascii="宋体" w:hAnsi="宋体" w:cs="宋体" w:eastAsia="宋体" w:hint="default"/>
                <w:sz w:val="18"/>
                <w:szCs w:val="18"/>
              </w:rPr>
            </w:pPr>
            <w:r>
              <w:rPr>
                <w:rFonts w:ascii="宋体" w:hAnsi="宋体" w:cs="宋体" w:eastAsia="宋体" w:hint="default"/>
                <w:sz w:val="18"/>
                <w:szCs w:val="18"/>
              </w:rPr>
              <w:t>术更新及改造等 获得的补助</w:t>
            </w:r>
          </w:p>
        </w:tc>
        <w:tc>
          <w:tcPr>
            <w:tcW w:w="113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收滨江区软 件产品补助</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65"/>
              <w:jc w:val="center"/>
              <w:rPr>
                <w:rFonts w:ascii="宋体" w:hAnsi="宋体" w:cs="宋体" w:eastAsia="宋体" w:hint="default"/>
                <w:sz w:val="18"/>
                <w:szCs w:val="18"/>
              </w:rPr>
            </w:pPr>
            <w:r>
              <w:rPr>
                <w:rFonts w:ascii="宋体" w:hAnsi="宋体" w:cs="宋体" w:eastAsia="宋体" w:hint="default"/>
                <w:sz w:val="18"/>
                <w:szCs w:val="18"/>
              </w:rPr>
              <w:t>当地政府机关</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因研究开发、技 术更新及改造等 获得的补助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9,491,019.24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9,274,410.77</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258"/>
        <w:jc w:val="left"/>
      </w:pPr>
      <w:r>
        <w:rPr/>
        <w:t>其他说明：</w:t>
      </w:r>
    </w:p>
    <w:p>
      <w:pPr>
        <w:pStyle w:val="BodyText"/>
        <w:spacing w:line="240" w:lineRule="auto" w:before="117"/>
        <w:ind w:left="514" w:right="1258"/>
        <w:jc w:val="left"/>
      </w:pPr>
      <w:r>
        <w:rPr/>
        <w:t>因会计政策调整，本期计入损益政府补助金额调整到“其他收益”科目列示。</w:t>
      </w:r>
    </w:p>
    <w:p>
      <w:pPr>
        <w:spacing w:line="240" w:lineRule="auto" w:before="10"/>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72</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8"/>
        <w:gridCol w:w="2395"/>
        <w:gridCol w:w="2392"/>
        <w:gridCol w:w="2392"/>
      </w:tblGrid>
      <w:tr>
        <w:trPr>
          <w:trHeight w:val="160" w:hRule="exact"/>
        </w:trPr>
        <w:tc>
          <w:tcPr>
            <w:tcW w:w="2378"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7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0" w:hRule="exact"/>
        </w:trPr>
        <w:tc>
          <w:tcPr>
            <w:tcW w:w="2378"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42,000.00</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465,336.84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401,502.85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465,336.84</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5,037.55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44,268.47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5,037.55</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512,374.39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448,451.32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512,374.39</w:t>
            </w:r>
          </w:p>
        </w:tc>
      </w:tr>
    </w:tbl>
    <w:p>
      <w:pPr>
        <w:pStyle w:val="BodyText"/>
        <w:spacing w:line="240" w:lineRule="auto" w:before="51"/>
        <w:ind w:right="125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73</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258"/>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3,507,557.15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-758,246.44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-2,636,942.63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-2,782,928.18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870,614.52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-3,541,174.62</w:t>
            </w: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6"/>
        <w:gridCol w:w="4800"/>
      </w:tblGrid>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32,271,188.49</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3,227,118.85</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-3,934,720.75</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-355,593.31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-191,487.00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1,689,227.68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-758,062.56</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8,770,890.04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税率变动对期初递延所得税余额的影响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-3,143.03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研究开发费加成扣除的纳税影响（以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-2,423,587.34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权益法核算的合营企业和联营企业损益</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-4,900,028.06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-250,000.00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870,614.52</w:t>
            </w:r>
          </w:p>
        </w:tc>
      </w:tr>
    </w:tbl>
    <w:p>
      <w:pPr>
        <w:pStyle w:val="BodyText"/>
        <w:spacing w:line="240" w:lineRule="auto" w:before="51"/>
        <w:ind w:right="1258"/>
        <w:jc w:val="left"/>
      </w:pPr>
      <w:r>
        <w:rPr/>
        <w:t>其他说明</w:t>
      </w:r>
    </w:p>
    <w:p>
      <w:pPr>
        <w:spacing w:line="240" w:lineRule="auto" w:before="11"/>
        <w:rPr>
          <w:rFonts w:ascii="宋体" w:hAnsi="宋体" w:cs="宋体" w:eastAsia="宋体" w:hint="default"/>
          <w:sz w:val="26"/>
          <w:szCs w:val="26"/>
        </w:rPr>
      </w:pPr>
    </w:p>
    <w:p>
      <w:pPr>
        <w:spacing w:line="547" w:lineRule="auto" w:before="0"/>
        <w:ind w:left="154" w:right="707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、其他综合收益</w:t>
      </w:r>
      <w:r>
        <w:rPr>
          <w:rFonts w:ascii="宋体" w:hAnsi="宋体" w:cs="宋体" w:eastAsia="宋体" w:hint="default"/>
          <w:b/>
          <w:bCs/>
          <w:spacing w:val="1"/>
          <w:w w:val="99"/>
          <w:sz w:val="21"/>
          <w:szCs w:val="21"/>
        </w:rPr>
        <w:t> </w:t>
      </w:r>
      <w:r>
        <w:rPr>
          <w:rFonts w:ascii="宋体" w:hAnsi="宋体" w:cs="宋体" w:eastAsia="宋体" w:hint="default"/>
          <w:sz w:val="18"/>
          <w:szCs w:val="18"/>
        </w:rPr>
        <w:t>详见本节五、</w:t>
      </w:r>
      <w:r>
        <w:rPr>
          <w:rFonts w:ascii="Times New Roman" w:hAnsi="Times New Roman" w:cs="Times New Roman" w:eastAsia="Times New Roman" w:hint="default"/>
          <w:sz w:val="18"/>
          <w:szCs w:val="18"/>
        </w:rPr>
        <w:t>34</w:t>
      </w:r>
      <w:r>
        <w:rPr>
          <w:rFonts w:ascii="宋体" w:hAnsi="宋体" w:cs="宋体" w:eastAsia="宋体" w:hint="default"/>
          <w:sz w:val="18"/>
          <w:szCs w:val="18"/>
        </w:rPr>
        <w:t>、其他综合收益。 </w:t>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6"/>
        <w:ind w:right="1258"/>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2,215,252.80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2,484,134.65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925,138.74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3,977,561.98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备用金及其他单位往来款等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10,078,248.75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4,759,421.62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13,218,640.29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11,221,118.25</w:t>
            </w:r>
          </w:p>
        </w:tc>
      </w:tr>
    </w:tbl>
    <w:p>
      <w:pPr>
        <w:pStyle w:val="BodyText"/>
        <w:spacing w:line="240" w:lineRule="auto" w:before="51"/>
        <w:ind w:right="1258"/>
        <w:jc w:val="left"/>
      </w:pPr>
      <w:r>
        <w:rPr/>
        <w:t>收到的其他与经营活动有关的现金说明：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right="1258"/>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销售费用付现支出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24,918,072.06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27,966,799.10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管理费用付现支出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71,637,831.35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79,805,061.20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保证金、备用金及其他单位往来款等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6,141,795.14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7,689,562.98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受限资金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1,906,317.65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102,697,698.55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117,367,740.93</w:t>
            </w:r>
          </w:p>
        </w:tc>
      </w:tr>
    </w:tbl>
    <w:p>
      <w:pPr>
        <w:pStyle w:val="BodyText"/>
        <w:spacing w:line="240" w:lineRule="auto" w:before="51"/>
        <w:ind w:right="1258"/>
        <w:jc w:val="left"/>
      </w:pPr>
      <w:r>
        <w:rPr/>
        <w:t>支付的其他与经营活动有关的现金说明：</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1258"/>
        <w:jc w:val="left"/>
      </w:pPr>
      <w:r>
        <w:rPr/>
        <w:t>收到的其他与投资活动有关的现金说明：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right="1258"/>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1258"/>
        <w:jc w:val="left"/>
      </w:pPr>
      <w:r>
        <w:rPr/>
        <w:t>支付的其他与投资活动有关的现金说明：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right="1258"/>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28,000,000.00</w:t>
            </w:r>
          </w:p>
        </w:tc>
      </w:tr>
    </w:tbl>
    <w:p>
      <w:pPr>
        <w:pStyle w:val="BodyText"/>
        <w:spacing w:line="240" w:lineRule="auto" w:before="51"/>
        <w:ind w:right="1258"/>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收购福建星榕基公司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少数股权</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r>
    </w:tbl>
    <w:p>
      <w:pPr>
        <w:pStyle w:val="BodyText"/>
        <w:spacing w:line="240" w:lineRule="auto" w:before="51"/>
        <w:ind w:right="1258"/>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76</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8"/>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4"/>
      </w:tblGrid>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31,400,573.97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24,977,171.12</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10,255,361.61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4,568,320.54</w:t>
            </w:r>
          </w:p>
        </w:tc>
      </w:tr>
      <w:tr>
        <w:trPr>
          <w:trHeight w:val="714"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8,547,311.86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8,845,942.17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r>
        <w:rPr/>
        <w:pict>
          <v:group style="position:absolute;margin-left:223.320007pt;margin-top:208.110001pt;width:151.2pt;height:20.8pt;mso-position-horizontal-relative:page;mso-position-vertical-relative:page;z-index:-1147288" coordorigin="4466,4162" coordsize="3024,416">
            <v:group style="position:absolute;left:4478;top:4174;width:2;height:393" coordorigin="4478,4174" coordsize="2,393">
              <v:shape style="position:absolute;left:4478;top:4174;width:2;height:393" coordorigin="4478,4174" coordsize="0,393" path="m4478,4174l4478,4566e" filled="false" stroked="true" strokeweight="1.140pt" strokecolor="#ffffff">
                <v:path arrowok="t"/>
              </v:shape>
            </v:group>
            <v:group style="position:absolute;left:4489;top:4174;width:3002;height:393" coordorigin="4489,4174" coordsize="3002,393">
              <v:shape style="position:absolute;left:4489;top:4174;width:3002;height:393" coordorigin="4489,4174" coordsize="3002,393" path="m4489,4566l7490,4566,7490,4174,4489,4174,4489,4566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299"/>
        <w:gridCol w:w="3074"/>
        <w:gridCol w:w="3184"/>
      </w:tblGrid>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31,743,593.94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26,911,248.91</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264,679.20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198,815.40</w:t>
            </w:r>
          </w:p>
        </w:tc>
      </w:tr>
      <w:tr>
        <w:trPr>
          <w:trHeight w:val="714"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101,944.42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529,037.33</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465,336.84</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11,074,458.07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8,084,737.58</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-29,991,290.76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-26,341,941.71</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74" w:type="dxa"/>
            <w:tcBorders>
              <w:top w:val="single" w:sz="4" w:space="0" w:color="000000"/>
              <w:left w:val="single" w:sz="13" w:space="0" w:color="D3D3D3"/>
              <w:bottom w:val="single" w:sz="4" w:space="0" w:color="000000"/>
              <w:right w:val="single" w:sz="4" w:space="0" w:color="000000"/>
            </w:tcBorders>
          </w:tcPr>
          <w:p>
            <w:pPr>
              <w:pStyle w:val="TableParagraph"/>
              <w:tabs>
                <w:tab w:pos="2024" w:val="left" w:leader="none"/>
              </w:tabs>
              <w:spacing w:line="240" w:lineRule="auto" w:before="51"/>
              <w:ind w:left="-119"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-2,636,942.63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-1,702,014.72</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-10,181,299.23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-81,801,224.55</w:t>
            </w:r>
          </w:p>
        </w:tc>
      </w:tr>
      <w:tr>
        <w:trPr>
          <w:trHeight w:val="714"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56"/>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-8,044,355.15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-6,594,826.12</w:t>
            </w:r>
          </w:p>
        </w:tc>
      </w:tr>
      <w:tr>
        <w:trPr>
          <w:trHeight w:val="714"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56"/>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42,966,430.10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99,499,643.01</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85,965,802.24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57,174,908.96</w:t>
            </w:r>
          </w:p>
        </w:tc>
      </w:tr>
      <w:tr>
        <w:trPr>
          <w:trHeight w:val="161" w:hRule="exact"/>
        </w:trPr>
        <w:tc>
          <w:tcPr>
            <w:tcW w:w="3299" w:type="dxa"/>
            <w:vMerge w:val="restart"/>
            <w:tcBorders>
              <w:top w:val="single" w:sz="4" w:space="0" w:color="000000"/>
              <w:left w:val="single" w:sz="4" w:space="0" w:color="000000"/>
              <w:right w:val="single" w:sz="4" w:space="0" w:color="000000"/>
            </w:tcBorders>
            <w:shd w:val="clear" w:color="auto" w:fill="D3D3D3"/>
          </w:tcPr>
          <w:p>
            <w:pPr>
              <w:pStyle w:val="TableParagraph"/>
              <w:spacing w:line="302" w:lineRule="auto" w:before="51"/>
              <w:ind w:left="11"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74"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3299" w:type="dxa"/>
            <w:vMerge/>
            <w:tcBorders>
              <w:left w:val="single" w:sz="4" w:space="0" w:color="000000"/>
              <w:right w:val="single" w:sz="4" w:space="0" w:color="000000"/>
            </w:tcBorders>
            <w:shd w:val="clear" w:color="auto" w:fill="D3D3D3"/>
          </w:tcPr>
          <w:p>
            <w:pPr/>
          </w:p>
        </w:tc>
        <w:tc>
          <w:tcPr>
            <w:tcW w:w="30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0"/>
              <w:ind w:left="16"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0"/>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299" w:type="dxa"/>
            <w:vMerge/>
            <w:tcBorders>
              <w:left w:val="single" w:sz="4" w:space="0" w:color="000000"/>
              <w:bottom w:val="single" w:sz="4" w:space="0" w:color="000000"/>
              <w:right w:val="single" w:sz="4" w:space="0" w:color="000000"/>
            </w:tcBorders>
            <w:shd w:val="clear" w:color="auto" w:fill="D3D3D3"/>
          </w:tcPr>
          <w:p>
            <w:pPr/>
          </w:p>
        </w:tc>
        <w:tc>
          <w:tcPr>
            <w:tcW w:w="3074" w:type="dxa"/>
            <w:tcBorders>
              <w:top w:val="nil" w:sz="6" w:space="0" w:color="auto"/>
              <w:left w:val="single" w:sz="4" w:space="0" w:color="000000"/>
              <w:bottom w:val="single" w:sz="4" w:space="0" w:color="000000"/>
              <w:right w:val="single" w:sz="4" w:space="0" w:color="000000"/>
            </w:tcBorders>
            <w:shd w:val="clear" w:color="auto" w:fill="D3D3D3"/>
          </w:tcPr>
          <w:p>
            <w:pPr/>
          </w:p>
        </w:tc>
        <w:tc>
          <w:tcPr>
            <w:tcW w:w="318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91,924,016.02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481,810,159.46</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481,810,159.46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347,236,683.56</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-389,886,143.44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134,573,475.90</w:t>
            </w: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8"/>
        <w:gridCol w:w="4579"/>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25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8"/>
        <w:gridCol w:w="4579"/>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pStyle w:val="BodyText"/>
        <w:spacing w:line="240" w:lineRule="auto" w:before="44"/>
        <w:ind w:left="153" w:right="125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258"/>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4"/>
      </w:tblGrid>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91,924,016.02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481,810,159.46</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131,309.02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278,510.57</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91,792,707.00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481,531,648.89</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91,924,016.02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481,810,159.46</w:t>
            </w:r>
          </w:p>
        </w:tc>
      </w:tr>
    </w:tbl>
    <w:p>
      <w:pPr>
        <w:pStyle w:val="BodyText"/>
        <w:spacing w:line="240" w:lineRule="auto" w:before="51"/>
        <w:ind w:right="1258"/>
        <w:jc w:val="left"/>
      </w:pPr>
      <w:r>
        <w:rPr/>
        <w:t>其他说明：</w:t>
      </w:r>
    </w:p>
    <w:p>
      <w:pPr>
        <w:spacing w:line="240" w:lineRule="auto" w:before="10"/>
        <w:rPr>
          <w:rFonts w:ascii="宋体" w:hAnsi="宋体" w:cs="宋体" w:eastAsia="宋体" w:hint="default"/>
          <w:sz w:val="26"/>
          <w:szCs w:val="26"/>
        </w:rPr>
      </w:pPr>
    </w:p>
    <w:p>
      <w:pPr>
        <w:spacing w:line="547" w:lineRule="auto" w:before="0"/>
        <w:ind w:left="154" w:right="43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、所有者权益变动表项目注释</w:t>
      </w:r>
      <w:r>
        <w:rPr>
          <w:rFonts w:ascii="宋体" w:hAnsi="宋体" w:cs="宋体" w:eastAsia="宋体" w:hint="default"/>
          <w:b/>
          <w:bCs/>
          <w:spacing w:val="1"/>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1"/>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6"/>
        <w:gridCol w:w="3056"/>
        <w:gridCol w:w="3184"/>
      </w:tblGrid>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161" w:hRule="exact"/>
        </w:trPr>
        <w:tc>
          <w:tcPr>
            <w:tcW w:w="3316" w:type="dxa"/>
            <w:tcBorders>
              <w:top w:val="single" w:sz="4" w:space="0" w:color="000000"/>
              <w:left w:val="single" w:sz="4" w:space="0" w:color="000000"/>
              <w:bottom w:val="nil" w:sz="6" w:space="0" w:color="auto"/>
              <w:right w:val="single" w:sz="4" w:space="0" w:color="000000"/>
            </w:tcBorders>
            <w:shd w:val="clear" w:color="auto" w:fill="D3D3D3"/>
          </w:tcPr>
          <w:p>
            <w:pPr/>
          </w:p>
        </w:tc>
        <w:tc>
          <w:tcPr>
            <w:tcW w:w="3056" w:type="dxa"/>
            <w:vMerge w:val="restart"/>
            <w:tcBorders>
              <w:top w:val="single" w:sz="4" w:space="0" w:color="000000"/>
              <w:left w:val="single" w:sz="9"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115,812,968.63</w:t>
            </w:r>
          </w:p>
        </w:tc>
        <w:tc>
          <w:tcPr>
            <w:tcW w:w="3184"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定期存款、保函保证金、银行承兑汇票 保证金</w:t>
            </w:r>
          </w:p>
        </w:tc>
      </w:tr>
      <w:tr>
        <w:trPr>
          <w:trHeight w:val="392" w:hRule="exact"/>
        </w:trPr>
        <w:tc>
          <w:tcPr>
            <w:tcW w:w="33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6" w:type="dxa"/>
            <w:vMerge/>
            <w:tcBorders>
              <w:left w:val="single" w:sz="9" w:space="0" w:color="D3D3D3"/>
              <w:right w:val="single" w:sz="4" w:space="0" w:color="000000"/>
            </w:tcBorders>
          </w:tcPr>
          <w:p>
            <w:pPr/>
          </w:p>
        </w:tc>
        <w:tc>
          <w:tcPr>
            <w:tcW w:w="3184" w:type="dxa"/>
            <w:vMerge/>
            <w:tcBorders>
              <w:left w:val="single" w:sz="4" w:space="0" w:color="000000"/>
              <w:right w:val="single" w:sz="4" w:space="0" w:color="000000"/>
            </w:tcBorders>
          </w:tcPr>
          <w:p>
            <w:pPr/>
          </w:p>
        </w:tc>
      </w:tr>
      <w:tr>
        <w:trPr>
          <w:trHeight w:val="161" w:hRule="exact"/>
        </w:trPr>
        <w:tc>
          <w:tcPr>
            <w:tcW w:w="3316" w:type="dxa"/>
            <w:tcBorders>
              <w:top w:val="nil" w:sz="6" w:space="0" w:color="auto"/>
              <w:left w:val="single" w:sz="4" w:space="0" w:color="000000"/>
              <w:bottom w:val="single" w:sz="4" w:space="0" w:color="000000"/>
              <w:right w:val="single" w:sz="4" w:space="0" w:color="000000"/>
            </w:tcBorders>
            <w:shd w:val="clear" w:color="auto" w:fill="D3D3D3"/>
          </w:tcPr>
          <w:p>
            <w:pPr/>
          </w:p>
        </w:tc>
        <w:tc>
          <w:tcPr>
            <w:tcW w:w="3056" w:type="dxa"/>
            <w:vMerge/>
            <w:tcBorders>
              <w:left w:val="single" w:sz="9" w:space="0" w:color="D3D3D3"/>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tcPr>
          <w:p>
            <w:pP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left="1893" w:right="0"/>
              <w:jc w:val="left"/>
              <w:rPr>
                <w:rFonts w:ascii="Times New Roman" w:hAnsi="Times New Roman" w:cs="Times New Roman" w:eastAsia="Times New Roman" w:hint="default"/>
                <w:sz w:val="18"/>
                <w:szCs w:val="18"/>
              </w:rPr>
            </w:pPr>
            <w:r>
              <w:rPr>
                <w:rFonts w:ascii="Times New Roman"/>
                <w:sz w:val="18"/>
              </w:rPr>
              <w:t>115,812,968.63</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258"/>
        <w:jc w:val="left"/>
      </w:pPr>
      <w:r>
        <w:rPr/>
        <w:t>其他说明：</w:t>
      </w:r>
    </w:p>
    <w:p>
      <w:pPr>
        <w:pStyle w:val="BodyText"/>
        <w:spacing w:line="240" w:lineRule="auto" w:before="117"/>
        <w:ind w:left="0" w:right="511"/>
        <w:jc w:val="right"/>
      </w:pPr>
      <w:r>
        <w:rPr/>
        <w:t>单位： 元</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2323"/>
        <w:gridCol w:w="3901"/>
        <w:gridCol w:w="3011"/>
      </w:tblGrid>
      <w:tr>
        <w:trPr>
          <w:trHeight w:val="346" w:hRule="exact"/>
        </w:trPr>
        <w:tc>
          <w:tcPr>
            <w:tcW w:w="2323"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3901"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期末账面价值</w:t>
            </w:r>
          </w:p>
        </w:tc>
        <w:tc>
          <w:tcPr>
            <w:tcW w:w="3011"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47" w:hRule="exact"/>
        </w:trPr>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3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84,291,180.00</w:t>
            </w:r>
          </w:p>
        </w:tc>
        <w:tc>
          <w:tcPr>
            <w:tcW w:w="3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定期存款</w:t>
            </w:r>
          </w:p>
        </w:tc>
      </w:tr>
      <w:tr>
        <w:trPr>
          <w:trHeight w:val="347" w:hRule="exact"/>
        </w:trPr>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3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25,835,076.16</w:t>
            </w:r>
          </w:p>
        </w:tc>
        <w:tc>
          <w:tcPr>
            <w:tcW w:w="3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348" w:hRule="exact"/>
        </w:trPr>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3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5,686,712.47</w:t>
            </w:r>
          </w:p>
        </w:tc>
        <w:tc>
          <w:tcPr>
            <w:tcW w:w="3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银行承兑汇票保证金</w:t>
            </w:r>
          </w:p>
        </w:tc>
      </w:tr>
      <w:tr>
        <w:trPr>
          <w:trHeight w:val="347" w:hRule="exact"/>
        </w:trPr>
        <w:tc>
          <w:tcPr>
            <w:tcW w:w="2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3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115,812,968.63</w:t>
            </w:r>
          </w:p>
        </w:tc>
        <w:tc>
          <w:tcPr>
            <w:tcW w:w="301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rFonts w:ascii="Times New Roman" w:hAnsi="Times New Roman" w:cs="Times New Roman" w:eastAsia="Times New Roman" w:hint="default"/>
        </w:rPr>
        <w:t>79</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8"/>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5" w:type="dxa"/>
        <w:tblLayout w:type="fixed"/>
        <w:tblCellMar>
          <w:top w:w="0" w:type="dxa"/>
          <w:left w:w="0" w:type="dxa"/>
          <w:bottom w:w="0" w:type="dxa"/>
          <w:right w:w="0" w:type="dxa"/>
        </w:tblCellMar>
        <w:tblLook w:val="01E0"/>
      </w:tblPr>
      <w:tblGrid>
        <w:gridCol w:w="2467"/>
        <w:gridCol w:w="2305"/>
        <w:gridCol w:w="2158"/>
        <w:gridCol w:w="2411"/>
      </w:tblGrid>
      <w:tr>
        <w:trPr>
          <w:trHeight w:val="402" w:hRule="exact"/>
        </w:trPr>
        <w:tc>
          <w:tcPr>
            <w:tcW w:w="2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1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14" w:right="0"/>
              <w:jc w:val="left"/>
              <w:rPr>
                <w:rFonts w:ascii="宋体" w:hAnsi="宋体" w:cs="宋体" w:eastAsia="宋体" w:hint="default"/>
                <w:sz w:val="18"/>
                <w:szCs w:val="18"/>
              </w:rPr>
            </w:pPr>
            <w:r>
              <w:rPr>
                <w:rFonts w:ascii="宋体" w:hAnsi="宋体" w:cs="宋体" w:eastAsia="宋体" w:hint="default"/>
                <w:sz w:val="18"/>
                <w:szCs w:val="18"/>
              </w:rPr>
              <w:t>折算汇率</w:t>
            </w:r>
          </w:p>
        </w:tc>
        <w:tc>
          <w:tcPr>
            <w:tcW w:w="24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1"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13,372,844.88</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87,380,843.01</w:t>
            </w:r>
          </w:p>
        </w:tc>
      </w:tr>
      <w:tr>
        <w:trPr>
          <w:trHeight w:val="402" w:hRule="exact"/>
        </w:trPr>
        <w:tc>
          <w:tcPr>
            <w:tcW w:w="2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6"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2,024,165.39</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0.83591</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1,692,020.09</w:t>
            </w:r>
          </w:p>
        </w:tc>
      </w:tr>
    </w:tbl>
    <w:p>
      <w:pPr>
        <w:pStyle w:val="BodyText"/>
        <w:spacing w:line="240" w:lineRule="auto" w:before="51"/>
        <w:ind w:right="1258"/>
        <w:jc w:val="left"/>
      </w:pPr>
      <w:r>
        <w:rPr/>
        <w:t>其他说明：</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59" w:lineRule="auto" w:before="35"/>
        <w:ind w:right="151"/>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415" w:lineRule="auto"/>
        <w:ind w:left="514" w:right="167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本公司之子公司榕基国际控股有限公司注册于香港，境外主要经营地为香港，记账本位币为港币。</w:t>
      </w:r>
    </w:p>
    <w:p>
      <w:pPr>
        <w:spacing w:line="240" w:lineRule="auto" w:before="11"/>
        <w:rPr>
          <w:rFonts w:ascii="宋体" w:hAnsi="宋体" w:cs="宋体" w:eastAsia="宋体" w:hint="default"/>
          <w:sz w:val="16"/>
          <w:szCs w:val="16"/>
        </w:rPr>
      </w:pPr>
    </w:p>
    <w:p>
      <w:pPr>
        <w:pStyle w:val="Heading3"/>
        <w:spacing w:line="240" w:lineRule="auto"/>
        <w:ind w:right="1258"/>
        <w:jc w:val="left"/>
        <w:rPr>
          <w:b w:val="0"/>
          <w:bCs w:val="0"/>
        </w:rPr>
      </w:pPr>
      <w:r>
        <w:rPr>
          <w:rFonts w:ascii="Times New Roman" w:hAnsi="Times New Roman" w:cs="Times New Roman" w:eastAsia="Times New Roman" w:hint="default"/>
        </w:rPr>
        <w:t>80</w:t>
      </w:r>
      <w:r>
        <w:rPr/>
        <w:t>、套期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58"/>
        <w:jc w:val="left"/>
      </w:pPr>
      <w:r>
        <w:rPr/>
        <w:t>按照套期类别披露套期项目及相关套期工具、被套期风险的定性和定量信息：</w:t>
      </w:r>
    </w:p>
    <w:p>
      <w:pPr>
        <w:spacing w:line="240" w:lineRule="auto" w:before="11"/>
        <w:rPr>
          <w:rFonts w:ascii="宋体" w:hAnsi="宋体" w:cs="宋体" w:eastAsia="宋体" w:hint="default"/>
          <w:sz w:val="26"/>
          <w:szCs w:val="26"/>
        </w:rPr>
      </w:pPr>
    </w:p>
    <w:p>
      <w:pPr>
        <w:spacing w:line="487" w:lineRule="auto" w:before="0"/>
        <w:ind w:left="154" w:right="7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八、合并范围的变更</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left="153" w:right="1258"/>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3"/>
        <w:gridCol w:w="1064"/>
        <w:gridCol w:w="1063"/>
        <w:gridCol w:w="1064"/>
        <w:gridCol w:w="1064"/>
        <w:gridCol w:w="1063"/>
        <w:gridCol w:w="1062"/>
        <w:gridCol w:w="1062"/>
        <w:gridCol w:w="1062"/>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4"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51"/>
        <w:ind w:right="125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8"/>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4777;top:14;width:2;height:393" coordorigin="4777,14" coordsize="2,393">
              <v:shape style="position:absolute;left:4777;top:14;width:2;height:393" coordorigin="4777,14" coordsize="0,393" path="m4777,14l4777,407e" filled="false" stroked="true" strokeweight="1.140pt" strokecolor="#d3d3d3">
                <v:path arrowok="t"/>
              </v:shape>
            </v:group>
            <v:group style="position:absolute;left:37;top:14;width:4728;height:393" coordorigin="37,14" coordsize="4728,393">
              <v:shape style="position:absolute;left:37;top:14;width:4728;height:393" coordorigin="37,14" coordsize="4728,393" path="m37,407l4765,407,4765,14,37,14,37,407xe" filled="true" fillcolor="#d3d3d3" stroked="false">
                <v:path arrowok="t"/>
                <v:fill type="solid"/>
              </v:shape>
            </v:group>
            <v:group style="position:absolute;left:4810;top:14;width:2;height:393" coordorigin="4810,14" coordsize="2,393">
              <v:shape style="position:absolute;left:4810;top:14;width:2;height:393" coordorigin="4810,14" coordsize="0,393" path="m4810,14l4810,407e" filled="false" stroked="true" strokeweight="1.140pt" strokecolor="#e1ffff">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e1ffff">
                <v:path arrowok="t"/>
              </v:shape>
            </v:group>
            <v:group style="position:absolute;left:4822;top:14;width:4728;height:393" coordorigin="4822,14" coordsize="4728,393">
              <v:shape style="position:absolute;left:4822;top:14;width:4728;height:393" coordorigin="4822,14" coordsize="4728,393" path="m4822,407l9550,407,9550,14,4822,14,4822,407xe" filled="true" fillcolor="#e1ffff"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5;height:2" coordorigin="5,412" coordsize="4785,2">
              <v:shape style="position:absolute;left:5;top:412;width:4785;height:2" coordorigin="5,412" coordsize="4785,0" path="m5,412l4789,412e" filled="false" stroked="true" strokeweight=".48001pt" strokecolor="#000000">
                <v:path arrowok="t"/>
              </v:shape>
            </v:group>
            <v:group style="position:absolute;left:4794;top:14;width:2;height:402" coordorigin="4794,14" coordsize="2,402">
              <v:shape style="position:absolute;left:4794;top:14;width:2;height:402" coordorigin="4794,14" coordsize="0,402" path="m4794,14l4794,416e" filled="false" stroked="true" strokeweight=".48001pt" strokecolor="#000000">
                <v:path arrowok="t"/>
              </v:shape>
            </v:group>
            <v:group style="position:absolute;left:4799;top:412;width:4774;height:2" coordorigin="4799,412" coordsize="4774,2">
              <v:shape style="position:absolute;left:4799;top:412;width:4774;height:2" coordorigin="4799,412" coordsize="4774,0" path="m4799,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0;top:10;width:47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left="153" w:right="5091"/>
        <w:jc w:val="left"/>
      </w:pPr>
      <w:r>
        <w:rPr/>
        <w:t>合并成本公允价值的确定方法、或有对价及其变动的说明： 大额商誉形成的主要原因：</w:t>
      </w:r>
    </w:p>
    <w:p>
      <w:pPr>
        <w:pStyle w:val="BodyText"/>
        <w:spacing w:line="240" w:lineRule="auto" w:before="26"/>
        <w:ind w:left="153" w:right="125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2"/>
        <w:gridCol w:w="3206"/>
        <w:gridCol w:w="3179"/>
      </w:tblGrid>
      <w:tr>
        <w:trPr>
          <w:trHeight w:val="402" w:hRule="exact"/>
        </w:trPr>
        <w:tc>
          <w:tcPr>
            <w:tcW w:w="31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385" w:type="dxa"/>
            <w:gridSpan w:val="2"/>
            <w:tcBorders>
              <w:top w:val="single" w:sz="4" w:space="0" w:color="000000"/>
              <w:left w:val="single" w:sz="13" w:space="0" w:color="D3D3D3"/>
              <w:bottom w:val="single" w:sz="4" w:space="0" w:color="000000"/>
              <w:right w:val="single" w:sz="4" w:space="0" w:color="000000"/>
            </w:tcBorders>
            <w:shd w:val="clear" w:color="auto" w:fill="E1FFFF"/>
          </w:tcPr>
          <w:p>
            <w:pPr/>
          </w:p>
        </w:tc>
      </w:tr>
      <w:tr>
        <w:trPr>
          <w:trHeight w:val="402" w:hRule="exact"/>
        </w:trPr>
        <w:tc>
          <w:tcPr>
            <w:tcW w:w="31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77"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60" w:lineRule="auto" w:before="51"/>
        <w:ind w:left="153" w:right="6548"/>
        <w:jc w:val="both"/>
      </w:pPr>
      <w:r>
        <w:rPr/>
        <w:t>可辨认资产、负债公允价值的确定方法： 企业合并中承担的被购买方的或有负债： 其他说明：</w:t>
      </w:r>
    </w:p>
    <w:p>
      <w:pPr>
        <w:spacing w:after="0" w:line="360" w:lineRule="auto"/>
        <w:jc w:val="both"/>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58"/>
        <w:jc w:val="left"/>
      </w:pPr>
      <w:r>
        <w:rPr/>
        <w:t>是否存在通过多次交易分步实现企业合并且在报告期内取得控制权的交易</w:t>
      </w:r>
    </w:p>
    <w:p>
      <w:pPr>
        <w:pStyle w:val="BodyText"/>
        <w:spacing w:line="240" w:lineRule="auto" w:before="116"/>
        <w:ind w:left="153" w:right="125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151"/>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8"/>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258"/>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8"/>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4"/>
        <w:gridCol w:w="1064"/>
        <w:gridCol w:w="1063"/>
        <w:gridCol w:w="1064"/>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35" w:right="73"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6" w:right="77"/>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right="125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8"/>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4777;top:14;width:2;height:393" coordorigin="4777,14" coordsize="2,393">
              <v:shape style="position:absolute;left:4777;top:14;width:2;height:393" coordorigin="4777,14" coordsize="0,393" path="m4777,14l4777,407e" filled="false" stroked="true" strokeweight="1.140pt" strokecolor="#d3d3d3">
                <v:path arrowok="t"/>
              </v:shape>
            </v:group>
            <v:group style="position:absolute;left:37;top:14;width:4728;height:393" coordorigin="37,14" coordsize="4728,393">
              <v:shape style="position:absolute;left:37;top:14;width:4728;height:393" coordorigin="37,14" coordsize="4728,393" path="m37,407l4765,407,4765,14,37,14,37,407xe" filled="true" fillcolor="#d3d3d3" stroked="false">
                <v:path arrowok="t"/>
                <v:fill type="solid"/>
              </v:shape>
            </v:group>
            <v:group style="position:absolute;left:4810;top:14;width:2;height:393" coordorigin="4810,14" coordsize="2,393">
              <v:shape style="position:absolute;left:4810;top:14;width:2;height:393" coordorigin="4810,14" coordsize="0,393" path="m4810,14l4810,407e" filled="false" stroked="true" strokeweight="1.140pt" strokecolor="#e1ffff">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e1ffff">
                <v:path arrowok="t"/>
              </v:shape>
            </v:group>
            <v:group style="position:absolute;left:4822;top:14;width:4728;height:393" coordorigin="4822,14" coordsize="4728,393">
              <v:shape style="position:absolute;left:4822;top:14;width:4728;height:393" coordorigin="4822,14" coordsize="4728,393" path="m4822,407l9550,407,9550,14,4822,14,4822,407xe" filled="true" fillcolor="#e1ffff"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5;height:2" coordorigin="5,412" coordsize="4785,2">
              <v:shape style="position:absolute;left:5;top:412;width:4785;height:2" coordorigin="5,412" coordsize="4785,0" path="m5,412l4789,412e" filled="false" stroked="true" strokeweight=".48001pt" strokecolor="#000000">
                <v:path arrowok="t"/>
              </v:shape>
            </v:group>
            <v:group style="position:absolute;left:4794;top:14;width:2;height:402" coordorigin="4794,14" coordsize="2,402">
              <v:shape style="position:absolute;left:4794;top:14;width:2;height:402" coordorigin="4794,14" coordsize="0,402" path="m4794,14l4794,416e" filled="false" stroked="true" strokeweight=".48001pt" strokecolor="#000000">
                <v:path arrowok="t"/>
              </v:shape>
            </v:group>
            <v:group style="position:absolute;left:4799;top:412;width:4774;height:2" coordorigin="4799,412" coordsize="4774,2">
              <v:shape style="position:absolute;left:4799;top:412;width:4774;height:2" coordorigin="4799,412" coordsize="4774,0" path="m4799,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0;top:10;width:47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left="153" w:right="7611"/>
        <w:jc w:val="left"/>
      </w:pPr>
      <w:r>
        <w:rPr/>
        <w:t>或有对价及其变动的说明： 其他说明：</w:t>
      </w:r>
    </w:p>
    <w:p>
      <w:pPr>
        <w:spacing w:line="240" w:lineRule="auto" w:before="11"/>
        <w:rPr>
          <w:rFonts w:ascii="宋体" w:hAnsi="宋体" w:cs="宋体" w:eastAsia="宋体" w:hint="default"/>
          <w:sz w:val="19"/>
          <w:szCs w:val="19"/>
        </w:rPr>
      </w:pPr>
    </w:p>
    <w:p>
      <w:pPr>
        <w:pStyle w:val="Heading3"/>
        <w:spacing w:line="240" w:lineRule="auto"/>
        <w:ind w:right="1258"/>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9"/>
        <w:rPr>
          <w:rFonts w:ascii="宋体" w:hAnsi="宋体" w:cs="宋体" w:eastAsia="宋体" w:hint="default"/>
          <w:sz w:val="7"/>
          <w:szCs w:val="7"/>
        </w:rPr>
      </w:pPr>
    </w:p>
    <w:p>
      <w:pPr>
        <w:spacing w:line="823" w:lineRule="exact"/>
        <w:ind w:left="144"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5pt;height:41.2pt;mso-position-horizontal-relative:char;mso-position-vertical-relative:line" coordorigin="0,0" coordsize="9590,824">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3183;top:14;width:2;height:393" coordorigin="3183,14" coordsize="2,393">
              <v:shape style="position:absolute;left:3183;top:14;width:2;height:393" coordorigin="3183,14" coordsize="0,393" path="m3183,14l3183,407e" filled="false" stroked="true" strokeweight="1.140pt" strokecolor="#d3d3d3">
                <v:path arrowok="t"/>
              </v:shape>
            </v:group>
            <v:group style="position:absolute;left:37;top:14;width:3135;height:393" coordorigin="37,14" coordsize="3135,393">
              <v:shape style="position:absolute;left:37;top:14;width:3135;height:393" coordorigin="37,14" coordsize="3135,393" path="m37,407l3172,407,3172,14,37,14,37,407xe" filled="true" fillcolor="#d3d3d3" stroked="false">
                <v:path arrowok="t"/>
                <v:fill type="solid"/>
              </v:shape>
            </v:group>
            <v:group style="position:absolute;left:3216;top:14;width:2;height:393" coordorigin="3216,14" coordsize="2,393">
              <v:shape style="position:absolute;left:3216;top:14;width:2;height:393" coordorigin="3216,14" coordsize="0,393" path="m3216,14l3216,407e" filled="false" stroked="true" strokeweight="1.2pt" strokecolor="#e1ffff">
                <v:path arrowok="t"/>
              </v:shape>
            </v:group>
            <v:group style="position:absolute;left:9563;top:14;width:2;height:393" coordorigin="9563,14" coordsize="2,393">
              <v:shape style="position:absolute;left:9563;top:14;width:2;height:393" coordorigin="9563,14" coordsize="0,393" path="m9563,14l9563,407e" filled="false" stroked="true" strokeweight="1.140pt" strokecolor="#e1ffff">
                <v:path arrowok="t"/>
              </v:shape>
            </v:group>
            <v:group style="position:absolute;left:3228;top:14;width:6324;height:393" coordorigin="3228,14" coordsize="6324,393">
              <v:shape style="position:absolute;left:3228;top:14;width:6324;height:393" coordorigin="3228,14" coordsize="6324,393" path="m3228,407l9552,407,9552,14,3228,14,3228,407xe" filled="true" fillcolor="#e1ffff" stroked="false">
                <v:path arrowok="t"/>
                <v:fill type="solid"/>
              </v:shape>
            </v:group>
            <v:group style="position:absolute;left:5;top:10;width:9580;height:2" coordorigin="5,10" coordsize="9580,2">
              <v:shape style="position:absolute;left:5;top:10;width:9580;height:2" coordorigin="5,10" coordsize="9580,0" path="m5,10l9584,10e" filled="false" stroked="true" strokeweight=".47998pt" strokecolor="#000000">
                <v:path arrowok="t"/>
              </v:shape>
            </v:group>
            <v:group style="position:absolute;left:10;top:5;width:2;height:402" coordorigin="10,5" coordsize="2,402">
              <v:shape style="position:absolute;left:10;top:5;width:2;height:402" coordorigin="10,5" coordsize="0,402" path="m10,5l10,407e" filled="false" stroked="true" strokeweight=".48001pt" strokecolor="#000000">
                <v:path arrowok="t"/>
              </v:shape>
            </v:group>
            <v:group style="position:absolute;left:3199;top:14;width:2;height:393" coordorigin="3199,14" coordsize="2,393">
              <v:shape style="position:absolute;left:3199;top:14;width:2;height:393" coordorigin="3199,14" coordsize="0,393" path="m3199,14l3199,407e" filled="false" stroked="true" strokeweight=".48pt" strokecolor="#000000">
                <v:path arrowok="t"/>
              </v:shape>
            </v:group>
            <v:group style="position:absolute;left:9580;top:5;width:2;height:402" coordorigin="9580,5" coordsize="2,402">
              <v:shape style="position:absolute;left:9580;top:5;width:2;height:402" coordorigin="9580,5" coordsize="0,402" path="m9580,5l9580,407e" filled="false" stroked="true" strokeweight=".47998pt" strokecolor="#000000">
                <v:path arrowok="t"/>
              </v:shape>
            </v:group>
            <v:group style="position:absolute;left:26;top:416;width:2;height:393" coordorigin="26,416" coordsize="2,393">
              <v:shape style="position:absolute;left:26;top:416;width:2;height:393" coordorigin="26,416" coordsize="0,393" path="m26,416l26,809e" filled="false" stroked="true" strokeweight="1.140pt" strokecolor="#d3d3d3">
                <v:path arrowok="t"/>
              </v:shape>
            </v:group>
            <v:group style="position:absolute;left:3183;top:416;width:2;height:393" coordorigin="3183,416" coordsize="2,393">
              <v:shape style="position:absolute;left:3183;top:416;width:2;height:393" coordorigin="3183,416" coordsize="0,393" path="m3183,416l3183,809e" filled="false" stroked="true" strokeweight="1.140pt" strokecolor="#d3d3d3">
                <v:path arrowok="t"/>
              </v:shape>
            </v:group>
            <v:group style="position:absolute;left:37;top:416;width:3135;height:393" coordorigin="37,416" coordsize="3135,393">
              <v:shape style="position:absolute;left:37;top:416;width:3135;height:393" coordorigin="37,416" coordsize="3135,393" path="m37,809l3172,809,3172,416,37,416,37,809xe" filled="true" fillcolor="#d3d3d3" stroked="false">
                <v:path arrowok="t"/>
                <v:fill type="solid"/>
              </v:shape>
            </v:group>
            <v:group style="position:absolute;left:3216;top:416;width:2;height:393" coordorigin="3216,416" coordsize="2,393">
              <v:shape style="position:absolute;left:3216;top:416;width:2;height:393" coordorigin="3216,416" coordsize="0,393" path="m3216,416l3216,809e" filled="false" stroked="true" strokeweight="1.2pt" strokecolor="#d3d3d3">
                <v:path arrowok="t"/>
              </v:shape>
            </v:group>
            <v:group style="position:absolute;left:6373;top:416;width:2;height:393" coordorigin="6373,416" coordsize="2,393">
              <v:shape style="position:absolute;left:6373;top:416;width:2;height:393" coordorigin="6373,416" coordsize="0,393" path="m6373,416l6373,809e" filled="false" stroked="true" strokeweight="1.140pt" strokecolor="#d3d3d3">
                <v:path arrowok="t"/>
              </v:shape>
            </v:group>
            <v:group style="position:absolute;left:3228;top:416;width:3134;height:393" coordorigin="3228,416" coordsize="3134,393">
              <v:shape style="position:absolute;left:3228;top:416;width:3134;height:393" coordorigin="3228,416" coordsize="3134,393" path="m3228,809l6361,809,6361,416,3228,416,3228,809xe" filled="true" fillcolor="#d3d3d3" stroked="false">
                <v:path arrowok="t"/>
                <v:fill type="solid"/>
              </v:shape>
            </v:group>
            <v:group style="position:absolute;left:6406;top:416;width:2;height:393" coordorigin="6406,416" coordsize="2,393">
              <v:shape style="position:absolute;left:6406;top:416;width:2;height:393" coordorigin="6406,416" coordsize="0,393" path="m6406,416l6406,809e" filled="false" stroked="true" strokeweight="1.140pt" strokecolor="#d3d3d3">
                <v:path arrowok="t"/>
              </v:shape>
            </v:group>
            <v:group style="position:absolute;left:9563;top:416;width:2;height:393" coordorigin="9563,416" coordsize="2,393">
              <v:shape style="position:absolute;left:9563;top:416;width:2;height:393" coordorigin="9563,416" coordsize="0,393" path="m9563,416l9563,809e" filled="false" stroked="true" strokeweight="1.140pt" strokecolor="#d3d3d3">
                <v:path arrowok="t"/>
              </v:shape>
            </v:group>
            <v:group style="position:absolute;left:6418;top:416;width:3135;height:393" coordorigin="6418,416" coordsize="3135,393">
              <v:shape style="position:absolute;left:6418;top:416;width:3135;height:393" coordorigin="6418,416" coordsize="3135,393" path="m6418,809l9552,809,9552,416,6418,416,6418,809xe" filled="true" fillcolor="#d3d3d3" stroked="false">
                <v:path arrowok="t"/>
                <v:fill type="solid"/>
              </v:shape>
            </v:group>
            <v:group style="position:absolute;left:5;top:412;width:9580;height:2" coordorigin="5,412" coordsize="9580,2">
              <v:shape style="position:absolute;left:5;top:412;width:9580;height:2" coordorigin="5,412" coordsize="9580,0" path="m5,412l9584,412e" filled="false" stroked="true" strokeweight=".48001pt" strokecolor="#000000">
                <v:path arrowok="t"/>
              </v:shape>
            </v:group>
            <v:group style="position:absolute;left:10;top:416;width:2;height:402" coordorigin="10,416" coordsize="2,402">
              <v:shape style="position:absolute;left:10;top:416;width:2;height:402" coordorigin="10,416" coordsize="0,402" path="m10,416l10,818e" filled="false" stroked="true" strokeweight=".48001pt" strokecolor="#000000">
                <v:path arrowok="t"/>
              </v:shape>
            </v:group>
            <v:group style="position:absolute;left:5;top:814;width:3190;height:2" coordorigin="5,814" coordsize="3190,2">
              <v:shape style="position:absolute;left:5;top:814;width:3190;height:2" coordorigin="5,814" coordsize="3190,0" path="m5,814l3194,814e" filled="false" stroked="true" strokeweight=".48pt" strokecolor="#000000">
                <v:path arrowok="t"/>
              </v:shape>
            </v:group>
            <v:group style="position:absolute;left:3199;top:416;width:2;height:402" coordorigin="3199,416" coordsize="2,402">
              <v:shape style="position:absolute;left:3199;top:416;width:2;height:402" coordorigin="3199,416" coordsize="0,402" path="m3199,416l3199,818e" filled="false" stroked="true" strokeweight=".48pt" strokecolor="#000000">
                <v:path arrowok="t"/>
              </v:shape>
            </v:group>
            <v:group style="position:absolute;left:3204;top:814;width:3182;height:2" coordorigin="3204,814" coordsize="3182,2">
              <v:shape style="position:absolute;left:3204;top:814;width:3182;height:2" coordorigin="3204,814" coordsize="3182,0" path="m3204,814l6385,814e" filled="false" stroked="true" strokeweight=".48pt" strokecolor="#000000">
                <v:path arrowok="t"/>
              </v:shape>
            </v:group>
            <v:group style="position:absolute;left:6390;top:416;width:2;height:402" coordorigin="6390,416" coordsize="2,402">
              <v:shape style="position:absolute;left:6390;top:416;width:2;height:402" coordorigin="6390,416" coordsize="0,402" path="m6390,416l6390,818e" filled="false" stroked="true" strokeweight=".47998pt" strokecolor="#000000">
                <v:path arrowok="t"/>
              </v:shape>
            </v:group>
            <v:group style="position:absolute;left:6395;top:814;width:3180;height:2" coordorigin="6395,814" coordsize="3180,2">
              <v:shape style="position:absolute;left:6395;top:814;width:3180;height:2" coordorigin="6395,814" coordsize="3180,0" path="m6395,814l9575,814e" filled="false" stroked="true" strokeweight=".48pt" strokecolor="#000000">
                <v:path arrowok="t"/>
              </v:shape>
            </v:group>
            <v:group style="position:absolute;left:9580;top:416;width:2;height:402" coordorigin="9580,416" coordsize="2,402">
              <v:shape style="position:absolute;left:9580;top:416;width:2;height:402" coordorigin="9580,416" coordsize="0,402" path="m9580,416l9580,818e" filled="false" stroked="true" strokeweight=".47998pt" strokecolor="#000000">
                <v:path arrowok="t"/>
              </v:shape>
              <v:shape style="position:absolute;left:3188;top:412;width:3202;height:402"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9;top:412;width:3179;height:402"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6"/>
        <w:ind w:left="153" w:right="6531"/>
        <w:jc w:val="left"/>
      </w:pPr>
      <w:r>
        <w:rPr/>
        <w:t>企业合并中承担的被合并方的或有负债： 其他说明：</w:t>
      </w:r>
    </w:p>
    <w:p>
      <w:pPr>
        <w:spacing w:line="240" w:lineRule="auto" w:before="11"/>
        <w:rPr>
          <w:rFonts w:ascii="宋体" w:hAnsi="宋体" w:cs="宋体" w:eastAsia="宋体" w:hint="default"/>
          <w:sz w:val="19"/>
          <w:szCs w:val="19"/>
        </w:rPr>
      </w:pPr>
    </w:p>
    <w:p>
      <w:pPr>
        <w:pStyle w:val="Heading3"/>
        <w:spacing w:line="240" w:lineRule="auto"/>
        <w:ind w:right="1258"/>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after="0" w:line="319"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r>
        <w:rPr/>
        <w:pict>
          <v:group style="position:absolute;margin-left:125.519997pt;margin-top:499.700012pt;width:67.9pt;height:15.6pt;mso-position-horizontal-relative:page;mso-position-vertical-relative:page;z-index:-1147096" coordorigin="2510,9994" coordsize="1358,312">
            <v:shape style="position:absolute;left:2510;top:9994;width:1358;height:312" coordorigin="2510,9994" coordsize="1358,312" path="m2510,10306l3868,10306,3868,9994,2510,9994,2510,10306xe" filled="true" fillcolor="#ffffff" stroked="false">
              <v:path arrowok="t"/>
              <v:fill type="solid"/>
            </v:shape>
            <w10:wrap type="none"/>
          </v:group>
        </w:pict>
      </w:r>
    </w:p>
    <w:p>
      <w:pPr>
        <w:pStyle w:val="Heading3"/>
        <w:spacing w:line="240" w:lineRule="auto" w:before="35"/>
        <w:ind w:right="1258"/>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58"/>
        <w:jc w:val="left"/>
      </w:pPr>
      <w:r>
        <w:rPr/>
        <w:t>是否存在单次处置对子公司投资即丧失控制权的情形</w:t>
      </w:r>
    </w:p>
    <w:p>
      <w:pPr>
        <w:pStyle w:val="BodyText"/>
        <w:spacing w:line="340" w:lineRule="auto" w:before="116"/>
        <w:ind w:right="401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0"/>
        <w:ind w:right="125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1258"/>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58"/>
        <w:jc w:val="left"/>
      </w:pPr>
      <w:r>
        <w:rPr/>
        <w:t>说明其他原因导致的合并范围变动（如，新设子公司、清算子公司等）及其相关情况：</w:t>
      </w:r>
    </w:p>
    <w:p>
      <w:pPr>
        <w:pStyle w:val="BodyText"/>
        <w:spacing w:line="240" w:lineRule="auto" w:before="115"/>
        <w:ind w:left="513" w:right="1258"/>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月，本公司投资设立福建容大物联网科技有限公司，持股比例为</w:t>
      </w:r>
      <w:r>
        <w:rPr>
          <w:rFonts w:ascii="Times New Roman" w:hAnsi="Times New Roman" w:cs="Times New Roman" w:eastAsia="Times New Roman" w:hint="default"/>
        </w:rPr>
        <w:t>51.00%</w:t>
      </w:r>
      <w:r>
        <w:rPr/>
        <w:t>。</w:t>
      </w:r>
    </w:p>
    <w:p>
      <w:pPr>
        <w:spacing w:line="240" w:lineRule="auto" w:before="11"/>
        <w:rPr>
          <w:rFonts w:ascii="宋体" w:hAnsi="宋体" w:cs="宋体" w:eastAsia="宋体" w:hint="default"/>
          <w:sz w:val="25"/>
          <w:szCs w:val="25"/>
        </w:rPr>
      </w:pPr>
    </w:p>
    <w:p>
      <w:pPr>
        <w:spacing w:line="487" w:lineRule="auto" w:before="0"/>
        <w:ind w:left="154" w:right="71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1258"/>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浙江榕基信息技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上海榕基软件开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pacing w:val="-5"/>
                <w:sz w:val="18"/>
                <w:szCs w:val="18"/>
              </w:rPr>
              <w:t>榕基五一（北京</w:t>
            </w:r>
            <w:r>
              <w:rPr>
                <w:rFonts w:ascii="宋体" w:hAnsi="宋体" w:cs="宋体" w:eastAsia="宋体" w:hint="default"/>
                <w:sz w:val="18"/>
                <w:szCs w:val="18"/>
              </w:rPr>
              <w:t> 信息技术有限公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河南榕基信息技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马鞍山榕基软件 信息科技有限公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马鞍山市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马鞍山市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北京中榕基信息 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福建榕基软件工 程有限公司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福建榕基投资有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信阳榕基信息技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榕基国际控股有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河南豫础置业有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福州榕易付网络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福建星榕基信息 科技有限责任公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福州创华电气自 动化系统有限公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福建容大物联网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马鞍山榕基置业 投资有限公司</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（孙公司）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马鞍山市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马鞍山市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沈阳榕基信息技 术有限公司（孙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河南裕信德置业 有限公司（孙公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河南省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信阳市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浙江检榕网络科 技有限公司（孙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pacing w:val="-5"/>
                <w:sz w:val="18"/>
                <w:szCs w:val="18"/>
              </w:rPr>
              <w:t>榕基国计（北京</w:t>
            </w:r>
            <w:r>
              <w:rPr>
                <w:rFonts w:ascii="宋体" w:hAnsi="宋体" w:cs="宋体" w:eastAsia="宋体" w:hint="default"/>
                <w:sz w:val="18"/>
                <w:szCs w:val="18"/>
              </w:rPr>
              <w:t> 信息技术有限公 司（孙公司）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360" w:lineRule="auto" w:before="51"/>
        <w:ind w:left="153" w:right="1851"/>
        <w:jc w:val="left"/>
      </w:pPr>
      <w:r>
        <w:rPr/>
        <w:pict>
          <v:group style="position:absolute;margin-left:125.519997pt;margin-top:-51.317978pt;width:67.9pt;height:15.6pt;mso-position-horizontal-relative:page;mso-position-vertical-relative:paragraph;z-index:-1147072" coordorigin="2510,-1026" coordsize="1358,312">
            <v:shape style="position:absolute;left:2510;top:-1026;width:1358;height:312" coordorigin="2510,-1026" coordsize="1358,312" path="m2510,-714l3868,-714,3868,-1026,2510,-1026,2510,-714xe" filled="true" fillcolor="#ffffff" stroked="false">
              <v:path arrowok="t"/>
              <v:fill type="solid"/>
            </v:shape>
            <w10:wrap type="none"/>
          </v:group>
        </w:pict>
      </w: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6"/>
        <w:ind w:left="153" w:right="6711"/>
        <w:jc w:val="left"/>
      </w:pPr>
      <w:r>
        <w:rPr/>
        <w:t>确定公司是代理人还是委托人的依据： 其他说明：</w:t>
      </w:r>
    </w:p>
    <w:p>
      <w:pPr>
        <w:spacing w:line="240" w:lineRule="auto" w:before="11"/>
        <w:rPr>
          <w:rFonts w:ascii="宋体" w:hAnsi="宋体" w:cs="宋体" w:eastAsia="宋体" w:hint="default"/>
          <w:sz w:val="19"/>
          <w:szCs w:val="19"/>
        </w:rPr>
      </w:pPr>
    </w:p>
    <w:p>
      <w:pPr>
        <w:pStyle w:val="Heading3"/>
        <w:spacing w:line="240" w:lineRule="auto"/>
        <w:ind w:right="1258"/>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6"/>
        <w:gridCol w:w="1914"/>
        <w:gridCol w:w="1914"/>
        <w:gridCol w:w="1913"/>
        <w:gridCol w:w="1901"/>
      </w:tblGrid>
      <w:tr>
        <w:trPr>
          <w:trHeight w:val="362" w:hRule="exact"/>
        </w:trPr>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本期归属于少数股东的</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本期向少数股东宣告分</w:t>
            </w:r>
          </w:p>
        </w:tc>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38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损益</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福建星榕基公司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4" w:right="0"/>
              <w:jc w:val="left"/>
              <w:rPr>
                <w:rFonts w:ascii="Times New Roman" w:hAnsi="Times New Roman" w:cs="Times New Roman" w:eastAsia="Times New Roman" w:hint="default"/>
                <w:sz w:val="18"/>
                <w:szCs w:val="18"/>
              </w:rPr>
            </w:pPr>
            <w:r>
              <w:rPr>
                <w:rFonts w:ascii="Times New Roman"/>
                <w:sz w:val="18"/>
              </w:rPr>
              <w:t>744,791.60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1" w:right="0"/>
              <w:jc w:val="left"/>
              <w:rPr>
                <w:rFonts w:ascii="Times New Roman" w:hAnsi="Times New Roman" w:cs="Times New Roman" w:eastAsia="Times New Roman" w:hint="default"/>
                <w:sz w:val="18"/>
                <w:szCs w:val="18"/>
              </w:rPr>
            </w:pPr>
            <w:r>
              <w:rPr>
                <w:rFonts w:ascii="Times New Roman"/>
                <w:sz w:val="18"/>
              </w:rPr>
              <w:t>11,163,007.04</w:t>
            </w:r>
          </w:p>
        </w:tc>
      </w:tr>
    </w:tbl>
    <w:p>
      <w:pPr>
        <w:pStyle w:val="BodyText"/>
        <w:spacing w:line="360" w:lineRule="auto" w:before="51"/>
        <w:ind w:left="393" w:right="5451"/>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left="394" w:right="5451"/>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389" w:type="dxa"/>
        <w:tblLayout w:type="fixed"/>
        <w:tblCellMar>
          <w:top w:w="0" w:type="dxa"/>
          <w:left w:w="0" w:type="dxa"/>
          <w:bottom w:w="0" w:type="dxa"/>
          <w:right w:w="0" w:type="dxa"/>
        </w:tblCellMar>
        <w:tblLook w:val="01E0"/>
      </w:tblPr>
      <w:tblGrid>
        <w:gridCol w:w="736"/>
        <w:gridCol w:w="737"/>
        <w:gridCol w:w="736"/>
        <w:gridCol w:w="736"/>
        <w:gridCol w:w="737"/>
        <w:gridCol w:w="734"/>
        <w:gridCol w:w="736"/>
        <w:gridCol w:w="734"/>
        <w:gridCol w:w="736"/>
        <w:gridCol w:w="734"/>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1"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027"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福建星 榕基公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71,983,0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20.03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3,833,74</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7.98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75,816,7</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68.01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15,064,0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99.38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17,064,0</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99.38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82,558,5</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02.38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1,968,07</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4.00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84,526,5</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76.38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29,693,8</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63.55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29,693,8</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63.55</w:t>
            </w:r>
          </w:p>
        </w:tc>
      </w:tr>
    </w:tbl>
    <w:p>
      <w:pPr>
        <w:pStyle w:val="BodyText"/>
        <w:spacing w:line="240" w:lineRule="auto" w:before="51"/>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852"/>
        <w:gridCol w:w="1276"/>
        <w:gridCol w:w="1134"/>
        <w:gridCol w:w="1134"/>
        <w:gridCol w:w="992"/>
        <w:gridCol w:w="1273"/>
        <w:gridCol w:w="1063"/>
        <w:gridCol w:w="1063"/>
        <w:gridCol w:w="1136"/>
      </w:tblGrid>
      <w:tr>
        <w:trPr>
          <w:trHeight w:val="402" w:hRule="exact"/>
        </w:trPr>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331" w:right="59" w:hanging="270"/>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45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53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852" w:type="dxa"/>
            <w:vMerge/>
            <w:tcBorders>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471" w:right="110"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0" w:right="41"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82" w:right="23" w:hanging="360"/>
              <w:jc w:val="left"/>
              <w:rPr>
                <w:rFonts w:ascii="宋体" w:hAnsi="宋体" w:cs="宋体" w:eastAsia="宋体" w:hint="default"/>
                <w:sz w:val="18"/>
                <w:szCs w:val="18"/>
              </w:rPr>
            </w:pPr>
            <w:r>
              <w:rPr>
                <w:rFonts w:ascii="宋体" w:hAnsi="宋体" w:cs="宋体" w:eastAsia="宋体" w:hint="default"/>
                <w:sz w:val="18"/>
                <w:szCs w:val="18"/>
              </w:rPr>
              <w:t>经营活动现金 流量</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96"/>
              <w:jc w:val="left"/>
              <w:rPr>
                <w:rFonts w:ascii="宋体" w:hAnsi="宋体" w:cs="宋体" w:eastAsia="宋体" w:hint="default"/>
                <w:sz w:val="18"/>
                <w:szCs w:val="18"/>
              </w:rPr>
            </w:pPr>
            <w:r>
              <w:rPr>
                <w:rFonts w:ascii="宋体" w:hAnsi="宋体" w:cs="宋体" w:eastAsia="宋体" w:hint="default"/>
                <w:sz w:val="18"/>
                <w:szCs w:val="18"/>
              </w:rPr>
              <w:t>福建星榕 基公司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31,124,474.58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3,919,955.80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3,919,955.80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6"/>
              <w:jc w:val="right"/>
              <w:rPr>
                <w:rFonts w:ascii="Times New Roman" w:hAnsi="Times New Roman" w:cs="Times New Roman" w:eastAsia="Times New Roman" w:hint="default"/>
                <w:sz w:val="18"/>
                <w:szCs w:val="18"/>
              </w:rPr>
            </w:pPr>
            <w:r>
              <w:rPr>
                <w:rFonts w:ascii="Times New Roman"/>
                <w:sz w:val="18"/>
              </w:rPr>
              <w:t>-16,398,133</w:t>
            </w:r>
          </w:p>
          <w:p>
            <w:pPr>
              <w:pStyle w:val="TableParagraph"/>
              <w:spacing w:line="240" w:lineRule="auto" w:before="105"/>
              <w:ind w:right="66"/>
              <w:jc w:val="right"/>
              <w:rPr>
                <w:rFonts w:ascii="Times New Roman" w:hAnsi="Times New Roman" w:cs="Times New Roman" w:eastAsia="Times New Roman" w:hint="default"/>
                <w:sz w:val="18"/>
                <w:szCs w:val="18"/>
              </w:rPr>
            </w:pPr>
            <w:r>
              <w:rPr>
                <w:rFonts w:ascii="Times New Roman"/>
                <w:sz w:val="18"/>
              </w:rPr>
              <w:t>.81</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54,859,068.95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center"/>
              <w:rPr>
                <w:rFonts w:ascii="Times New Roman" w:hAnsi="Times New Roman" w:cs="Times New Roman" w:eastAsia="Times New Roman" w:hint="default"/>
                <w:sz w:val="18"/>
                <w:szCs w:val="18"/>
              </w:rPr>
            </w:pPr>
            <w:r>
              <w:rPr>
                <w:rFonts w:ascii="Times New Roman"/>
                <w:sz w:val="18"/>
              </w:rPr>
              <w:t>4,832,311.84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4,832,311.84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11,576,005.00</w:t>
            </w:r>
          </w:p>
        </w:tc>
      </w:tr>
    </w:tbl>
    <w:p>
      <w:pPr>
        <w:pStyle w:val="BodyText"/>
        <w:spacing w:line="240" w:lineRule="auto" w:before="51"/>
        <w:ind w:left="394" w:right="5451"/>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394"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393"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394" w:right="5451"/>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394"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393"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394"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9"/>
        <w:rPr>
          <w:rFonts w:ascii="宋体" w:hAnsi="宋体" w:cs="宋体" w:eastAsia="宋体" w:hint="default"/>
          <w:sz w:val="7"/>
          <w:szCs w:val="7"/>
        </w:rPr>
      </w:pPr>
    </w:p>
    <w:p>
      <w:pPr>
        <w:spacing w:line="421" w:lineRule="exact"/>
        <w:ind w:left="38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4777;top:14;width:2;height:393" coordorigin="4777,14" coordsize="2,393">
              <v:shape style="position:absolute;left:4777;top:14;width:2;height:393" coordorigin="4777,14" coordsize="0,393" path="m4777,14l4777,407e" filled="false" stroked="true" strokeweight="1.140pt" strokecolor="#d3d3d3">
                <v:path arrowok="t"/>
              </v:shape>
            </v:group>
            <v:group style="position:absolute;left:37;top:14;width:4728;height:393" coordorigin="37,14" coordsize="4728,393">
              <v:shape style="position:absolute;left:37;top:14;width:4728;height:393" coordorigin="37,14" coordsize="4728,393" path="m37,407l4765,407,4765,14,37,14,37,407xe" filled="true" fillcolor="#d3d3d3" stroked="false">
                <v:path arrowok="t"/>
                <v:fill type="solid"/>
              </v:shape>
            </v:group>
            <v:group style="position:absolute;left:4810;top:14;width:2;height:393" coordorigin="4810,14" coordsize="2,393">
              <v:shape style="position:absolute;left:4810;top:14;width:2;height:393" coordorigin="4810,14" coordsize="0,393" path="m4810,14l4810,407e" filled="false" stroked="true" strokeweight="1.140pt" strokecolor="#e1ffff">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e1ffff">
                <v:path arrowok="t"/>
              </v:shape>
            </v:group>
            <v:group style="position:absolute;left:4822;top:14;width:4728;height:393" coordorigin="4822,14" coordsize="4728,393">
              <v:shape style="position:absolute;left:4822;top:14;width:4728;height:393" coordorigin="4822,14" coordsize="4728,393" path="m4822,407l9550,407,9550,14,4822,14,4822,407xe" filled="true" fillcolor="#e1ffff"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5;height:2" coordorigin="5,412" coordsize="4785,2">
              <v:shape style="position:absolute;left:5;top:412;width:4785;height:2" coordorigin="5,412" coordsize="4785,0" path="m5,412l4789,412e" filled="false" stroked="true" strokeweight=".47998pt" strokecolor="#000000">
                <v:path arrowok="t"/>
              </v:shape>
            </v:group>
            <v:group style="position:absolute;left:4794;top:14;width:2;height:402" coordorigin="4794,14" coordsize="2,402">
              <v:shape style="position:absolute;left:4794;top:14;width:2;height:402" coordorigin="4794,14" coordsize="0,402" path="m4794,14l4794,416e" filled="false" stroked="true" strokeweight=".48001pt" strokecolor="#000000">
                <v:path arrowok="t"/>
              </v:shape>
            </v:group>
            <v:group style="position:absolute;left:4799;top:412;width:4774;height:2" coordorigin="4799,412" coordsize="4774,2">
              <v:shape style="position:absolute;left:4799;top:412;width:4774;height:2" coordorigin="4799,412" coordsize="4774,0" path="m4799,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group>
          </v:group>
        </w:pict>
      </w:r>
      <w:r>
        <w:rPr>
          <w:rFonts w:ascii="宋体" w:hAnsi="宋体" w:cs="宋体" w:eastAsia="宋体" w:hint="default"/>
          <w:position w:val="-7"/>
          <w:sz w:val="20"/>
          <w:szCs w:val="20"/>
        </w:rPr>
      </w:r>
    </w:p>
    <w:p>
      <w:pPr>
        <w:pStyle w:val="BodyText"/>
        <w:spacing w:line="240" w:lineRule="auto" w:before="46"/>
        <w:ind w:left="394" w:right="5451"/>
        <w:jc w:val="left"/>
      </w:pPr>
      <w:r>
        <w:rPr/>
        <w:t>其他说明</w:t>
      </w:r>
    </w:p>
    <w:p>
      <w:pPr>
        <w:spacing w:after="0" w:line="240" w:lineRule="auto"/>
        <w:jc w:val="left"/>
        <w:sectPr>
          <w:pgSz w:w="11910" w:h="16840"/>
          <w:pgMar w:header="877" w:footer="982" w:top="1100" w:bottom="1180" w:left="740" w:right="980"/>
        </w:sectPr>
      </w:pPr>
    </w:p>
    <w:p>
      <w:pPr>
        <w:spacing w:line="240" w:lineRule="auto" w:before="9"/>
        <w:rPr>
          <w:rFonts w:ascii="宋体" w:hAnsi="宋体" w:cs="宋体" w:eastAsia="宋体" w:hint="default"/>
          <w:sz w:val="20"/>
          <w:szCs w:val="20"/>
        </w:rPr>
      </w:pPr>
    </w:p>
    <w:p>
      <w:pPr>
        <w:pStyle w:val="Heading3"/>
        <w:spacing w:line="240" w:lineRule="auto" w:before="35"/>
        <w:ind w:right="1258"/>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258"/>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49"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福建亿榕信息技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福建省福州市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福建文鑫莲业股 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建宁县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建宁县将屯工业 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农业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权益法（说明）</w:t>
            </w:r>
          </w:p>
        </w:tc>
      </w:tr>
    </w:tbl>
    <w:p>
      <w:pPr>
        <w:pStyle w:val="BodyText"/>
        <w:spacing w:line="240" w:lineRule="auto" w:before="51"/>
        <w:ind w:right="1258"/>
        <w:jc w:val="left"/>
      </w:pPr>
      <w:r>
        <w:rPr/>
        <w:t>在合营企业或联营企业的持股比例不同于表决权比例的说明：</w:t>
      </w:r>
    </w:p>
    <w:p>
      <w:pPr>
        <w:pStyle w:val="BodyText"/>
        <w:spacing w:line="338" w:lineRule="auto" w:before="117"/>
        <w:ind w:right="212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 说明：福建文鑫莲业股份有限公司董事会成员中的</w:t>
      </w:r>
      <w:r>
        <w:rPr>
          <w:rFonts w:ascii="Times New Roman" w:hAnsi="Times New Roman" w:cs="Times New Roman" w:eastAsia="Times New Roman" w:hint="default"/>
        </w:rPr>
        <w:t>1</w:t>
      </w:r>
      <w:r>
        <w:rPr/>
        <w:t>人由本公司委派，本公司对其具有重大影响。</w:t>
      </w:r>
    </w:p>
    <w:p>
      <w:pPr>
        <w:spacing w:line="240" w:lineRule="auto" w:before="8"/>
        <w:rPr>
          <w:rFonts w:ascii="宋体" w:hAnsi="宋体" w:cs="宋体" w:eastAsia="宋体" w:hint="default"/>
          <w:sz w:val="19"/>
          <w:szCs w:val="19"/>
        </w:rPr>
      </w:pPr>
    </w:p>
    <w:p>
      <w:pPr>
        <w:pStyle w:val="Heading3"/>
        <w:spacing w:line="240" w:lineRule="auto"/>
        <w:ind w:right="1258"/>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78"/>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02" w:type="dxa"/>
            <w:tcBorders>
              <w:top w:val="single" w:sz="4" w:space="0" w:color="000000"/>
              <w:left w:val="single" w:sz="13" w:space="0" w:color="D3D3D3"/>
              <w:bottom w:val="single" w:sz="4" w:space="0" w:color="000000"/>
              <w:right w:val="single" w:sz="4" w:space="0" w:color="000000"/>
            </w:tcBorders>
            <w:shd w:val="clear" w:color="auto" w:fill="E1FFFF"/>
          </w:tcPr>
          <w:p>
            <w:pPr/>
          </w:p>
        </w:tc>
        <w:tc>
          <w:tcPr>
            <w:tcW w:w="3178" w:type="dxa"/>
            <w:tcBorders>
              <w:top w:val="single" w:sz="4" w:space="0" w:color="000000"/>
              <w:left w:val="single" w:sz="4" w:space="0" w:color="000000"/>
              <w:bottom w:val="single" w:sz="4" w:space="0" w:color="000000"/>
              <w:right w:val="single" w:sz="4" w:space="0" w:color="000000"/>
            </w:tcBorders>
            <w:shd w:val="clear" w:color="auto" w:fill="E1FFFF"/>
          </w:tcPr>
          <w:p>
            <w:pPr/>
          </w:p>
        </w:tc>
      </w:tr>
    </w:tbl>
    <w:p>
      <w:pPr>
        <w:pStyle w:val="BodyText"/>
        <w:spacing w:line="240" w:lineRule="auto" w:before="51"/>
        <w:ind w:right="125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1"/>
        <w:gridCol w:w="1925"/>
        <w:gridCol w:w="1914"/>
        <w:gridCol w:w="1914"/>
        <w:gridCol w:w="1914"/>
      </w:tblGrid>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83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8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7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0" w:hRule="exact"/>
        </w:trPr>
        <w:tc>
          <w:tcPr>
            <w:tcW w:w="189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25" w:type="dxa"/>
            <w:vMerge w:val="restart"/>
            <w:tcBorders>
              <w:top w:val="single" w:sz="4" w:space="0" w:color="000000"/>
              <w:left w:val="single" w:sz="9" w:space="0" w:color="D3D3D3"/>
              <w:right w:val="single" w:sz="4" w:space="0" w:color="000000"/>
            </w:tcBorders>
            <w:shd w:val="clear" w:color="auto" w:fill="E1FFFF"/>
          </w:tcPr>
          <w:p>
            <w:pPr>
              <w:pStyle w:val="TableParagraph"/>
              <w:spacing w:line="319" w:lineRule="auto" w:before="51"/>
              <w:ind w:left="776" w:right="50" w:hanging="720"/>
              <w:jc w:val="left"/>
              <w:rPr>
                <w:rFonts w:ascii="宋体" w:hAnsi="宋体" w:cs="宋体" w:eastAsia="宋体" w:hint="default"/>
                <w:sz w:val="18"/>
                <w:szCs w:val="18"/>
              </w:rPr>
            </w:pPr>
            <w:r>
              <w:rPr>
                <w:rFonts w:ascii="宋体" w:hAnsi="宋体" w:cs="宋体" w:eastAsia="宋体" w:hint="default"/>
                <w:sz w:val="18"/>
                <w:szCs w:val="18"/>
              </w:rPr>
              <w:t>福建亿榕信息技术有限 公司</w:t>
            </w:r>
          </w:p>
        </w:tc>
        <w:tc>
          <w:tcPr>
            <w:tcW w:w="1914" w:type="dxa"/>
            <w:vMerge w:val="restart"/>
            <w:tcBorders>
              <w:top w:val="single" w:sz="4" w:space="0" w:color="000000"/>
              <w:left w:val="single" w:sz="4" w:space="0" w:color="000000"/>
              <w:right w:val="single" w:sz="4" w:space="0" w:color="000000"/>
            </w:tcBorders>
            <w:shd w:val="clear" w:color="auto" w:fill="E1FFFF"/>
          </w:tcPr>
          <w:p>
            <w:pPr>
              <w:pStyle w:val="TableParagraph"/>
              <w:spacing w:line="319" w:lineRule="auto" w:before="51"/>
              <w:ind w:left="771" w:right="50" w:hanging="720"/>
              <w:jc w:val="left"/>
              <w:rPr>
                <w:rFonts w:ascii="宋体" w:hAnsi="宋体" w:cs="宋体" w:eastAsia="宋体" w:hint="default"/>
                <w:sz w:val="18"/>
                <w:szCs w:val="18"/>
              </w:rPr>
            </w:pPr>
            <w:r>
              <w:rPr>
                <w:rFonts w:ascii="宋体" w:hAnsi="宋体" w:cs="宋体" w:eastAsia="宋体" w:hint="default"/>
                <w:sz w:val="18"/>
                <w:szCs w:val="18"/>
              </w:rPr>
              <w:t>福建文鑫莲业股份有限 公司</w:t>
            </w:r>
          </w:p>
        </w:tc>
        <w:tc>
          <w:tcPr>
            <w:tcW w:w="1914" w:type="dxa"/>
            <w:vMerge w:val="restart"/>
            <w:tcBorders>
              <w:top w:val="single" w:sz="4" w:space="0" w:color="000000"/>
              <w:left w:val="single" w:sz="4" w:space="0" w:color="000000"/>
              <w:right w:val="single" w:sz="4" w:space="0" w:color="000000"/>
            </w:tcBorders>
            <w:shd w:val="clear" w:color="auto" w:fill="E1FFFF"/>
          </w:tcPr>
          <w:p>
            <w:pPr>
              <w:pStyle w:val="TableParagraph"/>
              <w:spacing w:line="319" w:lineRule="auto" w:before="51"/>
              <w:ind w:left="771" w:right="50" w:hanging="720"/>
              <w:jc w:val="left"/>
              <w:rPr>
                <w:rFonts w:ascii="宋体" w:hAnsi="宋体" w:cs="宋体" w:eastAsia="宋体" w:hint="default"/>
                <w:sz w:val="18"/>
                <w:szCs w:val="18"/>
              </w:rPr>
            </w:pPr>
            <w:r>
              <w:rPr>
                <w:rFonts w:ascii="宋体" w:hAnsi="宋体" w:cs="宋体" w:eastAsia="宋体" w:hint="default"/>
                <w:sz w:val="18"/>
                <w:szCs w:val="18"/>
              </w:rPr>
              <w:t>福建亿榕信息技术有限 公司</w:t>
            </w:r>
          </w:p>
        </w:tc>
        <w:tc>
          <w:tcPr>
            <w:tcW w:w="1914" w:type="dxa"/>
            <w:vMerge w:val="restart"/>
            <w:tcBorders>
              <w:top w:val="single" w:sz="4" w:space="0" w:color="000000"/>
              <w:left w:val="single" w:sz="4" w:space="0" w:color="000000"/>
              <w:right w:val="single" w:sz="4" w:space="0" w:color="000000"/>
            </w:tcBorders>
            <w:shd w:val="clear" w:color="auto" w:fill="E1FFFF"/>
          </w:tcPr>
          <w:p>
            <w:pPr>
              <w:pStyle w:val="TableParagraph"/>
              <w:spacing w:line="319" w:lineRule="auto" w:before="51"/>
              <w:ind w:left="771" w:right="50" w:hanging="720"/>
              <w:jc w:val="left"/>
              <w:rPr>
                <w:rFonts w:ascii="宋体" w:hAnsi="宋体" w:cs="宋体" w:eastAsia="宋体" w:hint="default"/>
                <w:sz w:val="18"/>
                <w:szCs w:val="18"/>
              </w:rPr>
            </w:pPr>
            <w:r>
              <w:rPr>
                <w:rFonts w:ascii="宋体" w:hAnsi="宋体" w:cs="宋体" w:eastAsia="宋体" w:hint="default"/>
                <w:sz w:val="18"/>
                <w:szCs w:val="18"/>
              </w:rPr>
              <w:t>福建文鑫莲业股份有限 公司</w:t>
            </w:r>
          </w:p>
        </w:tc>
      </w:tr>
      <w:tr>
        <w:trPr>
          <w:trHeight w:val="393" w:hRule="exact"/>
        </w:trPr>
        <w:tc>
          <w:tcPr>
            <w:tcW w:w="1891" w:type="dxa"/>
            <w:tcBorders>
              <w:top w:val="nil" w:sz="6" w:space="0" w:color="auto"/>
              <w:left w:val="single" w:sz="4" w:space="0" w:color="000000"/>
              <w:bottom w:val="nil" w:sz="6" w:space="0" w:color="auto"/>
              <w:right w:val="single" w:sz="4" w:space="0" w:color="000000"/>
            </w:tcBorders>
            <w:shd w:val="clear" w:color="auto" w:fill="D3D3D3"/>
          </w:tcPr>
          <w:p>
            <w:pPr/>
          </w:p>
        </w:tc>
        <w:tc>
          <w:tcPr>
            <w:tcW w:w="1925" w:type="dxa"/>
            <w:vMerge/>
            <w:tcBorders>
              <w:left w:val="single" w:sz="9" w:space="0" w:color="D3D3D3"/>
              <w:right w:val="single" w:sz="4" w:space="0" w:color="000000"/>
            </w:tcBorders>
            <w:shd w:val="clear" w:color="auto" w:fill="E1FFFF"/>
          </w:tcPr>
          <w:p>
            <w:pPr/>
          </w:p>
        </w:tc>
        <w:tc>
          <w:tcPr>
            <w:tcW w:w="1914" w:type="dxa"/>
            <w:vMerge/>
            <w:tcBorders>
              <w:left w:val="single" w:sz="4" w:space="0" w:color="000000"/>
              <w:right w:val="single" w:sz="4" w:space="0" w:color="000000"/>
            </w:tcBorders>
            <w:shd w:val="clear" w:color="auto" w:fill="E1FFFF"/>
          </w:tcPr>
          <w:p>
            <w:pPr/>
          </w:p>
        </w:tc>
        <w:tc>
          <w:tcPr>
            <w:tcW w:w="1914" w:type="dxa"/>
            <w:vMerge/>
            <w:tcBorders>
              <w:left w:val="single" w:sz="4" w:space="0" w:color="000000"/>
              <w:right w:val="single" w:sz="4" w:space="0" w:color="000000"/>
            </w:tcBorders>
            <w:shd w:val="clear" w:color="auto" w:fill="E1FFFF"/>
          </w:tcPr>
          <w:p>
            <w:pPr/>
          </w:p>
        </w:tc>
        <w:tc>
          <w:tcPr>
            <w:tcW w:w="1914" w:type="dxa"/>
            <w:vMerge/>
            <w:tcBorders>
              <w:left w:val="single" w:sz="4" w:space="0" w:color="000000"/>
              <w:right w:val="single" w:sz="4" w:space="0" w:color="000000"/>
            </w:tcBorders>
            <w:shd w:val="clear" w:color="auto" w:fill="E1FFFF"/>
          </w:tcPr>
          <w:p>
            <w:pPr/>
          </w:p>
        </w:tc>
      </w:tr>
      <w:tr>
        <w:trPr>
          <w:trHeight w:val="160" w:hRule="exact"/>
        </w:trPr>
        <w:tc>
          <w:tcPr>
            <w:tcW w:w="189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25" w:type="dxa"/>
            <w:vMerge/>
            <w:tcBorders>
              <w:left w:val="single" w:sz="9" w:space="0" w:color="D3D3D3"/>
              <w:bottom w:val="single" w:sz="4" w:space="0" w:color="000000"/>
              <w:right w:val="single" w:sz="4" w:space="0" w:color="000000"/>
            </w:tcBorders>
            <w:shd w:val="clear" w:color="auto" w:fill="E1FFFF"/>
          </w:tcPr>
          <w:p>
            <w:pPr/>
          </w:p>
        </w:tc>
        <w:tc>
          <w:tcPr>
            <w:tcW w:w="1914" w:type="dxa"/>
            <w:vMerge/>
            <w:tcBorders>
              <w:left w:val="single" w:sz="4" w:space="0" w:color="000000"/>
              <w:bottom w:val="single" w:sz="4" w:space="0" w:color="000000"/>
              <w:right w:val="single" w:sz="4" w:space="0" w:color="000000"/>
            </w:tcBorders>
            <w:shd w:val="clear" w:color="auto" w:fill="E1FFFF"/>
          </w:tcPr>
          <w:p>
            <w:pPr/>
          </w:p>
        </w:tc>
        <w:tc>
          <w:tcPr>
            <w:tcW w:w="1914" w:type="dxa"/>
            <w:vMerge/>
            <w:tcBorders>
              <w:left w:val="single" w:sz="4" w:space="0" w:color="000000"/>
              <w:bottom w:val="single" w:sz="4" w:space="0" w:color="000000"/>
              <w:right w:val="single" w:sz="4" w:space="0" w:color="000000"/>
            </w:tcBorders>
            <w:shd w:val="clear" w:color="auto" w:fill="E1FFFF"/>
          </w:tcPr>
          <w:p>
            <w:pPr/>
          </w:p>
        </w:tc>
        <w:tc>
          <w:tcPr>
            <w:tcW w:w="1914" w:type="dxa"/>
            <w:vMerge/>
            <w:tcBorders>
              <w:left w:val="single" w:sz="4" w:space="0" w:color="000000"/>
              <w:bottom w:val="single" w:sz="4" w:space="0" w:color="000000"/>
              <w:right w:val="single" w:sz="4" w:space="0" w:color="000000"/>
            </w:tcBorders>
            <w:shd w:val="clear" w:color="auto" w:fill="E1FFFF"/>
          </w:tcPr>
          <w:p>
            <w:pP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387,013,286.55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145,073,392.10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492,153,447.43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179,467,194.17</w:t>
            </w: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78,401,099.91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68,989,429.79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96,935,240.59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61,701,329.56</w:t>
            </w: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465,414,386.46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214,062,821.89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589,088,688.02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241,168,523.73</w:t>
            </w: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271,068,751.44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52,069,116.90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443,281,262.38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78,420,177.49</w:t>
            </w: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25"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53,601,118.19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53,601,342.32</w:t>
            </w: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271,068,751.44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105,670,235.09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443,281,262.38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132,021,519.81</w:t>
            </w: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25" w:type="dxa"/>
            <w:tcBorders>
              <w:top w:val="single" w:sz="4" w:space="0" w:color="000000"/>
              <w:left w:val="single" w:sz="9" w:space="0" w:color="E1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194,345,635.02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108,392,586.80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145,807,425.64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109,147,003.92</w:t>
            </w: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194,345,635.02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106,297,657.16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145,807,425.64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106,877,051.12</w:t>
            </w:r>
          </w:p>
        </w:tc>
      </w:tr>
      <w:tr>
        <w:trPr>
          <w:trHeight w:val="714"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68"/>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79,098,673.45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13,372,245.27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59,343,622.24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13,730,693.09</w:t>
            </w: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对联营企业权益投资的</w:t>
            </w:r>
          </w:p>
        </w:tc>
        <w:tc>
          <w:tcPr>
            <w:tcW w:w="19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79,098,673.45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28,042,174.69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59,343,622.24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28,157,734.57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886"/>
        <w:gridCol w:w="1942"/>
        <w:gridCol w:w="1914"/>
        <w:gridCol w:w="1914"/>
        <w:gridCol w:w="1914"/>
      </w:tblGrid>
      <w:tr>
        <w:trPr>
          <w:trHeight w:val="362" w:hRule="exact"/>
        </w:trPr>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942"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4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565,737,816.01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72,123,157.10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261,099,551.59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134,344,780.89</w:t>
            </w:r>
          </w:p>
        </w:tc>
      </w:tr>
      <w:tr>
        <w:trPr>
          <w:trHeight w:val="402" w:hRule="exact"/>
        </w:trPr>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4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48,538,209.38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53,619.26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41,774,357.67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3,148,363.79</w:t>
            </w:r>
          </w:p>
        </w:tc>
      </w:tr>
      <w:tr>
        <w:trPr>
          <w:trHeight w:val="402" w:hRule="exact"/>
        </w:trPr>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4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48,538,209.38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53,619.26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41,774,357.67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3,148,363.79</w:t>
            </w:r>
          </w:p>
        </w:tc>
      </w:tr>
      <w:tr>
        <w:trPr>
          <w:trHeight w:val="714" w:hRule="exact"/>
        </w:trPr>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本年度收到的来自联营 企业的股利</w:t>
            </w:r>
          </w:p>
        </w:tc>
        <w:tc>
          <w:tcPr>
            <w:tcW w:w="1942"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17,105,000.00</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25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96"/>
        <w:gridCol w:w="3059"/>
        <w:gridCol w:w="3191"/>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0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68"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7,544,839.63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7,157,391.35</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1,562,314.05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-120,128.29</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pacing w:val="-1"/>
                <w:sz w:val="18"/>
              </w:rPr>
              <w:t>1,562,314.05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-120,128.29</w:t>
            </w:r>
          </w:p>
        </w:tc>
      </w:tr>
    </w:tbl>
    <w:p>
      <w:pPr>
        <w:pStyle w:val="BodyText"/>
        <w:spacing w:line="240" w:lineRule="auto" w:before="51"/>
        <w:ind w:right="125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8"/>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2"/>
        <w:gridCol w:w="2392"/>
        <w:gridCol w:w="2394"/>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50" w:right="20"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1"/>
        <w:ind w:right="125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258"/>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8"/>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7"/>
        <w:gridCol w:w="1594"/>
        <w:gridCol w:w="1595"/>
        <w:gridCol w:w="1594"/>
        <w:gridCol w:w="1594"/>
        <w:gridCol w:w="1594"/>
      </w:tblGrid>
      <w:tr>
        <w:trPr>
          <w:trHeight w:val="402" w:hRule="exact"/>
        </w:trPr>
        <w:tc>
          <w:tcPr>
            <w:tcW w:w="15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7"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5"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240" w:lineRule="auto" w:before="51"/>
        <w:ind w:right="1258"/>
        <w:jc w:val="left"/>
      </w:pPr>
      <w:r>
        <w:rPr/>
        <w:t>在共同经营中的持股比例或享有的份额不同于表决权比例的说明：</w:t>
      </w:r>
    </w:p>
    <w:p>
      <w:pPr>
        <w:spacing w:after="0" w:line="240" w:lineRule="auto"/>
        <w:jc w:val="left"/>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pStyle w:val="BodyText"/>
        <w:spacing w:line="357" w:lineRule="auto" w:before="44"/>
        <w:ind w:left="153" w:right="5951"/>
        <w:jc w:val="left"/>
      </w:pPr>
      <w:r>
        <w:rPr/>
        <w:t>共同经营为单独主体的，分类为共同经营的依据： 其他说明</w:t>
      </w:r>
    </w:p>
    <w:p>
      <w:pPr>
        <w:spacing w:line="240" w:lineRule="auto" w:before="1"/>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未纳入合并财务报表范围的结构化主体的相关说明：</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both"/>
        <w:rPr>
          <w:b w:val="0"/>
          <w:bCs w:val="0"/>
        </w:rPr>
      </w:pPr>
      <w:r>
        <w:rPr/>
        <w:t>十、与金融工具相关的风险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91" w:firstLine="360"/>
        <w:jc w:val="left"/>
      </w:pPr>
      <w:r>
        <w:rPr>
          <w:spacing w:val="-2"/>
        </w:rPr>
        <w:t>本集团的主要金融工具包括货币资金、应收账款、应收票据、应收利息、应收股利、其他应收款、其他流动资产、可供</w:t>
      </w:r>
      <w:r>
        <w:rPr/>
        <w:t> 出售金融资产、应付账款、应付利息、应付票据、其他应付款、短期借款。各项金融工具的详细情况已于相关附注内披露。</w:t>
      </w:r>
      <w:r>
        <w:rPr>
          <w:spacing w:val="-84"/>
        </w:rPr>
        <w:t> </w:t>
      </w:r>
      <w:r>
        <w:rPr>
          <w:spacing w:val="-84"/>
        </w:rPr>
      </w:r>
      <w:r>
        <w:rPr>
          <w:spacing w:val="-2"/>
        </w:rPr>
        <w:t>与这些金融工具有关的风险，以及本集团为降低这些风险所采取的风险管理政策如下所述。本集团管理层对这些风险敞口进</w:t>
      </w:r>
      <w:r>
        <w:rPr>
          <w:spacing w:val="-64"/>
        </w:rPr>
        <w:t> </w:t>
      </w:r>
      <w:r>
        <w:rPr>
          <w:spacing w:val="-64"/>
        </w:rPr>
      </w:r>
      <w:r>
        <w:rPr/>
        <w:t>行管理和监控以确保将上述风险控制在限定的范围之内。</w:t>
      </w:r>
    </w:p>
    <w:p>
      <w:pPr>
        <w:pStyle w:val="BodyText"/>
        <w:spacing w:line="316" w:lineRule="auto" w:before="19"/>
        <w:ind w:left="513" w:right="93"/>
        <w:jc w:val="left"/>
      </w:pPr>
      <w:r>
        <w:rPr/>
        <w:t>1、风险管理目标和政策 </w:t>
      </w:r>
      <w:r>
        <w:rPr>
          <w:spacing w:val="-2"/>
        </w:rPr>
        <w:t>本集团从事风险管理的目标是在风险和收益之间取得适当的平衡，力求降低金融风险对本集团财务业绩的不利影响。基</w:t>
      </w:r>
    </w:p>
    <w:p>
      <w:pPr>
        <w:pStyle w:val="BodyText"/>
        <w:spacing w:line="316" w:lineRule="auto" w:before="19"/>
        <w:ind w:left="153" w:right="290"/>
        <w:jc w:val="both"/>
      </w:pPr>
      <w:r>
        <w:rPr>
          <w:spacing w:val="-2"/>
        </w:rPr>
        <w:t>于该风险管理目标，本集团已制定风险管理政策以辨别和分析本集团所面临的风险，设定适当的风险可接受水平并设计相应</w:t>
      </w:r>
      <w:r>
        <w:rPr>
          <w:spacing w:val="-64"/>
        </w:rPr>
        <w:t> </w:t>
      </w:r>
      <w:r>
        <w:rPr>
          <w:spacing w:val="-64"/>
        </w:rPr>
      </w:r>
      <w:r>
        <w:rPr>
          <w:spacing w:val="-2"/>
        </w:rPr>
        <w:t>的内部控制程序，以监控本集团的风险水平。本集团会定期审阅这些风险管理政策及有关内部控制系统，以适应市场情况或</w:t>
      </w:r>
      <w:r>
        <w:rPr>
          <w:spacing w:val="-66"/>
        </w:rPr>
        <w:t> </w:t>
      </w:r>
      <w:r>
        <w:rPr>
          <w:spacing w:val="-66"/>
        </w:rPr>
      </w:r>
      <w:r>
        <w:rPr/>
        <w:t>本集团经营活动的改变。本集团的内部审计部门也定期或随机检查内部控制系统的执行是否符合风险管理政策。</w:t>
      </w:r>
    </w:p>
    <w:p>
      <w:pPr>
        <w:pStyle w:val="BodyText"/>
        <w:spacing w:line="316" w:lineRule="auto" w:before="19"/>
        <w:ind w:left="513" w:right="93"/>
        <w:jc w:val="left"/>
      </w:pPr>
      <w:r>
        <w:rPr/>
        <w:t>本集团的金融工具导致的主要风险是信用风险、流动性风险、市场风险（包括利率风险和汇率风险）。 </w:t>
      </w:r>
      <w:r>
        <w:rPr>
          <w:spacing w:val="-2"/>
        </w:rPr>
        <w:t>董事会负责规划并建立本集团的风险管理架构，指定本集团的风险管理政策和相关指引并监督风险管理措施的执行情况。</w:t>
      </w:r>
    </w:p>
    <w:p>
      <w:pPr>
        <w:pStyle w:val="BodyText"/>
        <w:spacing w:line="316" w:lineRule="auto" w:before="19"/>
        <w:ind w:left="153" w:right="290"/>
        <w:jc w:val="both"/>
      </w:pPr>
      <w:r>
        <w:rPr>
          <w:spacing w:val="-2"/>
        </w:rPr>
        <w:t>本集团已制定风险管理政策以识别和分析本集团所面临的风险，这些风险管理政策对特定风险进行了明确规定，涵盖了信用</w:t>
      </w:r>
      <w:r>
        <w:rPr>
          <w:spacing w:val="-64"/>
        </w:rPr>
        <w:t> </w:t>
      </w:r>
      <w:r>
        <w:rPr>
          <w:spacing w:val="-64"/>
        </w:rPr>
      </w:r>
      <w:r>
        <w:rPr>
          <w:spacing w:val="-2"/>
        </w:rPr>
        <w:t>风险、流动性风险和市场风险管理等诸多方面。本集团定期评估市场环境及本集团经营活动的变化以决定是否对风险管理政</w:t>
      </w:r>
      <w:r>
        <w:rPr>
          <w:spacing w:val="-64"/>
        </w:rPr>
        <w:t> </w:t>
      </w:r>
      <w:r>
        <w:rPr>
          <w:spacing w:val="-64"/>
        </w:rPr>
      </w:r>
      <w:r>
        <w:rPr>
          <w:spacing w:val="-2"/>
        </w:rPr>
        <w:t>策及系统进行更新。本集团的风险管理由风险管理委员会按照董事会批准的政策开展。风险管理委员会通过与本集团其他业</w:t>
      </w:r>
      <w:r>
        <w:rPr>
          <w:spacing w:val="-64"/>
        </w:rPr>
        <w:t> </w:t>
      </w:r>
      <w:r>
        <w:rPr>
          <w:spacing w:val="-64"/>
        </w:rPr>
      </w:r>
      <w:r>
        <w:rPr>
          <w:spacing w:val="-2"/>
        </w:rPr>
        <w:t>务部门的紧密合作来识别、评价和规避相关风险。本集团内部审计部门就风险管理控制及程序进行定期的审核，并将审核结</w:t>
      </w:r>
      <w:r>
        <w:rPr>
          <w:spacing w:val="-66"/>
        </w:rPr>
        <w:t> </w:t>
      </w:r>
      <w:r>
        <w:rPr>
          <w:spacing w:val="-66"/>
        </w:rPr>
      </w:r>
      <w:r>
        <w:rPr/>
        <w:t>果上报本集团的审计委员会。</w:t>
      </w:r>
    </w:p>
    <w:p>
      <w:pPr>
        <w:pStyle w:val="BodyText"/>
        <w:spacing w:line="316" w:lineRule="auto" w:before="19"/>
        <w:ind w:left="153" w:right="93" w:firstLine="360"/>
        <w:jc w:val="left"/>
      </w:pPr>
      <w:r>
        <w:rPr>
          <w:spacing w:val="-2"/>
        </w:rPr>
        <w:t>本集团通过适当的多样化投资及业务组合来分散金融工具风险，并通过制定相应的风险管理政策减少集中于任何单一行</w:t>
      </w:r>
      <w:r>
        <w:rPr/>
        <w:t> 业、特定地区或特定交易对手方的风险。</w:t>
      </w:r>
    </w:p>
    <w:p>
      <w:pPr>
        <w:pStyle w:val="BodyText"/>
        <w:spacing w:line="316" w:lineRule="auto" w:before="19"/>
        <w:ind w:left="513" w:right="2711"/>
        <w:jc w:val="left"/>
      </w:pPr>
      <w:r>
        <w:rPr/>
        <w:t>（1）信用风险 信用风险，是指交易对手方未能履行合同义务而导致本集团产生财务损失的风险。 本集团对信用风险按组合分类进行管理。信用风险主要产生于银行存款和应收款项等。</w:t>
      </w:r>
    </w:p>
    <w:p>
      <w:pPr>
        <w:pStyle w:val="BodyText"/>
        <w:spacing w:line="316" w:lineRule="auto" w:before="19"/>
        <w:ind w:left="513" w:right="93"/>
        <w:jc w:val="left"/>
      </w:pPr>
      <w:r>
        <w:rPr/>
        <w:t>本集团银行存款主要存放于国有银行和其它大中型上市银行，本集团预期银行存款不存在重大的信用风险。 </w:t>
      </w:r>
      <w:r>
        <w:rPr>
          <w:spacing w:val="-2"/>
        </w:rPr>
        <w:t>对于应收款项，本集团设定相关政策以控制信用风险敞口。本集团基于对债务人的财务状况、外部评级、从第三方获取</w:t>
      </w:r>
    </w:p>
    <w:p>
      <w:pPr>
        <w:pStyle w:val="BodyText"/>
        <w:spacing w:line="316" w:lineRule="auto" w:before="19"/>
        <w:ind w:left="153" w:right="289"/>
        <w:jc w:val="both"/>
      </w:pPr>
      <w:r>
        <w:rPr>
          <w:spacing w:val="-2"/>
        </w:rPr>
        <w:t>担保的可能性、信用记录及其它因素诸如目前市场状况等评估债务人的信用资质并设置相应欠款额度与信用期限。本集团已</w:t>
      </w:r>
      <w:r>
        <w:rPr>
          <w:spacing w:val="-64"/>
        </w:rPr>
        <w:t> </w:t>
      </w:r>
      <w:r>
        <w:rPr>
          <w:spacing w:val="-64"/>
        </w:rPr>
      </w:r>
      <w:r>
        <w:rPr>
          <w:spacing w:val="-2"/>
        </w:rPr>
        <w:t>采取政策只与信用良好的交易对手方合作并在有必要时获取足够的抵押品，以此缓解因交易对手方未能履行合同义务而产生</w:t>
      </w:r>
      <w:r>
        <w:rPr>
          <w:spacing w:val="-64"/>
        </w:rPr>
        <w:t> </w:t>
      </w:r>
      <w:r>
        <w:rPr>
          <w:spacing w:val="-64"/>
        </w:rPr>
      </w:r>
      <w:r>
        <w:rPr>
          <w:spacing w:val="-2"/>
        </w:rPr>
        <w:t>财务损失的风险。本集团会定期对债务人信用记录进行监控，对于信用记录不良的债务人，本集团会采用书面催款、缩短信</w:t>
      </w:r>
      <w:r>
        <w:rPr>
          <w:spacing w:val="-66"/>
        </w:rPr>
        <w:t> </w:t>
      </w:r>
      <w:r>
        <w:rPr>
          <w:spacing w:val="-66"/>
        </w:rPr>
      </w:r>
      <w:r>
        <w:rPr/>
        <w:t>用期或取消信用期等方式，以确保本集团的整体信用风险在可控的范围内。</w:t>
      </w:r>
    </w:p>
    <w:p>
      <w:pPr>
        <w:pStyle w:val="BodyText"/>
        <w:spacing w:line="316" w:lineRule="auto" w:before="17"/>
        <w:ind w:left="153" w:right="93" w:firstLine="360"/>
        <w:jc w:val="left"/>
      </w:pPr>
      <w:r>
        <w:rPr>
          <w:spacing w:val="-2"/>
        </w:rPr>
        <w:t>本集团应收账款的债务人为分布于不同行业和地区的客户。本集团持续对应收账款的财务状况实施信用评估，并在适当</w:t>
      </w:r>
      <w:r>
        <w:rPr/>
        <w:t> 时购买信用担保保险。</w:t>
      </w:r>
    </w:p>
    <w:p>
      <w:pPr>
        <w:pStyle w:val="BodyText"/>
        <w:spacing w:line="316" w:lineRule="auto" w:before="19"/>
        <w:ind w:left="153" w:right="93" w:firstLine="360"/>
        <w:jc w:val="left"/>
      </w:pPr>
      <w:r>
        <w:rPr>
          <w:spacing w:val="-2"/>
        </w:rPr>
        <w:t>本集团所承受的最大信用风险敞口为资产负债表中每项金融资产的账面金额。本集团没有提供任何其他可能令本集团承</w:t>
      </w:r>
      <w:r>
        <w:rPr/>
        <w:t> 受信用风险的担保。</w:t>
      </w:r>
    </w:p>
    <w:p>
      <w:pPr>
        <w:pStyle w:val="BodyText"/>
        <w:spacing w:line="316" w:lineRule="auto" w:before="19"/>
        <w:ind w:left="153" w:right="93" w:firstLine="360"/>
        <w:jc w:val="left"/>
      </w:pPr>
      <w:r>
        <w:rPr>
          <w:spacing w:val="-2"/>
        </w:rPr>
        <w:t>本集团应收账款中，欠款金额前五大客户的应收账款占本集团应收账款总额的24.39%（2016年：27.11%）；本集团其他</w:t>
      </w:r>
      <w:r>
        <w:rPr/>
        <w:t> 应收款中，欠款金额前五大公司的其他应收款占本集团其他应收款总额的21.34%（2016年：22.81%）。</w:t>
      </w:r>
    </w:p>
    <w:p>
      <w:pPr>
        <w:spacing w:after="0" w:line="316" w:lineRule="auto"/>
        <w:jc w:val="left"/>
        <w:sectPr>
          <w:pgSz w:w="11910" w:h="16840"/>
          <w:pgMar w:header="877" w:footer="982" w:top="1100" w:bottom="1180" w:left="980" w:right="840"/>
        </w:sectPr>
      </w:pPr>
    </w:p>
    <w:p>
      <w:pPr>
        <w:spacing w:line="240" w:lineRule="auto" w:before="12"/>
        <w:rPr>
          <w:rFonts w:ascii="宋体" w:hAnsi="宋体" w:cs="宋体" w:eastAsia="宋体" w:hint="default"/>
          <w:sz w:val="21"/>
          <w:szCs w:val="21"/>
        </w:rPr>
      </w:pPr>
    </w:p>
    <w:p>
      <w:pPr>
        <w:pStyle w:val="BodyText"/>
        <w:spacing w:line="316" w:lineRule="auto" w:before="44"/>
        <w:ind w:left="513" w:right="137"/>
        <w:jc w:val="left"/>
      </w:pPr>
      <w:r>
        <w:rPr/>
        <w:t>（2）流动性风险 流动性风险，是指本集团在履行以交付现金或其他金融资产的方式结算的义务时发生资金短缺的风险。 </w:t>
      </w:r>
      <w:r>
        <w:rPr>
          <w:spacing w:val="-2"/>
        </w:rPr>
        <w:t>管理流动风险时，本集团保持管理层认为充分的现金及现金等价物并对其进行监控，以满足本集团经营需要，并降低现</w:t>
      </w:r>
    </w:p>
    <w:p>
      <w:pPr>
        <w:pStyle w:val="BodyText"/>
        <w:spacing w:line="316" w:lineRule="auto" w:before="19"/>
        <w:ind w:left="153" w:right="0"/>
        <w:jc w:val="left"/>
      </w:pPr>
      <w:r>
        <w:rPr>
          <w:spacing w:val="-2"/>
        </w:rPr>
        <w:t>金流量波动的影响。本集团管理层对银行借款的使用情况进行监控并确保遵守借款协议。同时从主要金融机构获得提供足够</w:t>
      </w:r>
      <w:r>
        <w:rPr>
          <w:spacing w:val="-64"/>
        </w:rPr>
        <w:t> </w:t>
      </w:r>
      <w:r>
        <w:rPr>
          <w:spacing w:val="-64"/>
        </w:rPr>
      </w:r>
      <w:r>
        <w:rPr/>
        <w:t>备用资金的承诺，以满足短期和长期的资金需求。</w:t>
      </w:r>
    </w:p>
    <w:p>
      <w:pPr>
        <w:pStyle w:val="BodyText"/>
        <w:spacing w:line="316" w:lineRule="auto" w:before="19"/>
        <w:ind w:left="153" w:right="0" w:firstLine="360"/>
        <w:jc w:val="left"/>
      </w:pPr>
      <w:r>
        <w:rPr>
          <w:spacing w:val="-2"/>
        </w:rPr>
        <w:t>本集团通过经营业务产生的资金及银行及其他借款来筹措营运资金。于2017年12月31日，本集团尚未使用的银行借款额</w:t>
      </w:r>
      <w:r>
        <w:rPr/>
        <w:t> 度为人民币165,000.00万元（2016年12月31日：人民币157,600.00万元）。</w:t>
      </w:r>
    </w:p>
    <w:p>
      <w:pPr>
        <w:pStyle w:val="BodyText"/>
        <w:spacing w:line="240" w:lineRule="auto" w:before="19"/>
        <w:ind w:left="513" w:right="1258"/>
        <w:jc w:val="left"/>
      </w:pPr>
      <w:r>
        <w:rPr/>
        <w:t>期末本集团持有的金融负债和表外担保项目按未折现剩余合同现金流量的到期期限分析如下：</w:t>
      </w:r>
    </w:p>
    <w:p>
      <w:pPr>
        <w:pStyle w:val="BodyText"/>
        <w:spacing w:line="240" w:lineRule="auto" w:before="76"/>
        <w:ind w:left="0" w:right="518"/>
        <w:jc w:val="right"/>
      </w:pPr>
      <w:r>
        <w:rPr/>
        <w:t>（ 单位：万元）</w:t>
      </w:r>
    </w:p>
    <w:p>
      <w:pPr>
        <w:spacing w:line="240" w:lineRule="auto" w:before="6"/>
        <w:rPr>
          <w:rFonts w:ascii="宋体" w:hAnsi="宋体" w:cs="宋体" w:eastAsia="宋体" w:hint="default"/>
          <w:sz w:val="5"/>
          <w:szCs w:val="5"/>
        </w:rPr>
      </w:pPr>
    </w:p>
    <w:tbl>
      <w:tblPr>
        <w:tblW w:w="0" w:type="auto"/>
        <w:jc w:val="left"/>
        <w:tblInd w:w="144" w:type="dxa"/>
        <w:tblLayout w:type="fixed"/>
        <w:tblCellMar>
          <w:top w:w="0" w:type="dxa"/>
          <w:left w:w="0" w:type="dxa"/>
          <w:bottom w:w="0" w:type="dxa"/>
          <w:right w:w="0" w:type="dxa"/>
        </w:tblCellMar>
        <w:tblLook w:val="01E0"/>
      </w:tblPr>
      <w:tblGrid>
        <w:gridCol w:w="3684"/>
        <w:gridCol w:w="1399"/>
        <w:gridCol w:w="1400"/>
        <w:gridCol w:w="1399"/>
        <w:gridCol w:w="1398"/>
      </w:tblGrid>
      <w:tr>
        <w:trPr>
          <w:trHeight w:val="346" w:hRule="exact"/>
        </w:trPr>
        <w:tc>
          <w:tcPr>
            <w:tcW w:w="3684" w:type="dxa"/>
            <w:vMerge w:val="restart"/>
            <w:tcBorders>
              <w:top w:val="single" w:sz="8" w:space="0" w:color="000000"/>
              <w:left w:val="single" w:sz="8" w:space="0" w:color="000000"/>
              <w:right w:val="single" w:sz="8" w:space="0" w:color="000000"/>
            </w:tcBorders>
            <w:shd w:val="clear" w:color="auto" w:fill="C0C0C0"/>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5597" w:type="dxa"/>
            <w:gridSpan w:val="4"/>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58" w:hRule="exact"/>
        </w:trPr>
        <w:tc>
          <w:tcPr>
            <w:tcW w:w="3684" w:type="dxa"/>
            <w:vMerge/>
            <w:tcBorders>
              <w:left w:val="single" w:sz="8" w:space="0" w:color="000000"/>
              <w:bottom w:val="single" w:sz="8" w:space="0" w:color="000000"/>
              <w:right w:val="single" w:sz="8" w:space="0" w:color="000000"/>
            </w:tcBorders>
            <w:shd w:val="clear" w:color="auto" w:fill="C0C0C0"/>
          </w:tcPr>
          <w:p>
            <w:pPr/>
          </w:p>
        </w:tc>
        <w:tc>
          <w:tcPr>
            <w:tcW w:w="139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1"/>
              <w:ind w:left="32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40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1"/>
              <w:ind w:left="60" w:right="0"/>
              <w:jc w:val="left"/>
              <w:rPr>
                <w:rFonts w:ascii="宋体" w:hAnsi="宋体" w:cs="宋体" w:eastAsia="宋体" w:hint="default"/>
                <w:sz w:val="18"/>
                <w:szCs w:val="18"/>
              </w:rPr>
            </w:pPr>
            <w:r>
              <w:rPr>
                <w:rFonts w:ascii="宋体" w:hAnsi="宋体" w:cs="宋体" w:eastAsia="宋体" w:hint="default"/>
                <w:sz w:val="18"/>
                <w:szCs w:val="18"/>
              </w:rPr>
              <w:t>一年至五年以内</w:t>
            </w:r>
          </w:p>
        </w:tc>
        <w:tc>
          <w:tcPr>
            <w:tcW w:w="139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1"/>
              <w:ind w:left="329"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398"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1"/>
              <w:ind w:left="436"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r>
      <w:tr>
        <w:trPr>
          <w:trHeight w:val="347" w:hRule="exact"/>
        </w:trPr>
        <w:tc>
          <w:tcPr>
            <w:tcW w:w="368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399" w:type="dxa"/>
            <w:tcBorders>
              <w:top w:val="single" w:sz="12" w:space="0" w:color="000000"/>
              <w:left w:val="single" w:sz="8" w:space="0" w:color="000000"/>
              <w:bottom w:val="single" w:sz="8" w:space="0" w:color="000000"/>
              <w:right w:val="single" w:sz="8" w:space="0" w:color="000000"/>
            </w:tcBorders>
          </w:tcPr>
          <w:p>
            <w:pPr/>
          </w:p>
        </w:tc>
        <w:tc>
          <w:tcPr>
            <w:tcW w:w="1400" w:type="dxa"/>
            <w:tcBorders>
              <w:top w:val="single" w:sz="12" w:space="0" w:color="000000"/>
              <w:left w:val="single" w:sz="8" w:space="0" w:color="000000"/>
              <w:bottom w:val="single" w:sz="8" w:space="0" w:color="000000"/>
              <w:right w:val="single" w:sz="8" w:space="0" w:color="000000"/>
            </w:tcBorders>
          </w:tcPr>
          <w:p>
            <w:pPr/>
          </w:p>
        </w:tc>
        <w:tc>
          <w:tcPr>
            <w:tcW w:w="1399" w:type="dxa"/>
            <w:tcBorders>
              <w:top w:val="single" w:sz="12" w:space="0" w:color="000000"/>
              <w:left w:val="single" w:sz="8" w:space="0" w:color="000000"/>
              <w:bottom w:val="single" w:sz="8" w:space="0" w:color="000000"/>
              <w:right w:val="single" w:sz="8" w:space="0" w:color="000000"/>
            </w:tcBorders>
          </w:tcPr>
          <w:p>
            <w:pPr/>
          </w:p>
        </w:tc>
        <w:tc>
          <w:tcPr>
            <w:tcW w:w="1398" w:type="dxa"/>
            <w:tcBorders>
              <w:top w:val="single" w:sz="12" w:space="0" w:color="000000"/>
              <w:left w:val="single" w:sz="8" w:space="0" w:color="000000"/>
              <w:bottom w:val="single" w:sz="8" w:space="0" w:color="000000"/>
              <w:right w:val="single" w:sz="8" w:space="0" w:color="000000"/>
            </w:tcBorders>
          </w:tcPr>
          <w:p>
            <w:pPr/>
          </w:p>
        </w:tc>
      </w:tr>
      <w:tr>
        <w:trPr>
          <w:trHeight w:val="352" w:hRule="exact"/>
        </w:trPr>
        <w:tc>
          <w:tcPr>
            <w:tcW w:w="368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49,500.00</w:t>
            </w:r>
          </w:p>
        </w:tc>
        <w:tc>
          <w:tcPr>
            <w:tcW w:w="1400" w:type="dxa"/>
            <w:tcBorders>
              <w:top w:val="single" w:sz="8" w:space="0" w:color="000000"/>
              <w:left w:val="single" w:sz="8" w:space="0" w:color="000000"/>
              <w:bottom w:val="single" w:sz="8" w:space="0" w:color="000000"/>
              <w:right w:val="single" w:sz="8" w:space="0" w:color="000000"/>
            </w:tcBorders>
          </w:tcPr>
          <w:p>
            <w:pPr/>
          </w:p>
        </w:tc>
        <w:tc>
          <w:tcPr>
            <w:tcW w:w="1399" w:type="dxa"/>
            <w:tcBorders>
              <w:top w:val="single" w:sz="8" w:space="0" w:color="000000"/>
              <w:left w:val="single" w:sz="8" w:space="0" w:color="000000"/>
              <w:bottom w:val="single" w:sz="8" w:space="0" w:color="000000"/>
              <w:right w:val="single" w:sz="8" w:space="0" w:color="000000"/>
            </w:tcBorders>
          </w:tcPr>
          <w:p>
            <w:pPr/>
          </w:p>
        </w:tc>
        <w:tc>
          <w:tcPr>
            <w:tcW w:w="1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49,500.00</w:t>
            </w:r>
          </w:p>
        </w:tc>
      </w:tr>
      <w:tr>
        <w:trPr>
          <w:trHeight w:val="353" w:hRule="exact"/>
        </w:trPr>
        <w:tc>
          <w:tcPr>
            <w:tcW w:w="368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2,321.11</w:t>
            </w:r>
            <w:r>
              <w:rPr>
                <w:rFonts w:ascii="Times New Roman"/>
                <w:sz w:val="21"/>
              </w:rPr>
            </w:r>
          </w:p>
        </w:tc>
        <w:tc>
          <w:tcPr>
            <w:tcW w:w="1400" w:type="dxa"/>
            <w:tcBorders>
              <w:top w:val="single" w:sz="8" w:space="0" w:color="000000"/>
              <w:left w:val="single" w:sz="8" w:space="0" w:color="000000"/>
              <w:bottom w:val="single" w:sz="8" w:space="0" w:color="000000"/>
              <w:right w:val="single" w:sz="8" w:space="0" w:color="000000"/>
            </w:tcBorders>
          </w:tcPr>
          <w:p>
            <w:pPr/>
          </w:p>
        </w:tc>
        <w:tc>
          <w:tcPr>
            <w:tcW w:w="1399" w:type="dxa"/>
            <w:tcBorders>
              <w:top w:val="single" w:sz="8" w:space="0" w:color="000000"/>
              <w:left w:val="single" w:sz="8" w:space="0" w:color="000000"/>
              <w:bottom w:val="single" w:sz="8" w:space="0" w:color="000000"/>
              <w:right w:val="single" w:sz="8" w:space="0" w:color="000000"/>
            </w:tcBorders>
          </w:tcPr>
          <w:p>
            <w:pPr/>
          </w:p>
        </w:tc>
        <w:tc>
          <w:tcPr>
            <w:tcW w:w="1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2,321.11</w:t>
            </w:r>
            <w:r>
              <w:rPr>
                <w:rFonts w:ascii="Times New Roman"/>
                <w:sz w:val="21"/>
              </w:rPr>
            </w:r>
          </w:p>
        </w:tc>
      </w:tr>
      <w:tr>
        <w:trPr>
          <w:trHeight w:val="352" w:hRule="exact"/>
        </w:trPr>
        <w:tc>
          <w:tcPr>
            <w:tcW w:w="368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17,962.53</w:t>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9,352.44</w:t>
            </w:r>
          </w:p>
        </w:tc>
        <w:tc>
          <w:tcPr>
            <w:tcW w:w="1399" w:type="dxa"/>
            <w:tcBorders>
              <w:top w:val="single" w:sz="8" w:space="0" w:color="000000"/>
              <w:left w:val="single" w:sz="8" w:space="0" w:color="000000"/>
              <w:bottom w:val="single" w:sz="8" w:space="0" w:color="000000"/>
              <w:right w:val="single" w:sz="8" w:space="0" w:color="000000"/>
            </w:tcBorders>
          </w:tcPr>
          <w:p>
            <w:pPr/>
          </w:p>
        </w:tc>
        <w:tc>
          <w:tcPr>
            <w:tcW w:w="1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27,314.97</w:t>
            </w:r>
          </w:p>
        </w:tc>
      </w:tr>
      <w:tr>
        <w:trPr>
          <w:trHeight w:val="352" w:hRule="exact"/>
        </w:trPr>
        <w:tc>
          <w:tcPr>
            <w:tcW w:w="368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1,921.42</w:t>
            </w:r>
            <w:r>
              <w:rPr>
                <w:rFonts w:ascii="Times New Roman"/>
                <w:sz w:val="21"/>
              </w:rPr>
            </w:r>
          </w:p>
        </w:tc>
        <w:tc>
          <w:tcPr>
            <w:tcW w:w="1400" w:type="dxa"/>
            <w:tcBorders>
              <w:top w:val="single" w:sz="8" w:space="0" w:color="000000"/>
              <w:left w:val="single" w:sz="8" w:space="0" w:color="000000"/>
              <w:bottom w:val="single" w:sz="8" w:space="0" w:color="000000"/>
              <w:right w:val="single" w:sz="8" w:space="0" w:color="000000"/>
            </w:tcBorders>
          </w:tcPr>
          <w:p>
            <w:pPr/>
          </w:p>
        </w:tc>
        <w:tc>
          <w:tcPr>
            <w:tcW w:w="1399" w:type="dxa"/>
            <w:tcBorders>
              <w:top w:val="single" w:sz="8" w:space="0" w:color="000000"/>
              <w:left w:val="single" w:sz="8" w:space="0" w:color="000000"/>
              <w:bottom w:val="single" w:sz="8" w:space="0" w:color="000000"/>
              <w:right w:val="single" w:sz="8" w:space="0" w:color="000000"/>
            </w:tcBorders>
          </w:tcPr>
          <w:p>
            <w:pPr/>
          </w:p>
        </w:tc>
        <w:tc>
          <w:tcPr>
            <w:tcW w:w="1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1,921.42</w:t>
            </w:r>
            <w:r>
              <w:rPr>
                <w:rFonts w:ascii="Times New Roman"/>
                <w:sz w:val="21"/>
              </w:rPr>
            </w:r>
          </w:p>
        </w:tc>
      </w:tr>
      <w:tr>
        <w:trPr>
          <w:trHeight w:val="353" w:hRule="exact"/>
        </w:trPr>
        <w:tc>
          <w:tcPr>
            <w:tcW w:w="368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54.10</w:t>
            </w:r>
          </w:p>
        </w:tc>
        <w:tc>
          <w:tcPr>
            <w:tcW w:w="1400" w:type="dxa"/>
            <w:tcBorders>
              <w:top w:val="single" w:sz="8" w:space="0" w:color="000000"/>
              <w:left w:val="single" w:sz="8" w:space="0" w:color="000000"/>
              <w:bottom w:val="single" w:sz="8" w:space="0" w:color="000000"/>
              <w:right w:val="single" w:sz="8" w:space="0" w:color="000000"/>
            </w:tcBorders>
          </w:tcPr>
          <w:p>
            <w:pPr/>
          </w:p>
        </w:tc>
        <w:tc>
          <w:tcPr>
            <w:tcW w:w="1399" w:type="dxa"/>
            <w:tcBorders>
              <w:top w:val="single" w:sz="8" w:space="0" w:color="000000"/>
              <w:left w:val="single" w:sz="8" w:space="0" w:color="000000"/>
              <w:bottom w:val="single" w:sz="8" w:space="0" w:color="000000"/>
              <w:right w:val="single" w:sz="8" w:space="0" w:color="000000"/>
            </w:tcBorders>
          </w:tcPr>
          <w:p>
            <w:pPr/>
          </w:p>
        </w:tc>
        <w:tc>
          <w:tcPr>
            <w:tcW w:w="1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54.10</w:t>
            </w:r>
          </w:p>
        </w:tc>
      </w:tr>
      <w:tr>
        <w:trPr>
          <w:trHeight w:val="352" w:hRule="exact"/>
        </w:trPr>
        <w:tc>
          <w:tcPr>
            <w:tcW w:w="368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2,847.49</w:t>
            </w:r>
            <w:r>
              <w:rPr>
                <w:rFonts w:ascii="Times New Roman"/>
                <w:sz w:val="21"/>
              </w:rPr>
            </w:r>
          </w:p>
        </w:tc>
        <w:tc>
          <w:tcPr>
            <w:tcW w:w="1400" w:type="dxa"/>
            <w:tcBorders>
              <w:top w:val="single" w:sz="8" w:space="0" w:color="000000"/>
              <w:left w:val="single" w:sz="8" w:space="0" w:color="000000"/>
              <w:bottom w:val="single" w:sz="8" w:space="0" w:color="000000"/>
              <w:right w:val="single" w:sz="8" w:space="0" w:color="000000"/>
            </w:tcBorders>
          </w:tcPr>
          <w:p>
            <w:pPr/>
          </w:p>
        </w:tc>
        <w:tc>
          <w:tcPr>
            <w:tcW w:w="1399" w:type="dxa"/>
            <w:tcBorders>
              <w:top w:val="single" w:sz="8" w:space="0" w:color="000000"/>
              <w:left w:val="single" w:sz="8" w:space="0" w:color="000000"/>
              <w:bottom w:val="single" w:sz="8" w:space="0" w:color="000000"/>
              <w:right w:val="single" w:sz="8" w:space="0" w:color="000000"/>
            </w:tcBorders>
          </w:tcPr>
          <w:p>
            <w:pPr/>
          </w:p>
        </w:tc>
        <w:tc>
          <w:tcPr>
            <w:tcW w:w="1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2,847.49</w:t>
            </w:r>
            <w:r>
              <w:rPr>
                <w:rFonts w:ascii="Times New Roman"/>
                <w:sz w:val="21"/>
              </w:rPr>
            </w:r>
          </w:p>
        </w:tc>
      </w:tr>
      <w:tr>
        <w:trPr>
          <w:trHeight w:val="347" w:hRule="exact"/>
        </w:trPr>
        <w:tc>
          <w:tcPr>
            <w:tcW w:w="368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金融负债和或有负债合计</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74,606.65</w:t>
            </w:r>
          </w:p>
        </w:tc>
        <w:tc>
          <w:tcPr>
            <w:tcW w:w="14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9,352.44</w:t>
            </w:r>
          </w:p>
        </w:tc>
        <w:tc>
          <w:tcPr>
            <w:tcW w:w="1399" w:type="dxa"/>
            <w:tcBorders>
              <w:top w:val="single" w:sz="8" w:space="0" w:color="000000"/>
              <w:left w:val="single" w:sz="8" w:space="0" w:color="000000"/>
              <w:bottom w:val="single" w:sz="8" w:space="0" w:color="000000"/>
              <w:right w:val="single" w:sz="8" w:space="0" w:color="000000"/>
            </w:tcBorders>
          </w:tcPr>
          <w:p>
            <w:pPr/>
          </w:p>
        </w:tc>
        <w:tc>
          <w:tcPr>
            <w:tcW w:w="1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83,959.09</w:t>
            </w:r>
          </w:p>
        </w:tc>
      </w:tr>
    </w:tbl>
    <w:p>
      <w:pPr>
        <w:spacing w:line="240" w:lineRule="auto" w:before="9"/>
        <w:rPr>
          <w:rFonts w:ascii="宋体" w:hAnsi="宋体" w:cs="宋体" w:eastAsia="宋体" w:hint="default"/>
          <w:sz w:val="21"/>
          <w:szCs w:val="21"/>
        </w:rPr>
      </w:pPr>
    </w:p>
    <w:p>
      <w:pPr>
        <w:pStyle w:val="BodyText"/>
        <w:spacing w:line="240" w:lineRule="auto" w:before="44"/>
        <w:ind w:left="514" w:right="1258"/>
        <w:jc w:val="left"/>
      </w:pPr>
      <w:r>
        <w:rPr/>
        <w:t>期初本集团持有的金融负债和表外担保项目按未折现剩余合同现金流量的到期期限分析如下：</w:t>
      </w:r>
    </w:p>
    <w:p>
      <w:pPr>
        <w:pStyle w:val="BodyText"/>
        <w:spacing w:line="240" w:lineRule="auto" w:before="76"/>
        <w:ind w:left="0" w:right="421"/>
        <w:jc w:val="right"/>
      </w:pPr>
      <w:r>
        <w:rPr/>
        <w:t>（ 单位：万元）</w:t>
      </w:r>
    </w:p>
    <w:p>
      <w:pPr>
        <w:spacing w:line="240" w:lineRule="auto" w:before="6"/>
        <w:rPr>
          <w:rFonts w:ascii="宋体" w:hAnsi="宋体" w:cs="宋体" w:eastAsia="宋体" w:hint="default"/>
          <w:sz w:val="5"/>
          <w:szCs w:val="5"/>
        </w:rPr>
      </w:pPr>
    </w:p>
    <w:tbl>
      <w:tblPr>
        <w:tblW w:w="0" w:type="auto"/>
        <w:jc w:val="left"/>
        <w:tblInd w:w="144" w:type="dxa"/>
        <w:tblLayout w:type="fixed"/>
        <w:tblCellMar>
          <w:top w:w="0" w:type="dxa"/>
          <w:left w:w="0" w:type="dxa"/>
          <w:bottom w:w="0" w:type="dxa"/>
          <w:right w:w="0" w:type="dxa"/>
        </w:tblCellMar>
        <w:tblLook w:val="01E0"/>
      </w:tblPr>
      <w:tblGrid>
        <w:gridCol w:w="3684"/>
        <w:gridCol w:w="1399"/>
        <w:gridCol w:w="1580"/>
        <w:gridCol w:w="1219"/>
        <w:gridCol w:w="1398"/>
      </w:tblGrid>
      <w:tr>
        <w:trPr>
          <w:trHeight w:val="346" w:hRule="exact"/>
        </w:trPr>
        <w:tc>
          <w:tcPr>
            <w:tcW w:w="3684" w:type="dxa"/>
            <w:vMerge w:val="restart"/>
            <w:tcBorders>
              <w:top w:val="single" w:sz="8" w:space="0" w:color="000000"/>
              <w:left w:val="single" w:sz="8" w:space="0" w:color="000000"/>
              <w:right w:val="single" w:sz="8" w:space="0" w:color="000000"/>
            </w:tcBorders>
            <w:shd w:val="clear" w:color="auto" w:fill="C0C0C0"/>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5597" w:type="dxa"/>
            <w:gridSpan w:val="4"/>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8" w:hRule="exact"/>
        </w:trPr>
        <w:tc>
          <w:tcPr>
            <w:tcW w:w="3684" w:type="dxa"/>
            <w:vMerge/>
            <w:tcBorders>
              <w:left w:val="single" w:sz="8" w:space="0" w:color="000000"/>
              <w:bottom w:val="single" w:sz="8" w:space="0" w:color="000000"/>
              <w:right w:val="single" w:sz="8" w:space="0" w:color="000000"/>
            </w:tcBorders>
            <w:shd w:val="clear" w:color="auto" w:fill="C0C0C0"/>
          </w:tcPr>
          <w:p>
            <w:pPr/>
          </w:p>
        </w:tc>
        <w:tc>
          <w:tcPr>
            <w:tcW w:w="139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1"/>
              <w:ind w:left="32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8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1"/>
              <w:ind w:left="150" w:right="0"/>
              <w:jc w:val="left"/>
              <w:rPr>
                <w:rFonts w:ascii="宋体" w:hAnsi="宋体" w:cs="宋体" w:eastAsia="宋体" w:hint="default"/>
                <w:sz w:val="18"/>
                <w:szCs w:val="18"/>
              </w:rPr>
            </w:pPr>
            <w:r>
              <w:rPr>
                <w:rFonts w:ascii="宋体" w:hAnsi="宋体" w:cs="宋体" w:eastAsia="宋体" w:hint="default"/>
                <w:sz w:val="18"/>
                <w:szCs w:val="18"/>
              </w:rPr>
              <w:t>一年至五年以内</w:t>
            </w:r>
          </w:p>
        </w:tc>
        <w:tc>
          <w:tcPr>
            <w:tcW w:w="121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1"/>
              <w:ind w:left="239"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398"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1"/>
              <w:ind w:left="436"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r>
      <w:tr>
        <w:trPr>
          <w:trHeight w:val="347" w:hRule="exact"/>
        </w:trPr>
        <w:tc>
          <w:tcPr>
            <w:tcW w:w="368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399" w:type="dxa"/>
            <w:tcBorders>
              <w:top w:val="single" w:sz="12" w:space="0" w:color="000000"/>
              <w:left w:val="single" w:sz="8" w:space="0" w:color="000000"/>
              <w:bottom w:val="single" w:sz="8" w:space="0" w:color="000000"/>
              <w:right w:val="single" w:sz="8" w:space="0" w:color="000000"/>
            </w:tcBorders>
          </w:tcPr>
          <w:p>
            <w:pPr/>
          </w:p>
        </w:tc>
        <w:tc>
          <w:tcPr>
            <w:tcW w:w="1580" w:type="dxa"/>
            <w:tcBorders>
              <w:top w:val="single" w:sz="12" w:space="0" w:color="000000"/>
              <w:left w:val="single" w:sz="8" w:space="0" w:color="000000"/>
              <w:bottom w:val="single" w:sz="8" w:space="0" w:color="000000"/>
              <w:right w:val="single" w:sz="8" w:space="0" w:color="000000"/>
            </w:tcBorders>
          </w:tcPr>
          <w:p>
            <w:pPr/>
          </w:p>
        </w:tc>
        <w:tc>
          <w:tcPr>
            <w:tcW w:w="1219" w:type="dxa"/>
            <w:tcBorders>
              <w:top w:val="single" w:sz="12" w:space="0" w:color="000000"/>
              <w:left w:val="single" w:sz="8" w:space="0" w:color="000000"/>
              <w:bottom w:val="single" w:sz="8" w:space="0" w:color="000000"/>
              <w:right w:val="single" w:sz="8" w:space="0" w:color="000000"/>
            </w:tcBorders>
          </w:tcPr>
          <w:p>
            <w:pPr/>
          </w:p>
        </w:tc>
        <w:tc>
          <w:tcPr>
            <w:tcW w:w="1398" w:type="dxa"/>
            <w:tcBorders>
              <w:top w:val="single" w:sz="12" w:space="0" w:color="000000"/>
              <w:left w:val="single" w:sz="8" w:space="0" w:color="000000"/>
              <w:bottom w:val="single" w:sz="8" w:space="0" w:color="000000"/>
              <w:right w:val="single" w:sz="8" w:space="0" w:color="000000"/>
            </w:tcBorders>
          </w:tcPr>
          <w:p>
            <w:pPr/>
          </w:p>
        </w:tc>
      </w:tr>
      <w:tr>
        <w:trPr>
          <w:trHeight w:val="352" w:hRule="exact"/>
        </w:trPr>
        <w:tc>
          <w:tcPr>
            <w:tcW w:w="368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11,400.00</w:t>
            </w:r>
          </w:p>
        </w:tc>
        <w:tc>
          <w:tcPr>
            <w:tcW w:w="1580" w:type="dxa"/>
            <w:tcBorders>
              <w:top w:val="single" w:sz="8" w:space="0" w:color="000000"/>
              <w:left w:val="single" w:sz="8" w:space="0" w:color="000000"/>
              <w:bottom w:val="single" w:sz="8" w:space="0" w:color="000000"/>
              <w:right w:val="single" w:sz="8" w:space="0" w:color="000000"/>
            </w:tcBorders>
          </w:tcPr>
          <w:p>
            <w:pPr/>
          </w:p>
        </w:tc>
        <w:tc>
          <w:tcPr>
            <w:tcW w:w="1219" w:type="dxa"/>
            <w:tcBorders>
              <w:top w:val="single" w:sz="8" w:space="0" w:color="000000"/>
              <w:left w:val="single" w:sz="8" w:space="0" w:color="000000"/>
              <w:bottom w:val="single" w:sz="8" w:space="0" w:color="000000"/>
              <w:right w:val="single" w:sz="8" w:space="0" w:color="000000"/>
            </w:tcBorders>
          </w:tcPr>
          <w:p>
            <w:pPr/>
          </w:p>
        </w:tc>
        <w:tc>
          <w:tcPr>
            <w:tcW w:w="1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11,400.00</w:t>
            </w:r>
          </w:p>
        </w:tc>
      </w:tr>
      <w:tr>
        <w:trPr>
          <w:trHeight w:val="353" w:hRule="exact"/>
        </w:trPr>
        <w:tc>
          <w:tcPr>
            <w:tcW w:w="368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1,068.31</w:t>
            </w:r>
            <w:r>
              <w:rPr>
                <w:rFonts w:ascii="Times New Roman"/>
                <w:sz w:val="21"/>
              </w:rPr>
            </w:r>
          </w:p>
        </w:tc>
        <w:tc>
          <w:tcPr>
            <w:tcW w:w="1580" w:type="dxa"/>
            <w:tcBorders>
              <w:top w:val="single" w:sz="8" w:space="0" w:color="000000"/>
              <w:left w:val="single" w:sz="8" w:space="0" w:color="000000"/>
              <w:bottom w:val="single" w:sz="8" w:space="0" w:color="000000"/>
              <w:right w:val="single" w:sz="8" w:space="0" w:color="000000"/>
            </w:tcBorders>
          </w:tcPr>
          <w:p>
            <w:pPr/>
          </w:p>
        </w:tc>
        <w:tc>
          <w:tcPr>
            <w:tcW w:w="1219" w:type="dxa"/>
            <w:tcBorders>
              <w:top w:val="single" w:sz="8" w:space="0" w:color="000000"/>
              <w:left w:val="single" w:sz="8" w:space="0" w:color="000000"/>
              <w:bottom w:val="single" w:sz="8" w:space="0" w:color="000000"/>
              <w:right w:val="single" w:sz="8" w:space="0" w:color="000000"/>
            </w:tcBorders>
          </w:tcPr>
          <w:p>
            <w:pPr/>
          </w:p>
        </w:tc>
        <w:tc>
          <w:tcPr>
            <w:tcW w:w="1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1,068.31</w:t>
            </w:r>
            <w:r>
              <w:rPr>
                <w:rFonts w:ascii="Times New Roman"/>
                <w:sz w:val="21"/>
              </w:rPr>
            </w:r>
          </w:p>
        </w:tc>
      </w:tr>
      <w:tr>
        <w:trPr>
          <w:trHeight w:val="352" w:hRule="exact"/>
        </w:trPr>
        <w:tc>
          <w:tcPr>
            <w:tcW w:w="368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17,308.99</w:t>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4,297.38</w:t>
            </w:r>
          </w:p>
        </w:tc>
        <w:tc>
          <w:tcPr>
            <w:tcW w:w="1219" w:type="dxa"/>
            <w:tcBorders>
              <w:top w:val="single" w:sz="8" w:space="0" w:color="000000"/>
              <w:left w:val="single" w:sz="8" w:space="0" w:color="000000"/>
              <w:bottom w:val="single" w:sz="8" w:space="0" w:color="000000"/>
              <w:right w:val="single" w:sz="8" w:space="0" w:color="000000"/>
            </w:tcBorders>
          </w:tcPr>
          <w:p>
            <w:pPr/>
          </w:p>
        </w:tc>
        <w:tc>
          <w:tcPr>
            <w:tcW w:w="1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21,606.37</w:t>
            </w:r>
          </w:p>
        </w:tc>
      </w:tr>
      <w:tr>
        <w:trPr>
          <w:trHeight w:val="352" w:hRule="exact"/>
        </w:trPr>
        <w:tc>
          <w:tcPr>
            <w:tcW w:w="368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1,734.72</w:t>
            </w:r>
            <w:r>
              <w:rPr>
                <w:rFonts w:ascii="Times New Roman"/>
                <w:sz w:val="21"/>
              </w:rPr>
            </w:r>
          </w:p>
        </w:tc>
        <w:tc>
          <w:tcPr>
            <w:tcW w:w="1580" w:type="dxa"/>
            <w:tcBorders>
              <w:top w:val="single" w:sz="8" w:space="0" w:color="000000"/>
              <w:left w:val="single" w:sz="8" w:space="0" w:color="000000"/>
              <w:bottom w:val="single" w:sz="8" w:space="0" w:color="000000"/>
              <w:right w:val="single" w:sz="8" w:space="0" w:color="000000"/>
            </w:tcBorders>
          </w:tcPr>
          <w:p>
            <w:pPr/>
          </w:p>
        </w:tc>
        <w:tc>
          <w:tcPr>
            <w:tcW w:w="1219" w:type="dxa"/>
            <w:tcBorders>
              <w:top w:val="single" w:sz="8" w:space="0" w:color="000000"/>
              <w:left w:val="single" w:sz="8" w:space="0" w:color="000000"/>
              <w:bottom w:val="single" w:sz="8" w:space="0" w:color="000000"/>
              <w:right w:val="single" w:sz="8" w:space="0" w:color="000000"/>
            </w:tcBorders>
          </w:tcPr>
          <w:p>
            <w:pPr/>
          </w:p>
        </w:tc>
        <w:tc>
          <w:tcPr>
            <w:tcW w:w="1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1,734.72</w:t>
            </w:r>
            <w:r>
              <w:rPr>
                <w:rFonts w:ascii="Times New Roman"/>
                <w:sz w:val="21"/>
              </w:rPr>
            </w:r>
          </w:p>
        </w:tc>
      </w:tr>
      <w:tr>
        <w:trPr>
          <w:trHeight w:val="353" w:hRule="exact"/>
        </w:trPr>
        <w:tc>
          <w:tcPr>
            <w:tcW w:w="368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20.43</w:t>
            </w:r>
          </w:p>
        </w:tc>
        <w:tc>
          <w:tcPr>
            <w:tcW w:w="1580" w:type="dxa"/>
            <w:tcBorders>
              <w:top w:val="single" w:sz="8" w:space="0" w:color="000000"/>
              <w:left w:val="single" w:sz="8" w:space="0" w:color="000000"/>
              <w:bottom w:val="single" w:sz="8" w:space="0" w:color="000000"/>
              <w:right w:val="single" w:sz="8" w:space="0" w:color="000000"/>
            </w:tcBorders>
          </w:tcPr>
          <w:p>
            <w:pPr/>
          </w:p>
        </w:tc>
        <w:tc>
          <w:tcPr>
            <w:tcW w:w="1219" w:type="dxa"/>
            <w:tcBorders>
              <w:top w:val="single" w:sz="8" w:space="0" w:color="000000"/>
              <w:left w:val="single" w:sz="8" w:space="0" w:color="000000"/>
              <w:bottom w:val="single" w:sz="8" w:space="0" w:color="000000"/>
              <w:right w:val="single" w:sz="8" w:space="0" w:color="000000"/>
            </w:tcBorders>
          </w:tcPr>
          <w:p>
            <w:pPr/>
          </w:p>
        </w:tc>
        <w:tc>
          <w:tcPr>
            <w:tcW w:w="1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20.43</w:t>
            </w:r>
          </w:p>
        </w:tc>
      </w:tr>
      <w:tr>
        <w:trPr>
          <w:trHeight w:val="352" w:hRule="exact"/>
        </w:trPr>
        <w:tc>
          <w:tcPr>
            <w:tcW w:w="368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1,517.41</w:t>
            </w:r>
            <w:r>
              <w:rPr>
                <w:rFonts w:ascii="Times New Roman"/>
                <w:sz w:val="21"/>
              </w:rPr>
            </w:r>
          </w:p>
        </w:tc>
        <w:tc>
          <w:tcPr>
            <w:tcW w:w="1580" w:type="dxa"/>
            <w:tcBorders>
              <w:top w:val="single" w:sz="8" w:space="0" w:color="000000"/>
              <w:left w:val="single" w:sz="8" w:space="0" w:color="000000"/>
              <w:bottom w:val="single" w:sz="8" w:space="0" w:color="000000"/>
              <w:right w:val="single" w:sz="8" w:space="0" w:color="000000"/>
            </w:tcBorders>
          </w:tcPr>
          <w:p>
            <w:pPr/>
          </w:p>
        </w:tc>
        <w:tc>
          <w:tcPr>
            <w:tcW w:w="1219" w:type="dxa"/>
            <w:tcBorders>
              <w:top w:val="single" w:sz="8" w:space="0" w:color="000000"/>
              <w:left w:val="single" w:sz="8" w:space="0" w:color="000000"/>
              <w:bottom w:val="single" w:sz="8" w:space="0" w:color="000000"/>
              <w:right w:val="single" w:sz="8" w:space="0" w:color="000000"/>
            </w:tcBorders>
          </w:tcPr>
          <w:p>
            <w:pPr/>
          </w:p>
        </w:tc>
        <w:tc>
          <w:tcPr>
            <w:tcW w:w="1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1,517.41</w:t>
            </w:r>
            <w:r>
              <w:rPr>
                <w:rFonts w:ascii="Times New Roman"/>
                <w:sz w:val="21"/>
              </w:rPr>
            </w:r>
          </w:p>
        </w:tc>
      </w:tr>
      <w:tr>
        <w:trPr>
          <w:trHeight w:val="352" w:hRule="exact"/>
        </w:trPr>
        <w:tc>
          <w:tcPr>
            <w:tcW w:w="368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369.47</w:t>
            </w:r>
          </w:p>
        </w:tc>
        <w:tc>
          <w:tcPr>
            <w:tcW w:w="1580" w:type="dxa"/>
            <w:tcBorders>
              <w:top w:val="single" w:sz="8" w:space="0" w:color="000000"/>
              <w:left w:val="single" w:sz="8" w:space="0" w:color="000000"/>
              <w:bottom w:val="single" w:sz="8" w:space="0" w:color="000000"/>
              <w:right w:val="single" w:sz="8" w:space="0" w:color="000000"/>
            </w:tcBorders>
          </w:tcPr>
          <w:p>
            <w:pPr/>
          </w:p>
        </w:tc>
        <w:tc>
          <w:tcPr>
            <w:tcW w:w="1219" w:type="dxa"/>
            <w:tcBorders>
              <w:top w:val="single" w:sz="8" w:space="0" w:color="000000"/>
              <w:left w:val="single" w:sz="8" w:space="0" w:color="000000"/>
              <w:bottom w:val="single" w:sz="8" w:space="0" w:color="000000"/>
              <w:right w:val="single" w:sz="8" w:space="0" w:color="000000"/>
            </w:tcBorders>
          </w:tcPr>
          <w:p>
            <w:pPr/>
          </w:p>
        </w:tc>
        <w:tc>
          <w:tcPr>
            <w:tcW w:w="1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369.47</w:t>
            </w:r>
          </w:p>
        </w:tc>
      </w:tr>
      <w:tr>
        <w:trPr>
          <w:trHeight w:val="353" w:hRule="exact"/>
        </w:trPr>
        <w:tc>
          <w:tcPr>
            <w:tcW w:w="368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其他流动负债（不含递延收益）</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1,831.04</w:t>
            </w:r>
            <w:r>
              <w:rPr>
                <w:rFonts w:ascii="Times New Roman"/>
                <w:sz w:val="21"/>
              </w:rPr>
            </w:r>
          </w:p>
        </w:tc>
        <w:tc>
          <w:tcPr>
            <w:tcW w:w="1580" w:type="dxa"/>
            <w:tcBorders>
              <w:top w:val="single" w:sz="8" w:space="0" w:color="000000"/>
              <w:left w:val="single" w:sz="8" w:space="0" w:color="000000"/>
              <w:bottom w:val="single" w:sz="8" w:space="0" w:color="000000"/>
              <w:right w:val="single" w:sz="8" w:space="0" w:color="000000"/>
            </w:tcBorders>
          </w:tcPr>
          <w:p>
            <w:pPr/>
          </w:p>
        </w:tc>
        <w:tc>
          <w:tcPr>
            <w:tcW w:w="1219" w:type="dxa"/>
            <w:tcBorders>
              <w:top w:val="single" w:sz="8" w:space="0" w:color="000000"/>
              <w:left w:val="single" w:sz="8" w:space="0" w:color="000000"/>
              <w:bottom w:val="single" w:sz="8" w:space="0" w:color="000000"/>
              <w:right w:val="single" w:sz="8" w:space="0" w:color="000000"/>
            </w:tcBorders>
          </w:tcPr>
          <w:p>
            <w:pPr/>
          </w:p>
        </w:tc>
        <w:tc>
          <w:tcPr>
            <w:tcW w:w="1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1,831.04</w:t>
            </w:r>
            <w:r>
              <w:rPr>
                <w:rFonts w:ascii="Times New Roman"/>
                <w:sz w:val="21"/>
              </w:rPr>
            </w:r>
          </w:p>
        </w:tc>
      </w:tr>
      <w:tr>
        <w:trPr>
          <w:trHeight w:val="352" w:hRule="exact"/>
        </w:trPr>
        <w:tc>
          <w:tcPr>
            <w:tcW w:w="368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99" w:type="dxa"/>
            <w:tcBorders>
              <w:top w:val="single" w:sz="8" w:space="0" w:color="000000"/>
              <w:left w:val="single" w:sz="8" w:space="0" w:color="000000"/>
              <w:bottom w:val="single" w:sz="8" w:space="0" w:color="000000"/>
              <w:right w:val="single" w:sz="8" w:space="0" w:color="000000"/>
            </w:tcBorders>
          </w:tcPr>
          <w:p>
            <w:pP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4,800.00</w:t>
            </w:r>
            <w:r>
              <w:rPr>
                <w:rFonts w:ascii="Times New Roman"/>
                <w:sz w:val="21"/>
              </w:rPr>
            </w:r>
          </w:p>
        </w:tc>
        <w:tc>
          <w:tcPr>
            <w:tcW w:w="1219" w:type="dxa"/>
            <w:tcBorders>
              <w:top w:val="single" w:sz="8" w:space="0" w:color="000000"/>
              <w:left w:val="single" w:sz="8" w:space="0" w:color="000000"/>
              <w:bottom w:val="single" w:sz="8" w:space="0" w:color="000000"/>
              <w:right w:val="single" w:sz="8" w:space="0" w:color="000000"/>
            </w:tcBorders>
          </w:tcPr>
          <w:p>
            <w:pPr/>
          </w:p>
        </w:tc>
        <w:tc>
          <w:tcPr>
            <w:tcW w:w="1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4,800.00</w:t>
            </w:r>
            <w:r>
              <w:rPr>
                <w:rFonts w:ascii="Times New Roman"/>
                <w:sz w:val="21"/>
              </w:rPr>
            </w:r>
          </w:p>
        </w:tc>
      </w:tr>
      <w:tr>
        <w:trPr>
          <w:trHeight w:val="347" w:hRule="exact"/>
        </w:trPr>
        <w:tc>
          <w:tcPr>
            <w:tcW w:w="368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金融负债和或有负债合计</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0"/>
              <w:jc w:val="right"/>
              <w:rPr>
                <w:rFonts w:ascii="Times New Roman" w:hAnsi="Times New Roman" w:cs="Times New Roman" w:eastAsia="Times New Roman" w:hint="default"/>
                <w:sz w:val="21"/>
                <w:szCs w:val="21"/>
              </w:rPr>
            </w:pPr>
            <w:r>
              <w:rPr>
                <w:rFonts w:ascii="Times New Roman"/>
                <w:b/>
                <w:spacing w:val="-1"/>
                <w:sz w:val="21"/>
              </w:rPr>
              <w:t>35,250.37</w:t>
            </w:r>
            <w:r>
              <w:rPr>
                <w:rFonts w:ascii="Times New Roman"/>
                <w:spacing w:val="-1"/>
                <w:sz w:val="21"/>
              </w:rPr>
            </w:r>
          </w:p>
        </w:tc>
        <w:tc>
          <w:tcPr>
            <w:tcW w:w="15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0"/>
              <w:jc w:val="right"/>
              <w:rPr>
                <w:rFonts w:ascii="Times New Roman" w:hAnsi="Times New Roman" w:cs="Times New Roman" w:eastAsia="Times New Roman" w:hint="default"/>
                <w:sz w:val="21"/>
                <w:szCs w:val="21"/>
              </w:rPr>
            </w:pPr>
            <w:r>
              <w:rPr>
                <w:rFonts w:ascii="Times New Roman"/>
                <w:b/>
                <w:spacing w:val="-1"/>
                <w:sz w:val="21"/>
              </w:rPr>
              <w:t>9,097.38</w:t>
            </w:r>
            <w:r>
              <w:rPr>
                <w:rFonts w:ascii="Times New Roman"/>
                <w:spacing w:val="-1"/>
                <w:sz w:val="21"/>
              </w:rPr>
            </w:r>
          </w:p>
        </w:tc>
        <w:tc>
          <w:tcPr>
            <w:tcW w:w="1219" w:type="dxa"/>
            <w:tcBorders>
              <w:top w:val="single" w:sz="8" w:space="0" w:color="000000"/>
              <w:left w:val="single" w:sz="8" w:space="0" w:color="000000"/>
              <w:bottom w:val="single" w:sz="8" w:space="0" w:color="000000"/>
              <w:right w:val="single" w:sz="8" w:space="0" w:color="000000"/>
            </w:tcBorders>
          </w:tcPr>
          <w:p>
            <w:pPr/>
          </w:p>
        </w:tc>
        <w:tc>
          <w:tcPr>
            <w:tcW w:w="13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7"/>
              <w:ind w:right="-1"/>
              <w:jc w:val="right"/>
              <w:rPr>
                <w:rFonts w:ascii="Times New Roman" w:hAnsi="Times New Roman" w:cs="Times New Roman" w:eastAsia="Times New Roman" w:hint="default"/>
                <w:sz w:val="21"/>
                <w:szCs w:val="21"/>
              </w:rPr>
            </w:pPr>
            <w:r>
              <w:rPr>
                <w:rFonts w:ascii="Times New Roman"/>
                <w:b/>
                <w:spacing w:val="-1"/>
                <w:sz w:val="21"/>
              </w:rPr>
              <w:t>44,347.75</w:t>
            </w:r>
            <w:r>
              <w:rPr>
                <w:rFonts w:ascii="Times New Roman"/>
                <w:spacing w:val="-1"/>
                <w:sz w:val="21"/>
              </w:rPr>
            </w:r>
          </w:p>
        </w:tc>
      </w:tr>
    </w:tbl>
    <w:p>
      <w:pPr>
        <w:spacing w:line="240" w:lineRule="auto" w:before="9"/>
        <w:rPr>
          <w:rFonts w:ascii="宋体" w:hAnsi="宋体" w:cs="宋体" w:eastAsia="宋体" w:hint="default"/>
          <w:sz w:val="21"/>
          <w:szCs w:val="21"/>
        </w:rPr>
      </w:pPr>
    </w:p>
    <w:p>
      <w:pPr>
        <w:pStyle w:val="BodyText"/>
        <w:spacing w:line="316" w:lineRule="auto" w:before="44"/>
        <w:ind w:left="514" w:right="0"/>
        <w:jc w:val="left"/>
      </w:pPr>
      <w:r>
        <w:rPr/>
        <w:t>（3）市场风险 </w:t>
      </w:r>
      <w:r>
        <w:rPr>
          <w:spacing w:val="-2"/>
        </w:rPr>
        <w:t>金融工具的市场风险，是指金融工具的公允价值或未来现金流量因市场价格变动而发生波动的风险，包括利率风险和汇</w:t>
      </w:r>
    </w:p>
    <w:p>
      <w:pPr>
        <w:pStyle w:val="BodyText"/>
        <w:spacing w:line="240" w:lineRule="auto" w:before="19"/>
        <w:ind w:right="1258"/>
        <w:jc w:val="left"/>
      </w:pPr>
      <w:r>
        <w:rPr/>
        <w:t>率风险。</w:t>
      </w:r>
    </w:p>
    <w:p>
      <w:pPr>
        <w:pStyle w:val="BodyText"/>
        <w:spacing w:line="316" w:lineRule="auto" w:before="76"/>
        <w:ind w:left="514" w:right="0"/>
        <w:jc w:val="left"/>
      </w:pPr>
      <w:r>
        <w:rPr/>
        <w:t>利率风险 </w:t>
      </w:r>
      <w:r>
        <w:rPr>
          <w:spacing w:val="-2"/>
        </w:rPr>
        <w:t>利率风险，是指金融工具的公允价值或未来现金流量因市场利率变动而发生波动的风险。利率风险可源于已确认的计息</w:t>
      </w:r>
    </w:p>
    <w:p>
      <w:pPr>
        <w:spacing w:after="0" w:line="316" w:lineRule="auto"/>
        <w:jc w:val="left"/>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pStyle w:val="BodyText"/>
        <w:spacing w:line="316" w:lineRule="auto" w:before="44"/>
        <w:ind w:left="513" w:right="5631" w:hanging="360"/>
        <w:jc w:val="left"/>
      </w:pPr>
      <w:r>
        <w:rPr/>
        <w:t>金融工具和未确认的金融工具（如某些贷款承诺）。 本集团所承担的利率变动市场风险不重大。 汇率风险</w:t>
      </w:r>
    </w:p>
    <w:p>
      <w:pPr>
        <w:pStyle w:val="BodyText"/>
        <w:spacing w:line="316" w:lineRule="auto" w:before="19"/>
        <w:ind w:left="153" w:right="0" w:firstLine="360"/>
        <w:jc w:val="left"/>
      </w:pPr>
      <w:r>
        <w:rPr>
          <w:spacing w:val="-2"/>
        </w:rPr>
        <w:t>汇率风险，是指金融工具的公允价值或未来现金流量因外汇汇率变动而发生波动的风险。汇率风险可源于以记账本位币</w:t>
      </w:r>
      <w:r>
        <w:rPr/>
        <w:t> 之外的外币进行计价的金融工具。</w:t>
      </w:r>
    </w:p>
    <w:p>
      <w:pPr>
        <w:pStyle w:val="BodyText"/>
        <w:spacing w:line="316" w:lineRule="auto" w:before="19"/>
        <w:ind w:left="513" w:right="1491"/>
        <w:jc w:val="left"/>
      </w:pPr>
      <w:r>
        <w:rPr/>
        <w:t>本集团的主要经营位于中国境内，主要业务以人民币结算。因此，本集团面临的汇率风险并不重大。 本集团期末外币金融资产和外币金融负债列示见本附注五之52、外币货币性项目。</w:t>
      </w:r>
    </w:p>
    <w:p>
      <w:pPr>
        <w:pStyle w:val="BodyText"/>
        <w:spacing w:line="316" w:lineRule="auto" w:before="19"/>
        <w:ind w:left="513" w:right="0"/>
        <w:jc w:val="left"/>
      </w:pPr>
      <w:r>
        <w:rPr/>
        <w:t>2、资本管理 </w:t>
      </w:r>
      <w:r>
        <w:rPr>
          <w:spacing w:val="-2"/>
        </w:rPr>
        <w:t>本集团资本管理政策的目标是为了保障本集团能够持续经营，从而为股东提供回报，并使其他利益相关者获益，同时维</w:t>
      </w:r>
    </w:p>
    <w:p>
      <w:pPr>
        <w:pStyle w:val="BodyText"/>
        <w:spacing w:line="316" w:lineRule="auto" w:before="19"/>
        <w:ind w:left="513" w:right="0" w:hanging="360"/>
        <w:jc w:val="left"/>
      </w:pPr>
      <w:r>
        <w:rPr/>
        <w:t>持最佳的资本结构以降低资本成本。 </w:t>
      </w:r>
      <w:r>
        <w:rPr>
          <w:spacing w:val="-2"/>
        </w:rPr>
        <w:t>为了维持或调整资本结构，本集团可能会调整支付给股东的股利金额、向股东返还资本、发行新股或出售资产以减低债</w:t>
      </w:r>
    </w:p>
    <w:p>
      <w:pPr>
        <w:pStyle w:val="BodyText"/>
        <w:spacing w:line="240" w:lineRule="auto" w:before="19"/>
        <w:ind w:left="153" w:right="1258"/>
        <w:jc w:val="left"/>
      </w:pPr>
      <w:r>
        <w:rPr/>
        <w:t>务。</w:t>
      </w:r>
    </w:p>
    <w:p>
      <w:pPr>
        <w:pStyle w:val="BodyText"/>
        <w:spacing w:line="316" w:lineRule="auto" w:before="76"/>
        <w:ind w:left="153" w:right="0" w:firstLine="360"/>
        <w:jc w:val="left"/>
      </w:pPr>
      <w:r>
        <w:rPr>
          <w:spacing w:val="-2"/>
        </w:rPr>
        <w:t>本集团以资产负债率（即总负债除以总资产）为基础对资本结构进行监控。于2017年12月31日，本集团的资产负债率为</w:t>
      </w:r>
      <w:r>
        <w:rPr/>
        <w:t> 44.67%（2016年12月31日：33.83%）。</w:t>
      </w:r>
    </w:p>
    <w:p>
      <w:pPr>
        <w:spacing w:line="240" w:lineRule="auto" w:before="10"/>
        <w:rPr>
          <w:rFonts w:ascii="宋体" w:hAnsi="宋体" w:cs="宋体" w:eastAsia="宋体" w:hint="default"/>
          <w:sz w:val="20"/>
          <w:szCs w:val="20"/>
        </w:rPr>
      </w:pPr>
    </w:p>
    <w:p>
      <w:pPr>
        <w:pStyle w:val="Heading2"/>
        <w:spacing w:line="240" w:lineRule="auto"/>
        <w:ind w:right="1258"/>
        <w:jc w:val="left"/>
        <w:rPr>
          <w:b w:val="0"/>
          <w:bCs w:val="0"/>
        </w:rPr>
      </w:pP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8"/>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1258"/>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258"/>
        <w:jc w:val="left"/>
      </w:pPr>
      <w:r>
        <w:rPr/>
        <w:t>相同资产或负债在活跃市场中的报价（未经调整的）。</w:t>
      </w:r>
    </w:p>
    <w:p>
      <w:pPr>
        <w:spacing w:line="240" w:lineRule="auto" w:before="12"/>
        <w:rPr>
          <w:rFonts w:ascii="宋体" w:hAnsi="宋体" w:cs="宋体" w:eastAsia="宋体" w:hint="default"/>
          <w:sz w:val="26"/>
          <w:szCs w:val="26"/>
        </w:rPr>
      </w:pPr>
    </w:p>
    <w:p>
      <w:pPr>
        <w:pStyle w:val="Heading3"/>
        <w:spacing w:line="240" w:lineRule="auto"/>
        <w:ind w:right="151"/>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51"/>
        <w:jc w:val="left"/>
      </w:pPr>
      <w:r>
        <w:rPr/>
        <w:t>直接（即价格）或间接（即从价格推导出）地使用除第一层次中的资产或负债的市场报价之外的可观察输入值。</w:t>
      </w:r>
    </w:p>
    <w:p>
      <w:pPr>
        <w:spacing w:line="240" w:lineRule="auto" w:before="12"/>
        <w:rPr>
          <w:rFonts w:ascii="宋体" w:hAnsi="宋体" w:cs="宋体" w:eastAsia="宋体" w:hint="default"/>
          <w:sz w:val="26"/>
          <w:szCs w:val="26"/>
        </w:rPr>
      </w:pPr>
    </w:p>
    <w:p>
      <w:pPr>
        <w:pStyle w:val="Heading3"/>
        <w:spacing w:line="240" w:lineRule="auto"/>
        <w:ind w:right="151"/>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258"/>
        <w:jc w:val="left"/>
      </w:pPr>
      <w:r>
        <w:rPr/>
        <w:t>资产或负债使用了任何非基于可观察市场数据的输入值（不可观察输入值）。</w:t>
      </w:r>
    </w:p>
    <w:p>
      <w:pPr>
        <w:spacing w:after="0" w:line="240"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151"/>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51"/>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8"/>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8"/>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0"/>
        <w:jc w:val="left"/>
      </w:pPr>
      <w:r>
        <w:rPr/>
        <w:t>不以公允价值计量但披露其公允价值的项目和金额。 </w:t>
      </w:r>
      <w:r>
        <w:rPr>
          <w:spacing w:val="-2"/>
        </w:rPr>
        <w:t>本集团以摊余成本计量的金融资产和金融负债主要包括：货币资金、应收票据、应收账款、其他应收款、短期借款、应</w:t>
      </w:r>
    </w:p>
    <w:p>
      <w:pPr>
        <w:pStyle w:val="BodyText"/>
        <w:spacing w:line="240" w:lineRule="auto" w:before="19"/>
        <w:ind w:right="1258"/>
        <w:jc w:val="left"/>
      </w:pPr>
      <w:r>
        <w:rPr/>
        <w:t>付票据、应付账款、其他应付款等。</w:t>
      </w:r>
    </w:p>
    <w:p>
      <w:pPr>
        <w:spacing w:line="240" w:lineRule="auto" w:before="12"/>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9</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258"/>
        <w:jc w:val="left"/>
      </w:pPr>
      <w:r>
        <w:rPr/>
        <w:t>本集团上述不以公允价值计量的金融资产和金融负债的账面价值与公允价值相差很小。</w:t>
      </w:r>
    </w:p>
    <w:p>
      <w:pPr>
        <w:spacing w:line="240" w:lineRule="auto" w:before="2"/>
        <w:rPr>
          <w:rFonts w:ascii="宋体" w:hAnsi="宋体" w:cs="宋体" w:eastAsia="宋体" w:hint="default"/>
          <w:sz w:val="25"/>
          <w:szCs w:val="25"/>
        </w:rPr>
      </w:pPr>
    </w:p>
    <w:p>
      <w:pPr>
        <w:pStyle w:val="Heading2"/>
        <w:spacing w:line="240" w:lineRule="auto"/>
        <w:ind w:right="1258"/>
        <w:jc w:val="left"/>
        <w:rPr>
          <w:b w:val="0"/>
          <w:bCs w:val="0"/>
        </w:rPr>
      </w:pP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8"/>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6" w:right="0"/>
              <w:jc w:val="left"/>
              <w:rPr>
                <w:rFonts w:ascii="Times New Roman" w:hAnsi="Times New Roman" w:cs="Times New Roman" w:eastAsia="Times New Roman" w:hint="default"/>
                <w:sz w:val="18"/>
                <w:szCs w:val="18"/>
              </w:rPr>
            </w:pPr>
            <w:r>
              <w:rPr>
                <w:rFonts w:ascii="Times New Roman"/>
                <w:sz w:val="18"/>
              </w:rPr>
              <w:t>20.63%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6" w:right="0"/>
              <w:jc w:val="left"/>
              <w:rPr>
                <w:rFonts w:ascii="Times New Roman" w:hAnsi="Times New Roman" w:cs="Times New Roman" w:eastAsia="Times New Roman" w:hint="default"/>
                <w:sz w:val="18"/>
                <w:szCs w:val="18"/>
              </w:rPr>
            </w:pPr>
            <w:r>
              <w:rPr>
                <w:rFonts w:ascii="Times New Roman"/>
                <w:sz w:val="18"/>
              </w:rPr>
              <w:t>20.63%</w:t>
            </w:r>
          </w:p>
        </w:tc>
      </w:tr>
    </w:tbl>
    <w:p>
      <w:pPr>
        <w:pStyle w:val="BodyText"/>
        <w:spacing w:line="357" w:lineRule="auto" w:before="51"/>
        <w:ind w:left="153" w:right="7611"/>
        <w:jc w:val="left"/>
      </w:pPr>
      <w:r>
        <w:rPr/>
        <w:t>本企业的母公司情况的说明 无。 本企业最终控制方是鲁峰。 其他说明：</w:t>
      </w:r>
    </w:p>
    <w:p>
      <w:pPr>
        <w:pStyle w:val="BodyText"/>
        <w:spacing w:line="240" w:lineRule="auto" w:before="28"/>
        <w:ind w:left="153" w:right="1258"/>
        <w:jc w:val="left"/>
      </w:pPr>
      <w:r>
        <w:rPr/>
        <w:t>无。</w:t>
      </w:r>
    </w:p>
    <w:p>
      <w:pPr>
        <w:spacing w:line="240" w:lineRule="auto" w:before="12"/>
        <w:rPr>
          <w:rFonts w:ascii="宋体" w:hAnsi="宋体" w:cs="宋体" w:eastAsia="宋体" w:hint="default"/>
          <w:sz w:val="26"/>
          <w:szCs w:val="26"/>
        </w:rPr>
      </w:pPr>
    </w:p>
    <w:p>
      <w:pPr>
        <w:spacing w:line="544" w:lineRule="auto" w:before="0"/>
        <w:ind w:left="154" w:right="58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本企业子公司的情况详见附注七、</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57" w:lineRule="auto" w:before="53"/>
        <w:ind w:left="153" w:right="1311"/>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本集团持股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40.70%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福建文鑫莲业股份有限公司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本集团持股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12.58%</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建宁县日升投资有限公司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本集团持股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福建闽光软件股份有限公司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本集团持股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pStyle w:val="BodyText"/>
        <w:spacing w:line="240" w:lineRule="auto" w:before="44"/>
        <w:ind w:left="153" w:right="125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福建三钢闽光股份有限公司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相同的独立董事</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福建省星云大数据应用服务有限公司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子公司福建星榕基信息科技有限责任公司的参股股东（持股</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董事、经理、财务总监及董事会秘书</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bl>
    <w:p>
      <w:pPr>
        <w:pStyle w:val="BodyText"/>
        <w:spacing w:line="240" w:lineRule="auto" w:before="51"/>
        <w:ind w:right="125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258"/>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258"/>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4"/>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福建亿榕信息技术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3,528,675.21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10,839,206.84</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福建亿榕信息技术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4,754,716.98</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福建闽光软件股份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566,037.74</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943,396.22</w:t>
            </w:r>
          </w:p>
        </w:tc>
      </w:tr>
    </w:tbl>
    <w:p>
      <w:pPr>
        <w:pStyle w:val="BodyText"/>
        <w:spacing w:line="240" w:lineRule="auto" w:before="51"/>
        <w:ind w:right="1258"/>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8"/>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福建省星云大数据应用服务有 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集成收入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17,349,221.61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51,017,012.82</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福建省星云大数据应用服务有 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软件及技术服务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11,725,269.62</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14,698,283.02</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软件及技术服务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4,415,272.63</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2,812,762.26</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福建三钢闽光股份有限公司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集成收入</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6,037.74</w:t>
            </w:r>
          </w:p>
        </w:tc>
      </w:tr>
    </w:tbl>
    <w:p>
      <w:pPr>
        <w:pStyle w:val="BodyText"/>
        <w:spacing w:line="240" w:lineRule="auto" w:before="51"/>
        <w:ind w:right="1258"/>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258"/>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51"/>
        <w:jc w:val="right"/>
      </w:pPr>
      <w:r>
        <w:rPr/>
        <w:t>单位： 元</w:t>
      </w:r>
    </w:p>
    <w:p>
      <w:pPr>
        <w:spacing w:after="0" w:line="240" w:lineRule="auto"/>
        <w:jc w:val="right"/>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7"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9" w:lineRule="auto"/>
        <w:jc w:val="left"/>
        <w:rPr>
          <w:rFonts w:ascii="宋体" w:hAnsi="宋体" w:cs="宋体" w:eastAsia="宋体" w:hint="default"/>
          <w:sz w:val="18"/>
          <w:szCs w:val="18"/>
        </w:rPr>
        <w:sectPr>
          <w:pgSz w:w="11910" w:h="16840"/>
          <w:pgMar w:header="877" w:footer="982" w:top="1100" w:bottom="1180" w:left="980" w:right="980"/>
        </w:sectPr>
      </w:pPr>
    </w:p>
    <w:p>
      <w:pPr>
        <w:pStyle w:val="BodyText"/>
        <w:spacing w:line="340" w:lineRule="auto" w:before="51"/>
        <w:ind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2545" w:space="628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1"/>
        <w:ind w:right="1258"/>
        <w:jc w:val="left"/>
      </w:pPr>
      <w:r>
        <w:rPr/>
        <w:t>关联管理</w:t>
      </w:r>
      <w:r>
        <w:rPr>
          <w:rFonts w:ascii="Times New Roman" w:hAnsi="Times New Roman" w:cs="Times New Roman" w:eastAsia="Times New Roman" w:hint="default"/>
        </w:rPr>
        <w:t>/</w:t>
      </w:r>
      <w:r>
        <w:rPr/>
        <w:t>出包情况说明</w:t>
      </w:r>
    </w:p>
    <w:p>
      <w:pPr>
        <w:spacing w:line="240" w:lineRule="auto" w:before="10"/>
        <w:rPr>
          <w:rFonts w:ascii="宋体" w:hAnsi="宋体" w:cs="宋体" w:eastAsia="宋体" w:hint="default"/>
          <w:sz w:val="25"/>
          <w:szCs w:val="25"/>
        </w:rPr>
      </w:pPr>
    </w:p>
    <w:p>
      <w:pPr>
        <w:pStyle w:val="Heading3"/>
        <w:spacing w:line="240" w:lineRule="auto"/>
        <w:ind w:right="1258"/>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258"/>
        <w:jc w:val="left"/>
      </w:pPr>
      <w:r>
        <w:rPr/>
        <w:t>本公司作为出租方：</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7"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right="1258"/>
        <w:jc w:val="left"/>
      </w:pPr>
      <w:r>
        <w:rPr/>
        <w:t>本公司作为承租方：</w:t>
      </w:r>
    </w:p>
    <w:p>
      <w:pPr>
        <w:pStyle w:val="BodyText"/>
        <w:spacing w:line="240" w:lineRule="auto" w:before="117"/>
        <w:ind w:left="0" w:right="15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福建省星云大数据应用服务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9" w:right="0"/>
              <w:jc w:val="left"/>
              <w:rPr>
                <w:rFonts w:ascii="Times New Roman" w:hAnsi="Times New Roman" w:cs="Times New Roman" w:eastAsia="Times New Roman" w:hint="default"/>
                <w:sz w:val="18"/>
                <w:szCs w:val="18"/>
              </w:rPr>
            </w:pPr>
            <w:r>
              <w:rPr>
                <w:rFonts w:ascii="Times New Roman"/>
                <w:sz w:val="18"/>
              </w:rPr>
              <w:t>930,038.21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9" w:right="0"/>
              <w:jc w:val="left"/>
              <w:rPr>
                <w:rFonts w:ascii="Times New Roman" w:hAnsi="Times New Roman" w:cs="Times New Roman" w:eastAsia="Times New Roman" w:hint="default"/>
                <w:sz w:val="18"/>
                <w:szCs w:val="18"/>
              </w:rPr>
            </w:pPr>
            <w:r>
              <w:rPr>
                <w:rFonts w:ascii="Times New Roman"/>
                <w:sz w:val="18"/>
              </w:rPr>
              <w:t>629,460.82</w:t>
            </w:r>
          </w:p>
        </w:tc>
      </w:tr>
    </w:tbl>
    <w:p>
      <w:pPr>
        <w:pStyle w:val="BodyText"/>
        <w:spacing w:line="240" w:lineRule="auto" w:before="51"/>
        <w:ind w:right="1258"/>
        <w:jc w:val="left"/>
      </w:pPr>
      <w:r>
        <w:rPr/>
        <w:t>关联租赁情况说明</w:t>
      </w:r>
    </w:p>
    <w:p>
      <w:pPr>
        <w:spacing w:line="240" w:lineRule="auto" w:before="10"/>
        <w:rPr>
          <w:rFonts w:ascii="宋体" w:hAnsi="宋体" w:cs="宋体" w:eastAsia="宋体" w:hint="default"/>
          <w:sz w:val="26"/>
          <w:szCs w:val="26"/>
        </w:rPr>
      </w:pPr>
    </w:p>
    <w:p>
      <w:pPr>
        <w:pStyle w:val="Heading3"/>
        <w:spacing w:line="240" w:lineRule="auto"/>
        <w:ind w:right="1258"/>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258"/>
        <w:jc w:val="left"/>
      </w:pPr>
      <w:r>
        <w:rPr/>
        <w:t>本公司作为担保方</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right="1258"/>
        <w:jc w:val="left"/>
      </w:pPr>
      <w:r>
        <w:rPr/>
        <w:t>本公司作为被担保方</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right="1258"/>
        <w:jc w:val="left"/>
      </w:pPr>
      <w:r>
        <w:rPr/>
        <w:t>关联担保情况说明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88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6"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954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4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3,480,000.00</w:t>
            </w: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258"/>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8"/>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3D3D3"/>
          </w:tcPr>
          <w:p>
            <w:pPr/>
          </w:p>
        </w:tc>
        <w:tc>
          <w:tcPr>
            <w:tcW w:w="1595" w:type="dxa"/>
            <w:vMerge/>
            <w:tcBorders>
              <w:left w:val="single" w:sz="4" w:space="0" w:color="000000"/>
              <w:bottom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福建省星云大数据 应用服务有限公司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16,064,448.67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803,222.43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16,197,890.80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809,894.54</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福建省星云大数据 应用服务有限公司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10,530.00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149,689.40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7,484.47</w:t>
            </w: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4,337,470.00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5,762,352.00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福建闽光软件股份有限公司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412,500.00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福建省星云大数据应用服务 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2,887,778.78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1,366,750.19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3"/>
        <w:spacing w:line="240" w:lineRule="auto" w:before="35"/>
        <w:ind w:right="1258"/>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776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十三、股份支付</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258"/>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258"/>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258"/>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736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57" w:lineRule="auto" w:before="108"/>
        <w:ind w:left="514" w:right="4910" w:hanging="360"/>
        <w:jc w:val="left"/>
      </w:pPr>
      <w:r>
        <w:rPr/>
        <w:t>资产负债表日存在的重要承诺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日，本集团不存在应披露的承诺事项。</w:t>
      </w:r>
    </w:p>
    <w:p>
      <w:pPr>
        <w:spacing w:line="240" w:lineRule="auto" w:before="5"/>
        <w:rPr>
          <w:rFonts w:ascii="宋体" w:hAnsi="宋体" w:cs="宋体" w:eastAsia="宋体" w:hint="default"/>
          <w:sz w:val="18"/>
          <w:szCs w:val="18"/>
        </w:rPr>
      </w:pPr>
    </w:p>
    <w:p>
      <w:pPr>
        <w:pStyle w:val="Heading3"/>
        <w:spacing w:line="240" w:lineRule="auto"/>
        <w:ind w:right="1258"/>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8"/>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258"/>
        <w:jc w:val="left"/>
      </w:pPr>
      <w:r>
        <w:rPr/>
        <w:t>截至2017年12月31日，本集团不存在应披露的未决诉讼、对外担保等或有事项。</w:t>
      </w:r>
    </w:p>
    <w:p>
      <w:pPr>
        <w:spacing w:line="240" w:lineRule="auto" w:before="12"/>
        <w:rPr>
          <w:rFonts w:ascii="宋体" w:hAnsi="宋体" w:cs="宋体" w:eastAsia="宋体" w:hint="default"/>
          <w:sz w:val="26"/>
          <w:szCs w:val="26"/>
        </w:rPr>
      </w:pPr>
    </w:p>
    <w:p>
      <w:pPr>
        <w:pStyle w:val="Heading3"/>
        <w:spacing w:line="240" w:lineRule="auto"/>
        <w:ind w:right="1258"/>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258"/>
        <w:jc w:val="left"/>
      </w:pPr>
      <w:r>
        <w:rPr/>
        <w:t>公司不存在需要披露的重要或有事项。</w:t>
      </w:r>
    </w:p>
    <w:p>
      <w:pPr>
        <w:spacing w:after="0" w:line="240"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spacing w:line="487" w:lineRule="auto" w:before="35"/>
        <w:ind w:left="154" w:right="687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09" w:right="109"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6,222,000.00</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6,222,000.00</w:t>
            </w: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8"/>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1258"/>
        <w:jc w:val="left"/>
      </w:pPr>
      <w:r>
        <w:rPr/>
        <w:t>截至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日，本集团不存在其他应披露的资产负债表日后事项。</w:t>
      </w:r>
    </w:p>
    <w:p>
      <w:pPr>
        <w:spacing w:line="240" w:lineRule="auto" w:before="12"/>
        <w:rPr>
          <w:rFonts w:ascii="宋体" w:hAnsi="宋体" w:cs="宋体" w:eastAsia="宋体" w:hint="default"/>
          <w:sz w:val="23"/>
          <w:szCs w:val="23"/>
        </w:rPr>
      </w:pPr>
    </w:p>
    <w:p>
      <w:pPr>
        <w:pStyle w:val="Heading2"/>
        <w:spacing w:line="240" w:lineRule="auto"/>
        <w:ind w:right="1258"/>
        <w:jc w:val="left"/>
        <w:rPr>
          <w:b w:val="0"/>
          <w:bCs w:val="0"/>
        </w:rPr>
      </w:pP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258"/>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8"/>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29" w:right="109"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5"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b/>
          <w:bCs/>
          <w:sz w:val="20"/>
          <w:szCs w:val="20"/>
        </w:rPr>
      </w:pPr>
    </w:p>
    <w:p>
      <w:pPr>
        <w:pStyle w:val="Heading3"/>
        <w:spacing w:line="240" w:lineRule="auto" w:before="35"/>
        <w:ind w:right="1258"/>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8"/>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8"/>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8"/>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8"/>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8"/>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357" w:hRule="exact"/>
        </w:trPr>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归属于母公司所</w:t>
            </w:r>
          </w:p>
        </w:tc>
      </w:tr>
      <w:tr>
        <w:trPr>
          <w:trHeight w:val="313" w:hRule="exact"/>
        </w:trPr>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有者的终止经营</w:t>
            </w:r>
          </w:p>
        </w:tc>
      </w:tr>
      <w:tr>
        <w:trPr>
          <w:trHeight w:val="356" w:hRule="exact"/>
        </w:trPr>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利润</w:t>
            </w:r>
          </w:p>
        </w:tc>
      </w:tr>
    </w:tbl>
    <w:p>
      <w:pPr>
        <w:pStyle w:val="BodyText"/>
        <w:spacing w:line="240" w:lineRule="auto" w:before="51"/>
        <w:ind w:right="125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258"/>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258"/>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1"/>
        <w:gridCol w:w="2404"/>
        <w:gridCol w:w="2392"/>
        <w:gridCol w:w="2392"/>
      </w:tblGrid>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4" w:type="dxa"/>
            <w:tcBorders>
              <w:top w:val="single" w:sz="4" w:space="0" w:color="000000"/>
              <w:left w:val="single" w:sz="13" w:space="0" w:color="D3D3D3"/>
              <w:bottom w:val="single" w:sz="4" w:space="0" w:color="000000"/>
              <w:right w:val="single" w:sz="4" w:space="0" w:color="000000"/>
            </w:tcBorders>
            <w:shd w:val="clear" w:color="auto" w:fill="E1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除系统集成业务、软件产品及服务业务外，本集团未经营其他对经营成果有重大影响的业务。同时，由于本集团仅于一</w:t>
      </w:r>
      <w:r>
        <w:rPr/>
        <w:t> 个地域内经营业务，收入主要来自中国境内，其主要资产亦位于中国境内，因此本集团无需披露分部数据。</w:t>
      </w:r>
    </w:p>
    <w:p>
      <w:pPr>
        <w:spacing w:line="240" w:lineRule="auto" w:before="7"/>
        <w:rPr>
          <w:rFonts w:ascii="宋体" w:hAnsi="宋体" w:cs="宋体" w:eastAsia="宋体" w:hint="default"/>
          <w:sz w:val="22"/>
          <w:szCs w:val="22"/>
        </w:rPr>
      </w:pPr>
    </w:p>
    <w:p>
      <w:pPr>
        <w:pStyle w:val="Heading3"/>
        <w:spacing w:line="240" w:lineRule="auto"/>
        <w:ind w:right="1258"/>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258"/>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8"/>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258"/>
        <w:jc w:val="left"/>
      </w:pPr>
      <w:r>
        <w:rPr/>
        <w:t>截至2017年12月31日，本集团不存在其他应披露的其他重要事项。</w:t>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sz w:val="19"/>
          <w:szCs w:val="19"/>
        </w:rPr>
      </w:pPr>
    </w:p>
    <w:p>
      <w:pPr>
        <w:pStyle w:val="Heading2"/>
        <w:spacing w:line="240" w:lineRule="auto" w:before="26"/>
        <w:ind w:right="1258"/>
        <w:jc w:val="left"/>
        <w:rPr>
          <w:b w:val="0"/>
          <w:bCs w:val="0"/>
        </w:rPr>
      </w:pP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258"/>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8"/>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2"/>
        <w:gridCol w:w="764"/>
        <w:gridCol w:w="762"/>
        <w:gridCol w:w="762"/>
        <w:gridCol w:w="762"/>
        <w:gridCol w:w="789"/>
        <w:gridCol w:w="655"/>
        <w:gridCol w:w="762"/>
        <w:gridCol w:w="812"/>
        <w:gridCol w:w="932"/>
        <w:gridCol w:w="932"/>
      </w:tblGrid>
      <w:tr>
        <w:trPr>
          <w:trHeight w:val="402" w:hRule="exact"/>
        </w:trPr>
        <w:tc>
          <w:tcPr>
            <w:tcW w:w="1622" w:type="dxa"/>
            <w:vMerge w:val="restart"/>
            <w:tcBorders>
              <w:top w:val="single" w:sz="4" w:space="0" w:color="000000"/>
              <w:left w:val="single" w:sz="4" w:space="0" w:color="000000"/>
              <w:right w:val="single" w:sz="4" w:space="0" w:color="000000"/>
            </w:tcBorders>
            <w:shd w:val="clear" w:color="auto" w:fill="D3D3D3"/>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2" w:type="dxa"/>
            <w:vMerge/>
            <w:tcBorders>
              <w:left w:val="single" w:sz="4" w:space="0" w:color="000000"/>
              <w:bottom w:val="nil" w:sz="6" w:space="0" w:color="auto"/>
              <w:right w:val="single" w:sz="4" w:space="0" w:color="000000"/>
            </w:tcBorders>
            <w:shd w:val="clear" w:color="auto" w:fill="D3D3D3"/>
          </w:tcPr>
          <w:p>
            <w:pPr/>
          </w:p>
        </w:tc>
        <w:tc>
          <w:tcPr>
            <w:tcW w:w="15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3D3D3"/>
          </w:tcPr>
          <w:p>
            <w:pPr/>
          </w:p>
        </w:tc>
        <w:tc>
          <w:tcPr>
            <w:tcW w:w="141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
        </w:tc>
      </w:tr>
      <w:tr>
        <w:trPr>
          <w:trHeight w:val="241" w:hRule="exact"/>
        </w:trPr>
        <w:tc>
          <w:tcPr>
            <w:tcW w:w="162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6" w:type="dxa"/>
            <w:gridSpan w:val="2"/>
            <w:vMerge/>
            <w:tcBorders>
              <w:left w:val="single" w:sz="4" w:space="0" w:color="000000"/>
              <w:bottom w:val="single" w:sz="4" w:space="0" w:color="000000"/>
              <w:right w:val="single" w:sz="4" w:space="0" w:color="000000"/>
            </w:tcBorders>
            <w:shd w:val="clear" w:color="auto" w:fill="D3D3D3"/>
          </w:tcPr>
          <w:p>
            <w:pPr/>
          </w:p>
        </w:tc>
        <w:tc>
          <w:tcPr>
            <w:tcW w:w="1524" w:type="dxa"/>
            <w:gridSpan w:val="2"/>
            <w:vMerge/>
            <w:tcBorders>
              <w:left w:val="single" w:sz="4" w:space="0" w:color="000000"/>
              <w:bottom w:val="single" w:sz="4" w:space="0" w:color="000000"/>
              <w:right w:val="single" w:sz="4" w:space="0" w:color="000000"/>
            </w:tcBorders>
            <w:shd w:val="clear" w:color="auto" w:fill="D3D3D3"/>
          </w:tcPr>
          <w:p>
            <w:pPr/>
          </w:p>
        </w:tc>
        <w:tc>
          <w:tcPr>
            <w:tcW w:w="789" w:type="dxa"/>
            <w:vMerge/>
            <w:tcBorders>
              <w:left w:val="single" w:sz="4" w:space="0" w:color="000000"/>
              <w:bottom w:val="nil" w:sz="6" w:space="0" w:color="auto"/>
              <w:right w:val="single" w:sz="4" w:space="0" w:color="000000"/>
            </w:tcBorders>
            <w:shd w:val="clear" w:color="auto" w:fill="D3D3D3"/>
          </w:tcPr>
          <w:p>
            <w:pPr/>
          </w:p>
        </w:tc>
        <w:tc>
          <w:tcPr>
            <w:tcW w:w="1417" w:type="dxa"/>
            <w:gridSpan w:val="2"/>
            <w:vMerge/>
            <w:tcBorders>
              <w:left w:val="single" w:sz="4" w:space="0" w:color="000000"/>
              <w:bottom w:val="single" w:sz="4" w:space="0" w:color="000000"/>
              <w:right w:val="single" w:sz="4" w:space="0" w:color="000000"/>
            </w:tcBorders>
            <w:shd w:val="clear" w:color="auto" w:fill="D3D3D3"/>
          </w:tcPr>
          <w:p>
            <w:pPr/>
          </w:p>
        </w:tc>
        <w:tc>
          <w:tcPr>
            <w:tcW w:w="1745" w:type="dxa"/>
            <w:gridSpan w:val="2"/>
            <w:vMerge/>
            <w:tcBorders>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158" w:hRule="exact"/>
        </w:trPr>
        <w:tc>
          <w:tcPr>
            <w:tcW w:w="1622" w:type="dxa"/>
            <w:vMerge/>
            <w:tcBorders>
              <w:left w:val="single" w:sz="4" w:space="0" w:color="000000"/>
              <w:bottom w:val="single" w:sz="4" w:space="0" w:color="FFFFFF"/>
              <w:right w:val="single" w:sz="4" w:space="0" w:color="000000"/>
            </w:tcBorders>
            <w:shd w:val="clear" w:color="auto" w:fill="D3D3D3"/>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76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3D3D3"/>
          </w:tcPr>
          <w:p>
            <w:pPr/>
          </w:p>
        </w:tc>
        <w:tc>
          <w:tcPr>
            <w:tcW w:w="762" w:type="dxa"/>
            <w:tcBorders>
              <w:top w:val="single" w:sz="4" w:space="0" w:color="000000"/>
              <w:left w:val="single" w:sz="4" w:space="0" w:color="000000"/>
              <w:bottom w:val="nil" w:sz="6" w:space="0" w:color="auto"/>
              <w:right w:val="single" w:sz="4" w:space="0" w:color="000000"/>
            </w:tcBorders>
            <w:shd w:val="clear" w:color="auto" w:fill="D3D3D3"/>
          </w:tcPr>
          <w:p>
            <w:pPr/>
          </w:p>
        </w:tc>
        <w:tc>
          <w:tcPr>
            <w:tcW w:w="81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2" w:type="dxa"/>
            <w:vMerge w:val="restart"/>
            <w:tcBorders>
              <w:top w:val="single" w:sz="4" w:space="0" w:color="FFFFFF"/>
              <w:left w:val="single" w:sz="4" w:space="0" w:color="000000"/>
              <w:right w:val="single" w:sz="4" w:space="0" w:color="000000"/>
            </w:tcBorders>
            <w:shd w:val="clear" w:color="auto" w:fill="D3D3D3"/>
          </w:tcPr>
          <w:p>
            <w:pPr/>
          </w:p>
        </w:tc>
        <w:tc>
          <w:tcPr>
            <w:tcW w:w="764" w:type="dxa"/>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3D3D3"/>
          </w:tcPr>
          <w:p>
            <w:pPr/>
          </w:p>
        </w:tc>
        <w:tc>
          <w:tcPr>
            <w:tcW w:w="789" w:type="dxa"/>
            <w:vMerge/>
            <w:tcBorders>
              <w:left w:val="single" w:sz="4" w:space="0" w:color="000000"/>
              <w:bottom w:val="nil" w:sz="6" w:space="0" w:color="auto"/>
              <w:right w:val="single" w:sz="4" w:space="0" w:color="000000"/>
            </w:tcBorders>
            <w:shd w:val="clear" w:color="auto" w:fill="D3D3D3"/>
          </w:tcPr>
          <w:p>
            <w:pPr/>
          </w:p>
        </w:tc>
        <w:tc>
          <w:tcPr>
            <w:tcW w:w="65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3D3D3"/>
          </w:tcPr>
          <w:p>
            <w:pPr/>
          </w:p>
        </w:tc>
      </w:tr>
      <w:tr>
        <w:trPr>
          <w:trHeight w:val="202" w:hRule="exact"/>
        </w:trPr>
        <w:tc>
          <w:tcPr>
            <w:tcW w:w="1622" w:type="dxa"/>
            <w:vMerge/>
            <w:tcBorders>
              <w:left w:val="single" w:sz="4" w:space="0" w:color="000000"/>
              <w:right w:val="single" w:sz="4" w:space="0" w:color="000000"/>
            </w:tcBorders>
            <w:shd w:val="clear" w:color="auto" w:fill="D3D3D3"/>
          </w:tcPr>
          <w:p>
            <w:pPr/>
          </w:p>
        </w:tc>
        <w:tc>
          <w:tcPr>
            <w:tcW w:w="764"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right w:val="single" w:sz="4" w:space="0" w:color="000000"/>
            </w:tcBorders>
            <w:shd w:val="clear" w:color="auto" w:fill="D3D3D3"/>
          </w:tcPr>
          <w:p>
            <w:pPr/>
          </w:p>
        </w:tc>
        <w:tc>
          <w:tcPr>
            <w:tcW w:w="789" w:type="dxa"/>
            <w:vMerge w:val="restart"/>
            <w:tcBorders>
              <w:top w:val="nil" w:sz="6" w:space="0" w:color="auto"/>
              <w:left w:val="single" w:sz="4" w:space="0" w:color="000000"/>
              <w:right w:val="single" w:sz="4" w:space="0" w:color="000000"/>
            </w:tcBorders>
            <w:shd w:val="clear" w:color="auto" w:fill="D3D3D3"/>
          </w:tcPr>
          <w:p>
            <w:pPr/>
          </w:p>
        </w:tc>
        <w:tc>
          <w:tcPr>
            <w:tcW w:w="655"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812" w:type="dxa"/>
            <w:vMerge/>
            <w:tcBorders>
              <w:left w:val="single" w:sz="4" w:space="0" w:color="000000"/>
              <w:bottom w:val="nil" w:sz="6" w:space="0" w:color="auto"/>
              <w:right w:val="single" w:sz="4" w:space="0" w:color="000000"/>
            </w:tcBorders>
            <w:shd w:val="clear" w:color="auto" w:fill="D3D3D3"/>
          </w:tcPr>
          <w:p>
            <w:pPr/>
          </w:p>
        </w:tc>
        <w:tc>
          <w:tcPr>
            <w:tcW w:w="932" w:type="dxa"/>
            <w:vMerge/>
            <w:tcBorders>
              <w:left w:val="single" w:sz="4" w:space="0" w:color="000000"/>
              <w:bottom w:val="nil" w:sz="6" w:space="0" w:color="auto"/>
              <w:right w:val="single" w:sz="4" w:space="0" w:color="000000"/>
            </w:tcBorders>
            <w:shd w:val="clear" w:color="auto" w:fill="D3D3D3"/>
          </w:tcPr>
          <w:p>
            <w:pPr/>
          </w:p>
        </w:tc>
        <w:tc>
          <w:tcPr>
            <w:tcW w:w="932"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622" w:type="dxa"/>
            <w:vMerge/>
            <w:tcBorders>
              <w:left w:val="single" w:sz="4" w:space="0" w:color="000000"/>
              <w:bottom w:val="single" w:sz="4" w:space="0" w:color="000000"/>
              <w:right w:val="single" w:sz="4" w:space="0" w:color="000000"/>
            </w:tcBorders>
            <w:shd w:val="clear" w:color="auto" w:fill="D3D3D3"/>
          </w:tcPr>
          <w:p>
            <w:pPr/>
          </w:p>
        </w:tc>
        <w:tc>
          <w:tcPr>
            <w:tcW w:w="76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vMerge/>
            <w:tcBorders>
              <w:left w:val="single" w:sz="4" w:space="0" w:color="000000"/>
              <w:bottom w:val="single" w:sz="4" w:space="0" w:color="000000"/>
              <w:right w:val="single" w:sz="4" w:space="0" w:color="000000"/>
            </w:tcBorders>
            <w:shd w:val="clear" w:color="auto" w:fill="D3D3D3"/>
          </w:tcPr>
          <w:p>
            <w:pPr/>
          </w:p>
        </w:tc>
        <w:tc>
          <w:tcPr>
            <w:tcW w:w="789" w:type="dxa"/>
            <w:vMerge/>
            <w:tcBorders>
              <w:left w:val="single" w:sz="4" w:space="0" w:color="000000"/>
              <w:bottom w:val="single" w:sz="4" w:space="0" w:color="000000"/>
              <w:right w:val="single" w:sz="4" w:space="0" w:color="000000"/>
            </w:tcBorders>
            <w:shd w:val="clear" w:color="auto" w:fill="D3D3D3"/>
          </w:tcPr>
          <w:p>
            <w:pPr/>
          </w:p>
        </w:tc>
        <w:tc>
          <w:tcPr>
            <w:tcW w:w="655"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81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105,718,</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906.20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17,440,3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36.84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16.50%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88,278,56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9.36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91,341,</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926.00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11,022,06</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0.86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12.07%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80,319,865.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14</w:t>
            </w:r>
          </w:p>
        </w:tc>
      </w:tr>
      <w:tr>
        <w:trPr>
          <w:trHeight w:val="161" w:hRule="exact"/>
        </w:trPr>
        <w:tc>
          <w:tcPr>
            <w:tcW w:w="1622" w:type="dxa"/>
            <w:tcBorders>
              <w:top w:val="single" w:sz="4" w:space="0" w:color="000000"/>
              <w:left w:val="single" w:sz="4" w:space="0" w:color="000000"/>
              <w:bottom w:val="nil" w:sz="6" w:space="0" w:color="auto"/>
              <w:right w:val="single" w:sz="4" w:space="0" w:color="000000"/>
            </w:tcBorders>
            <w:shd w:val="clear" w:color="auto" w:fill="D3D3D3"/>
          </w:tcPr>
          <w:p>
            <w:pPr/>
          </w:p>
        </w:tc>
        <w:tc>
          <w:tcPr>
            <w:tcW w:w="764" w:type="dxa"/>
            <w:vMerge w:val="restart"/>
            <w:tcBorders>
              <w:top w:val="single" w:sz="4" w:space="0" w:color="000000"/>
              <w:left w:val="single" w:sz="9" w:space="0" w:color="D3D3D3"/>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105,718,</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906.20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17,440,3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36.84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16.50%</w:t>
            </w:r>
          </w:p>
        </w:tc>
        <w:tc>
          <w:tcPr>
            <w:tcW w:w="789"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88,278,56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9.36</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91,341,</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926.00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2"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11,022,06</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0.86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12.07%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80,319,865.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14</w:t>
            </w:r>
          </w:p>
        </w:tc>
      </w:tr>
      <w:tr>
        <w:trPr>
          <w:trHeight w:val="392" w:hRule="exact"/>
        </w:trPr>
        <w:tc>
          <w:tcPr>
            <w:tcW w:w="16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vMerge/>
            <w:tcBorders>
              <w:left w:val="single" w:sz="9" w:space="0" w:color="D3D3D3"/>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89"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4" w:type="dxa"/>
            <w:vMerge/>
            <w:tcBorders>
              <w:left w:val="single" w:sz="9" w:space="0" w:color="D3D3D3"/>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89"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0"/>
        <w:gridCol w:w="2389"/>
      </w:tblGrid>
      <w:tr>
        <w:trPr>
          <w:trHeight w:val="207" w:hRule="exact"/>
        </w:trPr>
        <w:tc>
          <w:tcPr>
            <w:tcW w:w="2476" w:type="dxa"/>
            <w:tcBorders>
              <w:top w:val="single" w:sz="4" w:space="0" w:color="000000"/>
              <w:left w:val="single" w:sz="4" w:space="0" w:color="000000"/>
              <w:bottom w:val="nil" w:sz="6" w:space="0" w:color="auto"/>
              <w:right w:val="single" w:sz="4" w:space="0" w:color="000000"/>
            </w:tcBorders>
            <w:shd w:val="clear" w:color="auto" w:fill="D3D3D3"/>
          </w:tcPr>
          <w:p>
            <w:pPr/>
          </w:p>
        </w:tc>
        <w:tc>
          <w:tcPr>
            <w:tcW w:w="7080"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5" w:hRule="exact"/>
        </w:trPr>
        <w:tc>
          <w:tcPr>
            <w:tcW w:w="247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0" w:type="dxa"/>
            <w:gridSpan w:val="3"/>
            <w:vMerge/>
            <w:tcBorders>
              <w:left w:val="single" w:sz="4" w:space="0" w:color="000000"/>
              <w:bottom w:val="single" w:sz="4" w:space="0" w:color="000000"/>
              <w:right w:val="single" w:sz="4" w:space="0" w:color="000000"/>
            </w:tcBorders>
            <w:shd w:val="clear" w:color="auto" w:fill="D3D3D3"/>
          </w:tcPr>
          <w:p>
            <w:pPr/>
          </w:p>
        </w:tc>
      </w:tr>
      <w:tr>
        <w:trPr>
          <w:trHeight w:val="195" w:hRule="exact"/>
        </w:trPr>
        <w:tc>
          <w:tcPr>
            <w:tcW w:w="2476" w:type="dxa"/>
            <w:vMerge/>
            <w:tcBorders>
              <w:left w:val="single" w:sz="4" w:space="0" w:color="000000"/>
              <w:bottom w:val="nil" w:sz="6" w:space="0" w:color="auto"/>
              <w:right w:val="single" w:sz="4" w:space="0" w:color="000000"/>
            </w:tcBorders>
            <w:shd w:val="clear" w:color="auto" w:fill="D3D3D3"/>
          </w:tcPr>
          <w:p>
            <w:pPr/>
          </w:p>
        </w:tc>
        <w:tc>
          <w:tcPr>
            <w:tcW w:w="230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7" w:hRule="exact"/>
        </w:trPr>
        <w:tc>
          <w:tcPr>
            <w:tcW w:w="2476" w:type="dxa"/>
            <w:tcBorders>
              <w:top w:val="nil" w:sz="6" w:space="0" w:color="auto"/>
              <w:left w:val="single" w:sz="4" w:space="0" w:color="000000"/>
              <w:bottom w:val="single" w:sz="4" w:space="0" w:color="000000"/>
              <w:right w:val="single" w:sz="4" w:space="0" w:color="000000"/>
            </w:tcBorders>
            <w:shd w:val="clear" w:color="auto" w:fill="D3D3D3"/>
          </w:tcPr>
          <w:p>
            <w:pPr/>
          </w:p>
        </w:tc>
        <w:tc>
          <w:tcPr>
            <w:tcW w:w="2301" w:type="dxa"/>
            <w:vMerge/>
            <w:tcBorders>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c>
          <w:tcPr>
            <w:tcW w:w="2389"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5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55,105,266.83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2,755,263.34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21,761,670.36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2,176,167.04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9,463,341.86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1,892,668.37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10,616,238.09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10,616,238.09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96,946,517.14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17,440,336.84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17.99%</w:t>
            </w:r>
          </w:p>
        </w:tc>
      </w:tr>
    </w:tbl>
    <w:p>
      <w:pPr>
        <w:pStyle w:val="BodyText"/>
        <w:spacing w:line="360" w:lineRule="auto" w:before="51"/>
        <w:ind w:left="153" w:right="5451"/>
        <w:jc w:val="left"/>
      </w:pPr>
      <w:r>
        <w:rPr/>
        <w:t>确定该组合依据的说明： 组合中，采用余额百分比法计提坏账准备的应收账款：</w:t>
      </w:r>
    </w:p>
    <w:p>
      <w:pPr>
        <w:pStyle w:val="BodyText"/>
        <w:spacing w:line="340" w:lineRule="auto" w:before="26"/>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3"/>
        <w:rPr>
          <w:rFonts w:ascii="宋体" w:hAnsi="宋体" w:cs="宋体" w:eastAsia="宋体" w:hint="default"/>
          <w:sz w:val="20"/>
          <w:szCs w:val="20"/>
        </w:rPr>
      </w:pPr>
    </w:p>
    <w:p>
      <w:pPr>
        <w:pStyle w:val="Heading3"/>
        <w:spacing w:line="240" w:lineRule="auto"/>
        <w:ind w:right="1258"/>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80" w:left="980" w:right="980"/>
        </w:sectPr>
      </w:pPr>
    </w:p>
    <w:p>
      <w:pPr>
        <w:pStyle w:val="BodyText"/>
        <w:spacing w:line="338" w:lineRule="auto" w:before="44"/>
        <w:ind w:right="-18"/>
        <w:jc w:val="left"/>
      </w:pPr>
      <w:r>
        <w:rPr/>
        <w:t>本期计提坏账准备金额</w:t>
      </w:r>
      <w:r>
        <w:rPr>
          <w:spacing w:val="-46"/>
        </w:rPr>
        <w:t> </w:t>
      </w:r>
      <w:r>
        <w:rPr>
          <w:rFonts w:ascii="Times New Roman" w:hAnsi="Times New Roman" w:cs="Times New Roman" w:eastAsia="Times New Roman" w:hint="default"/>
        </w:rPr>
        <w:t>6,418,275.98</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6453" w:space="2375"/>
            <w:col w:w="1122"/>
          </w:cols>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4976;top:14;width:2;height:393" coordorigin="4976,14" coordsize="2,393">
              <v:shape style="position:absolute;left:4976;top:14;width:2;height:393" coordorigin="4976,14" coordsize="0,393" path="m4976,14l4976,407e" filled="false" stroked="true" strokeweight="1.140pt" strokecolor="#d3d3d3">
                <v:path arrowok="t"/>
              </v:shape>
            </v:group>
            <v:group style="position:absolute;left:37;top:14;width:4928;height:393" coordorigin="37,14" coordsize="4928,393">
              <v:shape style="position:absolute;left:37;top:14;width:4928;height:393" coordorigin="37,14" coordsize="4928,393" path="m37,407l4964,407,4964,14,37,14,37,407xe" filled="true" fillcolor="#d3d3d3" stroked="false">
                <v:path arrowok="t"/>
                <v:fill type="solid"/>
              </v:shape>
            </v:group>
            <v:group style="position:absolute;left:5009;top:14;width:2;height:393" coordorigin="5009,14" coordsize="2,393">
              <v:shape style="position:absolute;left:5009;top:14;width:2;height:393" coordorigin="5009,14" coordsize="0,393" path="m5009,14l5009,407e" filled="false" stroked="true" strokeweight="1.140pt" strokecolor="#d3d3d3">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d3d3d3">
                <v:path arrowok="t"/>
              </v:shape>
            </v:group>
            <v:group style="position:absolute;left:5021;top:14;width:4529;height:393" coordorigin="5021,14" coordsize="4529,393">
              <v:shape style="position:absolute;left:5021;top:14;width:4529;height:393" coordorigin="5021,14" coordsize="4529,393" path="m5021,407l9550,407,9550,14,5021,14,5021,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984;height:2" coordorigin="5,412" coordsize="4984,2">
              <v:shape style="position:absolute;left:5;top:412;width:4984;height:2" coordorigin="5,412" coordsize="4984,0" path="m5,412l4988,412e" filled="false" stroked="true" strokeweight=".48004pt" strokecolor="#000000">
                <v:path arrowok="t"/>
              </v:shape>
            </v:group>
            <v:group style="position:absolute;left:4993;top:14;width:2;height:402" coordorigin="4993,14" coordsize="2,402">
              <v:shape style="position:absolute;left:4993;top:14;width:2;height:402" coordorigin="4993,14" coordsize="0,402" path="m4993,14l4993,416e" filled="false" stroked="true" strokeweight=".47998pt" strokecolor="#000000">
                <v:path arrowok="t"/>
              </v:shape>
            </v:group>
            <v:group style="position:absolute;left:4998;top:412;width:4575;height:2" coordorigin="4998,412" coordsize="4575,2">
              <v:shape style="position:absolute;left:4998;top:412;width:4575;height:2" coordorigin="4998,412" coordsize="4575,0" path="m4998,412l9572,412e" filled="false" stroked="true" strokeweight=".48004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3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93;top:10;width:45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1258"/>
        <w:jc w:val="left"/>
      </w:pPr>
      <w:r>
        <w:rPr/>
        <w:t>其中重要的应收账款核销情况：</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32"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1258"/>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right="1258"/>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1"/>
        <w:rPr>
          <w:rFonts w:ascii="宋体" w:hAnsi="宋体" w:cs="宋体" w:eastAsia="宋体" w:hint="default"/>
          <w:b/>
          <w:bCs/>
          <w:sz w:val="25"/>
          <w:szCs w:val="25"/>
        </w:rPr>
      </w:pPr>
    </w:p>
    <w:tbl>
      <w:tblPr>
        <w:tblW w:w="0" w:type="auto"/>
        <w:jc w:val="left"/>
        <w:tblInd w:w="323" w:type="dxa"/>
        <w:tblLayout w:type="fixed"/>
        <w:tblCellMar>
          <w:top w:w="0" w:type="dxa"/>
          <w:left w:w="0" w:type="dxa"/>
          <w:bottom w:w="0" w:type="dxa"/>
          <w:right w:w="0" w:type="dxa"/>
        </w:tblCellMar>
        <w:tblLook w:val="01E0"/>
      </w:tblPr>
      <w:tblGrid>
        <w:gridCol w:w="4404"/>
        <w:gridCol w:w="1756"/>
        <w:gridCol w:w="1356"/>
        <w:gridCol w:w="1764"/>
      </w:tblGrid>
      <w:tr>
        <w:trPr>
          <w:trHeight w:val="975" w:hRule="exact"/>
        </w:trPr>
        <w:tc>
          <w:tcPr>
            <w:tcW w:w="440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56"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316" w:lineRule="auto"/>
              <w:ind w:left="507" w:right="506"/>
              <w:jc w:val="left"/>
              <w:rPr>
                <w:rFonts w:ascii="宋体" w:hAnsi="宋体" w:cs="宋体" w:eastAsia="宋体" w:hint="default"/>
                <w:sz w:val="18"/>
                <w:szCs w:val="18"/>
              </w:rPr>
            </w:pPr>
            <w:r>
              <w:rPr>
                <w:rFonts w:ascii="宋体" w:hAnsi="宋体" w:cs="宋体" w:eastAsia="宋体" w:hint="default"/>
                <w:sz w:val="18"/>
                <w:szCs w:val="18"/>
              </w:rPr>
              <w:t>应收账款 期末余额</w:t>
            </w:r>
          </w:p>
        </w:tc>
        <w:tc>
          <w:tcPr>
            <w:tcW w:w="1356"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316" w:lineRule="auto" w:before="20"/>
              <w:ind w:left="37" w:right="37"/>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 余额合计数的比 例</w:t>
            </w:r>
            <w:r>
              <w:rPr>
                <w:rFonts w:ascii="Times New Roman" w:hAnsi="Times New Roman" w:cs="Times New Roman" w:eastAsia="Times New Roman" w:hint="default"/>
                <w:sz w:val="18"/>
                <w:szCs w:val="18"/>
              </w:rPr>
              <w:t>%</w:t>
            </w:r>
          </w:p>
        </w:tc>
        <w:tc>
          <w:tcPr>
            <w:tcW w:w="176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316" w:lineRule="auto"/>
              <w:ind w:left="511" w:right="511"/>
              <w:jc w:val="left"/>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432" w:hRule="exact"/>
        </w:trPr>
        <w:tc>
          <w:tcPr>
            <w:tcW w:w="44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福建省星云大数据应用服务有限公司</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15,583,151.80</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14.74</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779,157.59</w:t>
            </w:r>
          </w:p>
        </w:tc>
      </w:tr>
      <w:tr>
        <w:trPr>
          <w:trHeight w:val="432" w:hRule="exact"/>
        </w:trPr>
        <w:tc>
          <w:tcPr>
            <w:tcW w:w="44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福建省闽江监狱</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7,175,520.00</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6.79</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358,776.00</w:t>
            </w:r>
          </w:p>
        </w:tc>
      </w:tr>
      <w:tr>
        <w:trPr>
          <w:trHeight w:val="432" w:hRule="exact"/>
        </w:trPr>
        <w:tc>
          <w:tcPr>
            <w:tcW w:w="44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河南信大科技有限公司</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3,904,000.00</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3.69</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780,800.00</w:t>
            </w:r>
          </w:p>
        </w:tc>
      </w:tr>
      <w:tr>
        <w:trPr>
          <w:trHeight w:val="432" w:hRule="exact"/>
        </w:trPr>
        <w:tc>
          <w:tcPr>
            <w:tcW w:w="44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浙江榕基信息技术有限公司</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3,823,440.00</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3.62</w:t>
            </w:r>
          </w:p>
        </w:tc>
        <w:tc>
          <w:tcPr>
            <w:tcW w:w="1764" w:type="dxa"/>
            <w:tcBorders>
              <w:top w:val="single" w:sz="8" w:space="0" w:color="000000"/>
              <w:left w:val="single" w:sz="8" w:space="0" w:color="000000"/>
              <w:bottom w:val="single" w:sz="8" w:space="0" w:color="000000"/>
              <w:right w:val="single" w:sz="8" w:space="0" w:color="000000"/>
            </w:tcBorders>
          </w:tcPr>
          <w:p>
            <w:pPr/>
          </w:p>
        </w:tc>
      </w:tr>
      <w:tr>
        <w:trPr>
          <w:trHeight w:val="432" w:hRule="exact"/>
        </w:trPr>
        <w:tc>
          <w:tcPr>
            <w:tcW w:w="44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中国联合网络通信有限公司福州市分公司</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3,641,368.90</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3.44</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364,136.89</w:t>
            </w:r>
          </w:p>
        </w:tc>
      </w:tr>
      <w:tr>
        <w:trPr>
          <w:trHeight w:val="433" w:hRule="exact"/>
        </w:trPr>
        <w:tc>
          <w:tcPr>
            <w:tcW w:w="440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34,127,480.70</w:t>
            </w:r>
          </w:p>
        </w:tc>
        <w:tc>
          <w:tcPr>
            <w:tcW w:w="13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32.28</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2,282,870.48</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8"/>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5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258"/>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258"/>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1"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2"/>
        <w:gridCol w:w="932"/>
        <w:gridCol w:w="932"/>
      </w:tblGrid>
      <w:tr>
        <w:trPr>
          <w:trHeight w:val="362" w:hRule="exact"/>
        </w:trPr>
        <w:tc>
          <w:tcPr>
            <w:tcW w:w="16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85" w:right="0"/>
              <w:jc w:val="left"/>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4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646,172,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792.13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6,602,53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1.02%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639,570,2</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55.37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549,320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,204.47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5,879,753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1.07%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543,440,45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1.03</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3D3D3"/>
          </w:tcPr>
          <w:p>
            <w:pPr/>
          </w:p>
        </w:tc>
        <w:tc>
          <w:tcPr>
            <w:tcW w:w="775" w:type="dxa"/>
            <w:vMerge w:val="restart"/>
            <w:tcBorders>
              <w:top w:val="single" w:sz="4" w:space="0" w:color="000000"/>
              <w:left w:val="single" w:sz="9" w:space="0" w:color="D3D3D3"/>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646,172,</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792.13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6,602,53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6.76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1.02%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639,570,2</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55.37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549,320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,204.47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5,879,753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1.07%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543,440,45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1.03</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3D3D3"/>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3D3D3"/>
          </w:tcPr>
          <w:p>
            <w:pPr/>
          </w:p>
        </w:tc>
        <w:tc>
          <w:tcPr>
            <w:tcW w:w="775" w:type="dxa"/>
            <w:vMerge/>
            <w:tcBorders>
              <w:left w:val="single" w:sz="9" w:space="0" w:color="D3D3D3"/>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475" w:space="4354"/>
            <w:col w:w="112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0"/>
        <w:gridCol w:w="2389"/>
      </w:tblGrid>
      <w:tr>
        <w:trPr>
          <w:trHeight w:val="207" w:hRule="exact"/>
        </w:trPr>
        <w:tc>
          <w:tcPr>
            <w:tcW w:w="2476" w:type="dxa"/>
            <w:tcBorders>
              <w:top w:val="single" w:sz="4" w:space="0" w:color="000000"/>
              <w:left w:val="single" w:sz="4" w:space="0" w:color="000000"/>
              <w:bottom w:val="nil" w:sz="6" w:space="0" w:color="auto"/>
              <w:right w:val="single" w:sz="4" w:space="0" w:color="000000"/>
            </w:tcBorders>
            <w:shd w:val="clear" w:color="auto" w:fill="D3D3D3"/>
          </w:tcPr>
          <w:p>
            <w:pPr/>
          </w:p>
        </w:tc>
        <w:tc>
          <w:tcPr>
            <w:tcW w:w="7080"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5" w:hRule="exact"/>
        </w:trPr>
        <w:tc>
          <w:tcPr>
            <w:tcW w:w="247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0" w:type="dxa"/>
            <w:gridSpan w:val="3"/>
            <w:vMerge/>
            <w:tcBorders>
              <w:left w:val="single" w:sz="4" w:space="0" w:color="000000"/>
              <w:bottom w:val="single" w:sz="4" w:space="0" w:color="000000"/>
              <w:right w:val="single" w:sz="4" w:space="0" w:color="000000"/>
            </w:tcBorders>
            <w:shd w:val="clear" w:color="auto" w:fill="D3D3D3"/>
          </w:tcPr>
          <w:p>
            <w:pPr/>
          </w:p>
        </w:tc>
      </w:tr>
      <w:tr>
        <w:trPr>
          <w:trHeight w:val="195" w:hRule="exact"/>
        </w:trPr>
        <w:tc>
          <w:tcPr>
            <w:tcW w:w="2476" w:type="dxa"/>
            <w:vMerge/>
            <w:tcBorders>
              <w:left w:val="single" w:sz="4" w:space="0" w:color="000000"/>
              <w:bottom w:val="nil" w:sz="6" w:space="0" w:color="auto"/>
              <w:right w:val="single" w:sz="4" w:space="0" w:color="000000"/>
            </w:tcBorders>
            <w:shd w:val="clear" w:color="auto" w:fill="D3D3D3"/>
          </w:tcPr>
          <w:p>
            <w:pPr/>
          </w:p>
        </w:tc>
        <w:tc>
          <w:tcPr>
            <w:tcW w:w="230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7" w:hRule="exact"/>
        </w:trPr>
        <w:tc>
          <w:tcPr>
            <w:tcW w:w="2476" w:type="dxa"/>
            <w:tcBorders>
              <w:top w:val="nil" w:sz="6" w:space="0" w:color="auto"/>
              <w:left w:val="single" w:sz="4" w:space="0" w:color="000000"/>
              <w:bottom w:val="single" w:sz="4" w:space="0" w:color="000000"/>
              <w:right w:val="single" w:sz="4" w:space="0" w:color="000000"/>
            </w:tcBorders>
            <w:shd w:val="clear" w:color="auto" w:fill="D3D3D3"/>
          </w:tcPr>
          <w:p>
            <w:pPr/>
          </w:p>
        </w:tc>
        <w:tc>
          <w:tcPr>
            <w:tcW w:w="2301" w:type="dxa"/>
            <w:vMerge/>
            <w:tcBorders>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c>
          <w:tcPr>
            <w:tcW w:w="2389"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5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18,599,272.87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929,963.66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6,605,733.64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660,573.36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4,750,665.20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950,133.04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4,061,866.70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4,061,866.70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34,017,538.41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6,602,536.76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19.41%</w:t>
            </w:r>
          </w:p>
        </w:tc>
      </w:tr>
    </w:tbl>
    <w:p>
      <w:pPr>
        <w:pStyle w:val="BodyText"/>
        <w:spacing w:line="360" w:lineRule="auto" w:before="51"/>
        <w:ind w:left="153" w:right="5271"/>
        <w:jc w:val="left"/>
      </w:pPr>
      <w:r>
        <w:rPr/>
        <w:t>确定该组合依据的说明： 组合中，采用余额百分比法计提坏账准备的其他应收款：</w:t>
      </w:r>
    </w:p>
    <w:p>
      <w:pPr>
        <w:pStyle w:val="BodyText"/>
        <w:spacing w:line="340" w:lineRule="auto" w:before="26"/>
        <w:ind w:right="56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258"/>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80" w:left="980" w:right="980"/>
        </w:sectPr>
      </w:pPr>
    </w:p>
    <w:p>
      <w:pPr>
        <w:pStyle w:val="BodyText"/>
        <w:spacing w:line="338" w:lineRule="auto" w:before="44"/>
        <w:ind w:right="-17"/>
        <w:jc w:val="left"/>
      </w:pPr>
      <w:r>
        <w:rPr/>
        <w:t>本期计提坏账准备金额</w:t>
      </w:r>
      <w:r>
        <w:rPr>
          <w:spacing w:val="-46"/>
        </w:rPr>
        <w:t> </w:t>
      </w:r>
      <w:r>
        <w:rPr>
          <w:rFonts w:ascii="Times New Roman" w:hAnsi="Times New Roman" w:cs="Times New Roman" w:eastAsia="Times New Roman" w:hint="default"/>
        </w:rPr>
        <w:t>722,783.32</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6319" w:space="2509"/>
            <w:col w:w="1122"/>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4976;top:14;width:2;height:393" coordorigin="4976,14" coordsize="2,393">
              <v:shape style="position:absolute;left:4976;top:14;width:2;height:393" coordorigin="4976,14" coordsize="0,393" path="m4976,14l4976,407e" filled="false" stroked="true" strokeweight="1.140pt" strokecolor="#d3d3d3">
                <v:path arrowok="t"/>
              </v:shape>
            </v:group>
            <v:group style="position:absolute;left:37;top:14;width:4928;height:393" coordorigin="37,14" coordsize="4928,393">
              <v:shape style="position:absolute;left:37;top:14;width:4928;height:393" coordorigin="37,14" coordsize="4928,393" path="m37,407l4964,407,4964,14,37,14,37,407xe" filled="true" fillcolor="#d3d3d3" stroked="false">
                <v:path arrowok="t"/>
                <v:fill type="solid"/>
              </v:shape>
            </v:group>
            <v:group style="position:absolute;left:5009;top:14;width:2;height:393" coordorigin="5009,14" coordsize="2,393">
              <v:shape style="position:absolute;left:5009;top:14;width:2;height:393" coordorigin="5009,14" coordsize="0,393" path="m5009,14l5009,407e" filled="false" stroked="true" strokeweight="1.140pt" strokecolor="#d3d3d3">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d3d3d3">
                <v:path arrowok="t"/>
              </v:shape>
            </v:group>
            <v:group style="position:absolute;left:5021;top:14;width:4529;height:393" coordorigin="5021,14" coordsize="4529,393">
              <v:shape style="position:absolute;left:5021;top:14;width:4529;height:393" coordorigin="5021,14" coordsize="4529,393" path="m5021,407l9550,407,9550,14,5021,14,5021,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984;height:2" coordorigin="5,412" coordsize="4984,2">
              <v:shape style="position:absolute;left:5;top:412;width:4984;height:2" coordorigin="5,412" coordsize="4984,0" path="m5,412l4988,412e" filled="false" stroked="true" strokeweight=".48001pt" strokecolor="#000000">
                <v:path arrowok="t"/>
              </v:shape>
            </v:group>
            <v:group style="position:absolute;left:4993;top:14;width:2;height:402" coordorigin="4993,14" coordsize="2,402">
              <v:shape style="position:absolute;left:4993;top:14;width:2;height:402" coordorigin="4993,14" coordsize="0,402" path="m4993,14l4993,416e" filled="false" stroked="true" strokeweight=".47998pt" strokecolor="#000000">
                <v:path arrowok="t"/>
              </v:shape>
            </v:group>
            <v:group style="position:absolute;left:4998;top:412;width:4575;height:2" coordorigin="4998,412" coordsize="4575,2">
              <v:shape style="position:absolute;left:4998;top:412;width:4575;height:2" coordorigin="4998,412" coordsize="4575,0" path="m4998,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3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93;top:10;width:45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1258"/>
        <w:jc w:val="left"/>
      </w:pPr>
      <w:r>
        <w:rPr/>
        <w:t>其中重要的其他应收款核销情况：</w:t>
      </w:r>
    </w:p>
    <w:p>
      <w:pPr>
        <w:pStyle w:val="BodyText"/>
        <w:spacing w:line="240" w:lineRule="auto" w:before="117"/>
        <w:ind w:left="0" w:right="151"/>
        <w:jc w:val="right"/>
      </w:pPr>
      <w:r>
        <w:rPr/>
        <w:t>单位： 元</w:t>
      </w:r>
    </w:p>
    <w:p>
      <w:pPr>
        <w:spacing w:after="0" w:line="240" w:lineRule="auto"/>
        <w:jc w:val="right"/>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2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32"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254" w:right="0"/>
        <w:jc w:val="left"/>
      </w:pPr>
      <w:r>
        <w:rPr/>
        <w:t>其他应收款核销说明：</w:t>
      </w:r>
    </w:p>
    <w:p>
      <w:pPr>
        <w:spacing w:line="240" w:lineRule="auto" w:before="11"/>
        <w:rPr>
          <w:rFonts w:ascii="宋体" w:hAnsi="宋体" w:cs="宋体" w:eastAsia="宋体" w:hint="default"/>
          <w:sz w:val="26"/>
          <w:szCs w:val="26"/>
        </w:rPr>
      </w:pPr>
    </w:p>
    <w:p>
      <w:pPr>
        <w:pStyle w:val="Heading3"/>
        <w:spacing w:line="240" w:lineRule="auto"/>
        <w:ind w:left="254"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2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合并报表范围内各单位之间往来款项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612,155,253.72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517,949,140.28</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27,958,813.77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26,096,749.72</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3,762,981.74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3,492,601.49</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354,909.28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369,003.26</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1,940,833.62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1,412,709.72</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646,172,792.13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549,320,204.47</w:t>
            </w:r>
          </w:p>
        </w:tc>
      </w:tr>
    </w:tbl>
    <w:p>
      <w:pPr>
        <w:spacing w:line="240" w:lineRule="auto" w:before="2"/>
        <w:rPr>
          <w:rFonts w:ascii="宋体" w:hAnsi="宋体" w:cs="宋体" w:eastAsia="宋体" w:hint="default"/>
          <w:sz w:val="19"/>
          <w:szCs w:val="19"/>
        </w:rPr>
      </w:pPr>
    </w:p>
    <w:p>
      <w:pPr>
        <w:pStyle w:val="Heading3"/>
        <w:spacing w:line="240" w:lineRule="auto" w:before="35"/>
        <w:ind w:left="254"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836"/>
        <w:gridCol w:w="1276"/>
        <w:gridCol w:w="1417"/>
        <w:gridCol w:w="1134"/>
        <w:gridCol w:w="1702"/>
        <w:gridCol w:w="1134"/>
      </w:tblGrid>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80"/>
              <w:jc w:val="right"/>
              <w:rPr>
                <w:rFonts w:ascii="宋体" w:hAnsi="宋体" w:cs="宋体" w:eastAsia="宋体" w:hint="default"/>
                <w:sz w:val="18"/>
                <w:szCs w:val="18"/>
              </w:rPr>
            </w:pPr>
            <w:r>
              <w:rPr>
                <w:rFonts w:ascii="宋体" w:hAnsi="宋体" w:cs="宋体" w:eastAsia="宋体" w:hint="default"/>
                <w:sz w:val="18"/>
                <w:szCs w:val="18"/>
              </w:rPr>
              <w:t>账龄</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14" w:right="35" w:hanging="180"/>
              <w:jc w:val="left"/>
              <w:rPr>
                <w:rFonts w:ascii="宋体" w:hAnsi="宋体" w:cs="宋体" w:eastAsia="宋体" w:hint="default"/>
                <w:sz w:val="18"/>
                <w:szCs w:val="18"/>
              </w:rPr>
            </w:pPr>
            <w:r>
              <w:rPr>
                <w:rFonts w:ascii="宋体" w:hAnsi="宋体" w:cs="宋体" w:eastAsia="宋体" w:hint="default"/>
                <w:sz w:val="18"/>
                <w:szCs w:val="18"/>
              </w:rPr>
              <w:t>占其他应收款期末余 额合计数的比例</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91" w:right="110" w:hanging="180"/>
              <w:jc w:val="left"/>
              <w:rPr>
                <w:rFonts w:ascii="宋体" w:hAnsi="宋体" w:cs="宋体" w:eastAsia="宋体" w:hint="default"/>
                <w:sz w:val="18"/>
                <w:szCs w:val="18"/>
              </w:rPr>
            </w:pPr>
            <w:r>
              <w:rPr>
                <w:rFonts w:ascii="宋体" w:hAnsi="宋体" w:cs="宋体" w:eastAsia="宋体" w:hint="default"/>
                <w:sz w:val="18"/>
                <w:szCs w:val="18"/>
              </w:rPr>
              <w:t>坏账准备期 末余额</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信阳榕基信息技术有限公司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205,795,016.14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2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31.85%</w:t>
            </w: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河南榕基信息技术有限公司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159,208,609.09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2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24.64%</w:t>
            </w: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马鞍山榕基软件信息科技有限公司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67,786,663.72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2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10.49%</w:t>
            </w: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北京中榕基信息技术有限公司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55,899,134.54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2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8.65%</w:t>
            </w: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上海榕基软件开发有限公司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41,308,876.20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2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w:t>
            </w: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529,998,299.69</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82.02%</w:t>
            </w:r>
          </w:p>
        </w:tc>
        <w:tc>
          <w:tcPr>
            <w:tcW w:w="11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254"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249" w:type="dxa"/>
        <w:tblLayout w:type="fixed"/>
        <w:tblCellMar>
          <w:top w:w="0" w:type="dxa"/>
          <w:left w:w="0" w:type="dxa"/>
          <w:bottom w:w="0" w:type="dxa"/>
          <w:right w:w="0" w:type="dxa"/>
        </w:tblCellMar>
        <w:tblLook w:val="01E0"/>
      </w:tblPr>
      <w:tblGrid>
        <w:gridCol w:w="2026"/>
        <w:gridCol w:w="1866"/>
        <w:gridCol w:w="1866"/>
        <w:gridCol w:w="1867"/>
        <w:gridCol w:w="1944"/>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5" w:right="6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3"/>
        <w:spacing w:line="240" w:lineRule="auto" w:before="35"/>
        <w:ind w:left="254"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254"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54" w:right="0"/>
        <w:jc w:val="left"/>
      </w:pPr>
      <w:r>
        <w:rPr/>
        <w:t>其他说明：</w:t>
      </w:r>
    </w:p>
    <w:p>
      <w:pPr>
        <w:spacing w:after="0" w:line="240" w:lineRule="auto"/>
        <w:jc w:val="left"/>
        <w:sectPr>
          <w:pgSz w:w="11910" w:h="16840"/>
          <w:pgMar w:header="877" w:footer="982" w:top="1100" w:bottom="1180" w:left="880" w:right="980"/>
        </w:sectPr>
      </w:pPr>
    </w:p>
    <w:p>
      <w:pPr>
        <w:spacing w:line="240" w:lineRule="auto" w:before="9"/>
        <w:rPr>
          <w:rFonts w:ascii="宋体" w:hAnsi="宋体" w:cs="宋体" w:eastAsia="宋体" w:hint="default"/>
          <w:sz w:val="20"/>
          <w:szCs w:val="20"/>
        </w:rPr>
      </w:pPr>
    </w:p>
    <w:p>
      <w:pPr>
        <w:pStyle w:val="Heading3"/>
        <w:spacing w:line="240" w:lineRule="auto" w:before="35"/>
        <w:ind w:right="1258"/>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79"/>
        <w:gridCol w:w="1367"/>
        <w:gridCol w:w="1367"/>
        <w:gridCol w:w="1368"/>
        <w:gridCol w:w="1367"/>
        <w:gridCol w:w="1367"/>
      </w:tblGrid>
      <w:tr>
        <w:trPr>
          <w:trHeight w:val="206" w:hRule="exact"/>
        </w:trPr>
        <w:tc>
          <w:tcPr>
            <w:tcW w:w="1345" w:type="dxa"/>
            <w:tcBorders>
              <w:top w:val="single" w:sz="4" w:space="0" w:color="000000"/>
              <w:left w:val="single" w:sz="4" w:space="0" w:color="000000"/>
              <w:bottom w:val="nil" w:sz="6" w:space="0" w:color="auto"/>
              <w:right w:val="single" w:sz="4" w:space="0" w:color="000000"/>
            </w:tcBorders>
            <w:shd w:val="clear" w:color="auto" w:fill="D3D3D3"/>
          </w:tcPr>
          <w:p>
            <w:pPr/>
          </w:p>
        </w:tc>
        <w:tc>
          <w:tcPr>
            <w:tcW w:w="4113"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4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3D3D3"/>
          </w:tcPr>
          <w:p>
            <w:pPr/>
          </w:p>
        </w:tc>
        <w:tc>
          <w:tcPr>
            <w:tcW w:w="4102" w:type="dxa"/>
            <w:gridSpan w:val="3"/>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345" w:type="dxa"/>
            <w:vMerge/>
            <w:tcBorders>
              <w:left w:val="single" w:sz="4" w:space="0" w:color="000000"/>
              <w:bottom w:val="nil" w:sz="6" w:space="0" w:color="auto"/>
              <w:right w:val="single" w:sz="4" w:space="0" w:color="000000"/>
            </w:tcBorders>
            <w:shd w:val="clear" w:color="auto" w:fill="D3D3D3"/>
          </w:tcPr>
          <w:p>
            <w:pPr/>
          </w:p>
        </w:tc>
        <w:tc>
          <w:tcPr>
            <w:tcW w:w="137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5" w:type="dxa"/>
            <w:tcBorders>
              <w:top w:val="nil" w:sz="6" w:space="0" w:color="auto"/>
              <w:left w:val="single" w:sz="4" w:space="0" w:color="000000"/>
              <w:bottom w:val="single" w:sz="4" w:space="0" w:color="000000"/>
              <w:right w:val="single" w:sz="4" w:space="0" w:color="000000"/>
            </w:tcBorders>
            <w:shd w:val="clear" w:color="auto" w:fill="D3D3D3"/>
          </w:tcPr>
          <w:p>
            <w:pPr/>
          </w:p>
        </w:tc>
        <w:tc>
          <w:tcPr>
            <w:tcW w:w="137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685,926,537.29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685,926,537.29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698,376,537.29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698,376,537.29</w:t>
            </w:r>
          </w:p>
        </w:tc>
      </w:tr>
      <w:tr>
        <w:trPr>
          <w:trHeight w:val="714"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4,316,728.78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4,316,728.78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3,605,349.88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3,605,349.88</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690,243,266.07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690,243,266.07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701,981,887.17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701,981,887.17</w:t>
            </w: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7"/>
        <w:gridCol w:w="1336"/>
        <w:gridCol w:w="1336"/>
        <w:gridCol w:w="1334"/>
        <w:gridCol w:w="1336"/>
        <w:gridCol w:w="1388"/>
        <w:gridCol w:w="1390"/>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浙江榕基信息技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both"/>
              <w:rPr>
                <w:rFonts w:ascii="宋体" w:hAnsi="宋体" w:cs="宋体" w:eastAsia="宋体" w:hint="default"/>
                <w:sz w:val="18"/>
                <w:szCs w:val="18"/>
              </w:rPr>
            </w:pPr>
            <w:r>
              <w:rPr>
                <w:rFonts w:ascii="宋体" w:hAnsi="宋体" w:cs="宋体" w:eastAsia="宋体" w:hint="default"/>
                <w:sz w:val="18"/>
                <w:szCs w:val="18"/>
              </w:rPr>
              <w:t>福州创华电气自 动化系统有限公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7,496,345.89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7,496,345.89</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上海榕基软件开 发有限公司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福建榕基软件工 程有限公司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85,000,000.00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6"/>
              <w:jc w:val="left"/>
              <w:rPr>
                <w:rFonts w:ascii="宋体" w:hAnsi="宋体" w:cs="宋体" w:eastAsia="宋体" w:hint="default"/>
                <w:sz w:val="18"/>
                <w:szCs w:val="18"/>
              </w:rPr>
            </w:pPr>
            <w:r>
              <w:rPr>
                <w:rFonts w:ascii="宋体" w:hAnsi="宋体" w:cs="宋体" w:eastAsia="宋体" w:hint="default"/>
                <w:sz w:val="18"/>
                <w:szCs w:val="18"/>
              </w:rPr>
              <w:t>榕基五一（北京） 信息技术有限公</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both"/>
              <w:rPr>
                <w:rFonts w:ascii="宋体" w:hAnsi="宋体" w:cs="宋体" w:eastAsia="宋体" w:hint="default"/>
                <w:sz w:val="18"/>
                <w:szCs w:val="18"/>
              </w:rPr>
            </w:pPr>
            <w:r>
              <w:rPr>
                <w:rFonts w:ascii="宋体" w:hAnsi="宋体" w:cs="宋体" w:eastAsia="宋体" w:hint="default"/>
                <w:sz w:val="18"/>
                <w:szCs w:val="18"/>
              </w:rPr>
              <w:t>马鞍山榕基软件 信息科技有限公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河南榕基信息技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北京中榕基信息 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福建榕基投资有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榕基国际控股有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80,380,191.40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80,380,191.40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信阳榕基信息技</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47"/>
        <w:gridCol w:w="1336"/>
        <w:gridCol w:w="1336"/>
        <w:gridCol w:w="1334"/>
        <w:gridCol w:w="1336"/>
        <w:gridCol w:w="1388"/>
        <w:gridCol w:w="1390"/>
      </w:tblGrid>
      <w:tr>
        <w:trPr>
          <w:trHeight w:val="36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河南豫础置业有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福州榕易付网络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both"/>
              <w:rPr>
                <w:rFonts w:ascii="宋体" w:hAnsi="宋体" w:cs="宋体" w:eastAsia="宋体" w:hint="default"/>
                <w:sz w:val="18"/>
                <w:szCs w:val="18"/>
              </w:rPr>
            </w:pPr>
            <w:r>
              <w:rPr>
                <w:rFonts w:ascii="宋体" w:hAnsi="宋体" w:cs="宋体" w:eastAsia="宋体" w:hint="default"/>
                <w:sz w:val="18"/>
                <w:szCs w:val="18"/>
              </w:rPr>
              <w:t>福建星榕基信息 科技有限责任公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福建容大物联网 科技有限公司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698,376,537.29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685,926,537.29</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福建闽光 软件股份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3,605,349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711,378.9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4,316,728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3,605,349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711,378.9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4,316,728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3,605,349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711,378.9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4,316,728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8"/>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2"/>
        <w:gridCol w:w="1838"/>
        <w:gridCol w:w="1912"/>
        <w:gridCol w:w="1913"/>
        <w:gridCol w:w="1901"/>
      </w:tblGrid>
      <w:tr>
        <w:trPr>
          <w:trHeight w:val="206" w:hRule="exact"/>
        </w:trPr>
        <w:tc>
          <w:tcPr>
            <w:tcW w:w="1982" w:type="dxa"/>
            <w:tcBorders>
              <w:top w:val="single" w:sz="4" w:space="0" w:color="000000"/>
              <w:left w:val="single" w:sz="4" w:space="0" w:color="000000"/>
              <w:bottom w:val="nil" w:sz="6" w:space="0" w:color="auto"/>
              <w:right w:val="single" w:sz="4" w:space="0" w:color="000000"/>
            </w:tcBorders>
            <w:shd w:val="clear" w:color="auto" w:fill="D3D3D3"/>
          </w:tcPr>
          <w:p>
            <w:pPr/>
          </w:p>
        </w:tc>
        <w:tc>
          <w:tcPr>
            <w:tcW w:w="375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3D3D3"/>
          </w:tcPr>
          <w:p>
            <w:pPr/>
          </w:p>
        </w:tc>
        <w:tc>
          <w:tcPr>
            <w:tcW w:w="3815"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982" w:type="dxa"/>
            <w:vMerge/>
            <w:tcBorders>
              <w:left w:val="single" w:sz="4" w:space="0" w:color="000000"/>
              <w:bottom w:val="nil" w:sz="6" w:space="0" w:color="auto"/>
              <w:right w:val="single" w:sz="4" w:space="0" w:color="000000"/>
            </w:tcBorders>
            <w:shd w:val="clear" w:color="auto" w:fill="D3D3D3"/>
          </w:tcPr>
          <w:p>
            <w:pPr/>
          </w:p>
        </w:tc>
        <w:tc>
          <w:tcPr>
            <w:tcW w:w="18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0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2" w:type="dxa"/>
            <w:tcBorders>
              <w:top w:val="nil" w:sz="6" w:space="0" w:color="auto"/>
              <w:left w:val="single" w:sz="4" w:space="0" w:color="000000"/>
              <w:bottom w:val="single" w:sz="4" w:space="0" w:color="000000"/>
              <w:right w:val="single" w:sz="4" w:space="0" w:color="000000"/>
            </w:tcBorders>
            <w:shd w:val="clear" w:color="auto" w:fill="D3D3D3"/>
          </w:tcPr>
          <w:p>
            <w:pPr/>
          </w:p>
        </w:tc>
        <w:tc>
          <w:tcPr>
            <w:tcW w:w="1838" w:type="dxa"/>
            <w:vMerge/>
            <w:tcBorders>
              <w:left w:val="single" w:sz="4" w:space="0" w:color="000000"/>
              <w:bottom w:val="single" w:sz="4" w:space="0" w:color="000000"/>
              <w:right w:val="single" w:sz="4" w:space="0" w:color="000000"/>
            </w:tcBorders>
            <w:shd w:val="clear" w:color="auto" w:fill="D3D3D3"/>
          </w:tcPr>
          <w:p>
            <w:pPr/>
          </w:p>
        </w:tc>
        <w:tc>
          <w:tcPr>
            <w:tcW w:w="1912"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0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480,042,761.82</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294,743,813.97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477,391,339.51</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322,335,224.69</w:t>
            </w:r>
          </w:p>
        </w:tc>
      </w:tr>
      <w:tr>
        <w:trPr>
          <w:trHeight w:val="402" w:hRule="exact"/>
        </w:trPr>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480,042,761.82</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294,743,813.97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477,391,339.51</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322,335,224.69</w:t>
            </w:r>
          </w:p>
        </w:tc>
      </w:tr>
    </w:tbl>
    <w:p>
      <w:pPr>
        <w:pStyle w:val="BodyText"/>
        <w:spacing w:line="240" w:lineRule="auto" w:before="51"/>
        <w:ind w:right="1258"/>
        <w:jc w:val="left"/>
      </w:pPr>
      <w:r>
        <w:rPr/>
        <w:t>其他说明：</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3"/>
        <w:spacing w:line="240" w:lineRule="auto" w:before="35"/>
        <w:ind w:right="1258"/>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711,378.90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105,349.88</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5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1,914,869.95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2,182,365.92</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6,679,518.64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5,504,288.11</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9,305,767.49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7,792,003.91</w:t>
            </w: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1258"/>
        <w:jc w:val="left"/>
        <w:rPr>
          <w:b w:val="0"/>
          <w:bCs w:val="0"/>
        </w:rPr>
      </w:pP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8"/>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1"/>
        <w:gridCol w:w="3070"/>
        <w:gridCol w:w="3186"/>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-567,281.26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7,580,033.95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8,049,481.20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-26,463.73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1,981,441.42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109,814.96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0" w:type="dxa"/>
            <w:tcBorders>
              <w:top w:val="single" w:sz="4" w:space="0" w:color="000000"/>
              <w:left w:val="single" w:sz="9" w:space="0" w:color="D3D3D3"/>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12,944,513.78</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1"/>
        <w:ind w:right="13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0"/>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93"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增值税税收返还</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1,910,985.29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与公司经常性经营活动相关</w:t>
            </w:r>
          </w:p>
        </w:tc>
      </w:tr>
    </w:tbl>
    <w:p>
      <w:pPr>
        <w:spacing w:line="240" w:lineRule="auto" w:before="2"/>
        <w:rPr>
          <w:rFonts w:ascii="宋体" w:hAnsi="宋体" w:cs="宋体" w:eastAsia="宋体" w:hint="default"/>
          <w:sz w:val="19"/>
          <w:szCs w:val="19"/>
        </w:rPr>
      </w:pPr>
    </w:p>
    <w:p>
      <w:pPr>
        <w:pStyle w:val="Heading3"/>
        <w:spacing w:line="240" w:lineRule="auto" w:before="35"/>
        <w:ind w:right="1258"/>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0"/>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3" w:hRule="exact"/>
        </w:trPr>
        <w:tc>
          <w:tcPr>
            <w:tcW w:w="2662" w:type="dxa"/>
            <w:vMerge/>
            <w:tcBorders>
              <w:left w:val="single" w:sz="4" w:space="0" w:color="000000"/>
              <w:bottom w:val="single" w:sz="4" w:space="0" w:color="000000"/>
              <w:right w:val="single" w:sz="4" w:space="0" w:color="000000"/>
            </w:tcBorders>
            <w:shd w:val="clear" w:color="auto" w:fill="D3D3D3"/>
          </w:tcPr>
          <w:p>
            <w:pPr/>
          </w:p>
        </w:tc>
        <w:tc>
          <w:tcPr>
            <w:tcW w:w="3080" w:type="dxa"/>
            <w:vMerge/>
            <w:tcBorders>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2650"/>
        <w:gridCol w:w="3092"/>
        <w:gridCol w:w="1913"/>
        <w:gridCol w:w="1913"/>
      </w:tblGrid>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0.0527</w:t>
            </w:r>
          </w:p>
        </w:tc>
      </w:tr>
      <w:tr>
        <w:trPr>
          <w:trHeight w:val="714"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0.0319</w:t>
            </w:r>
          </w:p>
        </w:tc>
      </w:tr>
    </w:tbl>
    <w:p>
      <w:pPr>
        <w:spacing w:line="240" w:lineRule="auto" w:before="2"/>
        <w:rPr>
          <w:rFonts w:ascii="宋体" w:hAnsi="宋体" w:cs="宋体" w:eastAsia="宋体" w:hint="default"/>
          <w:b/>
          <w:bCs/>
          <w:sz w:val="19"/>
          <w:szCs w:val="19"/>
        </w:rPr>
      </w:pPr>
    </w:p>
    <w:p>
      <w:pPr>
        <w:pStyle w:val="Heading3"/>
        <w:spacing w:line="240" w:lineRule="auto" w:before="35"/>
        <w:ind w:right="1258"/>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8"/>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258"/>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2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59" w:lineRule="auto"/>
        <w:ind w:right="151"/>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258"/>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877" w:footer="982" w:top="1100" w:bottom="1180" w:left="980" w:right="98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1"/>
        <w:spacing w:line="240" w:lineRule="auto"/>
        <w:ind w:left="3286" w:right="1258"/>
        <w:jc w:val="left"/>
        <w:rPr>
          <w:b w:val="0"/>
          <w:bCs w:val="0"/>
        </w:rPr>
      </w:pPr>
      <w:bookmarkStart w:name="_TOC_250000" w:id="12"/>
      <w:r>
        <w:rPr/>
        <w:t>第十二节</w:t>
      </w:r>
      <w:r>
        <w:rPr>
          <w:spacing w:val="-9"/>
        </w:rPr>
        <w:t> </w:t>
      </w:r>
      <w:r>
        <w:rPr/>
        <w:t>备查文件目录</w:t>
      </w:r>
      <w:bookmarkEnd w:id="12"/>
      <w:r>
        <w:rPr>
          <w:b w:val="0"/>
          <w:bCs w:val="0"/>
        </w:rPr>
      </w:r>
    </w:p>
    <w:p>
      <w:pPr>
        <w:spacing w:line="240" w:lineRule="auto" w:before="8"/>
        <w:rPr>
          <w:rFonts w:ascii="宋体" w:hAnsi="宋体" w:cs="宋体" w:eastAsia="宋体" w:hint="default"/>
          <w:b/>
          <w:bCs/>
          <w:sz w:val="42"/>
          <w:szCs w:val="42"/>
        </w:rPr>
      </w:pPr>
    </w:p>
    <w:p>
      <w:pPr>
        <w:pStyle w:val="BodyText"/>
        <w:spacing w:line="352" w:lineRule="auto"/>
        <w:ind w:left="153" w:right="2751"/>
        <w:jc w:val="left"/>
      </w:pPr>
      <w:r>
        <w:rPr/>
        <w:t>一、载有董事长签名的</w:t>
      </w:r>
      <w:r>
        <w:rPr>
          <w:rFonts w:ascii="Times New Roman" w:hAnsi="Times New Roman" w:cs="Times New Roman" w:eastAsia="Times New Roman" w:hint="default"/>
        </w:rPr>
        <w:t>2017</w:t>
      </w:r>
      <w:r>
        <w:rPr/>
        <w:t>年年度报告全文。 二、载有法定代表人、主管会计工作负责人、会计机构负责人签名并盖章的财务报表。 三、载有会计师事务所盖章、注册会计师签名并盖章的审计报告原件。 四、报告期内在中国证监会指定报纸上公开披露过的所有公司文件的正本及公告的原稿。 五、其他有关资料。</w:t>
      </w:r>
    </w:p>
    <w:p>
      <w:pPr>
        <w:pStyle w:val="BodyText"/>
        <w:spacing w:line="240" w:lineRule="auto" w:before="31"/>
        <w:ind w:left="153" w:right="1258"/>
        <w:jc w:val="left"/>
      </w:pPr>
      <w:r>
        <w:rPr/>
        <w:t>六、上述文件备置于公司证券部备查。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4"/>
        <w:spacing w:line="240" w:lineRule="auto" w:before="35"/>
        <w:ind w:left="7272" w:right="0"/>
        <w:jc w:val="left"/>
      </w:pPr>
      <w:r>
        <w:rPr/>
        <w:t>福建榕基软件股份有限公司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Heading4"/>
        <w:spacing w:line="240" w:lineRule="auto"/>
        <w:ind w:right="1738"/>
        <w:jc w:val="right"/>
      </w:pPr>
      <w:r>
        <w:rPr/>
        <w:t>董事长：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1"/>
          <w:szCs w:val="11"/>
        </w:rPr>
      </w:pPr>
    </w:p>
    <w:p>
      <w:pPr>
        <w:spacing w:line="20" w:lineRule="exact"/>
        <w:ind w:left="8423" w:right="0" w:firstLine="0"/>
        <w:rPr>
          <w:rFonts w:ascii="宋体" w:hAnsi="宋体" w:cs="宋体" w:eastAsia="宋体" w:hint="default"/>
          <w:sz w:val="2"/>
          <w:szCs w:val="2"/>
        </w:rPr>
      </w:pPr>
      <w:r>
        <w:rPr>
          <w:rFonts w:ascii="宋体" w:hAnsi="宋体" w:cs="宋体" w:eastAsia="宋体" w:hint="default"/>
          <w:sz w:val="2"/>
          <w:szCs w:val="2"/>
        </w:rPr>
        <w:pict>
          <v:group style="width:68.7pt;height:.45pt;mso-position-horizontal-relative:char;mso-position-vertical-relative:line" coordorigin="0,0" coordsize="1374,9">
            <v:group style="position:absolute;left:4;top:4;width:1365;height:2" coordorigin="4,4" coordsize="1365,2">
              <v:shape style="position:absolute;left:4;top:4;width:1365;height:2" coordorigin="4,4" coordsize="1365,0" path="m4,4l1369,4e" filled="false" stroked="true" strokeweight=".4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5"/>
          <w:szCs w:val="25"/>
        </w:rPr>
      </w:pPr>
    </w:p>
    <w:p>
      <w:pPr>
        <w:pStyle w:val="Heading4"/>
        <w:tabs>
          <w:tab w:pos="9223" w:val="left" w:leader="none"/>
        </w:tabs>
        <w:spacing w:line="240" w:lineRule="auto" w:before="35"/>
        <w:ind w:left="8802" w:right="151"/>
        <w:jc w:val="left"/>
      </w:pPr>
      <w:r>
        <w:rPr/>
        <w:t>鲁</w:t>
        <w:tab/>
        <w:t>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Heading4"/>
        <w:spacing w:line="240" w:lineRule="auto"/>
        <w:ind w:right="421"/>
        <w:jc w:val="right"/>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w:t>
      </w:r>
      <w:r>
        <w:rPr>
          <w:spacing w:val="-1"/>
        </w:rPr>
        <w:t>日</w:t>
      </w:r>
    </w:p>
    <w:sectPr>
      <w:pgSz w:w="11910" w:h="16840"/>
      <w:pgMar w:header="877" w:footer="982" w:top="110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23999pt;margin-top:795.517639pt;width:6.5pt;height:11pt;mso-position-horizontal-relative:page;mso-position-vertical-relative:page;z-index:-11484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w w:val="99"/>
                  </w:rPr>
                  <w:t>1</w:t>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1484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1483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15pt;height:11.1pt;mso-position-horizontal-relative:page;mso-position-vertical-relative:page;z-index:-11483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114824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1482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99988pt;margin-top:36.385326pt;width:195.45pt;height:11.5pt;mso-position-horizontal-relative:page;mso-position-vertical-relative:page;z-index:-1148512" type="#_x0000_t202" filled="false" stroked="false">
          <v:textbox inset="0,0,0,0">
            <w:txbxContent>
              <w:p>
                <w:pPr>
                  <w:pStyle w:val="BodyText"/>
                  <w:spacing w:line="214" w:lineRule="exact"/>
                  <w:ind w:left="20" w:right="0"/>
                  <w:jc w:val="left"/>
                </w:pPr>
                <w:r>
                  <w:rPr/>
                  <w:t>福建榕 软件股份有限公司 </w:t>
                </w:r>
                <w:r>
                  <w:rPr>
                    <w:rFonts w:ascii="Times New Roman" w:hAnsi="Times New Roman" w:cs="Times New Roman" w:eastAsia="Times New Roman" w:hint="default"/>
                  </w:rPr>
                  <w:t>2017</w:t>
                </w:r>
                <w:r>
                  <w:rPr>
                    <w:rFonts w:ascii="Times New Roman" w:hAnsi="Times New Roman" w:cs="Times New Roman" w:eastAsia="Times New Roman" w:hint="default"/>
                    <w:spacing w:val="40"/>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148464"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44.179993pt;margin-top:42.865326pt;width:195.45pt;height:11.5pt;mso-position-horizontal-relative:page;mso-position-vertical-relative:page;z-index:-1148440" type="#_x0000_t202" filled="false" stroked="false">
          <v:textbox inset="0,0,0,0">
            <w:txbxContent>
              <w:p>
                <w:pPr>
                  <w:pStyle w:val="BodyText"/>
                  <w:spacing w:line="214" w:lineRule="exact"/>
                  <w:ind w:left="20" w:right="0"/>
                  <w:jc w:val="left"/>
                </w:pPr>
                <w:r>
                  <w:rPr/>
                  <w:t>福建榕基软件股份有限公司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780014pt;margin-top:55.32pt;width:485.85pt;height:.75pt;mso-position-horizontal-relative:page;mso-position-vertical-relative:page;z-index:-1148368" coordorigin="1096,1106" coordsize="9717,15">
          <v:group style="position:absolute;left:1103;top:1114;width:1048;height:2" coordorigin="1103,1114" coordsize="1048,2">
            <v:shape style="position:absolute;left:1103;top:1114;width:1048;height:2" coordorigin="1103,1114" coordsize="1048,0" path="m1103,1114l2150,1114e" filled="false" stroked="true" strokeweight=".71997pt" strokecolor="#000000">
              <v:path arrowok="t"/>
            </v:shape>
          </v:group>
          <v:group style="position:absolute;left:2150;top:1114;width:1076;height:2" coordorigin="2150,1114" coordsize="1076,2">
            <v:shape style="position:absolute;left:2150;top:1114;width:1076;height:2" coordorigin="2150,1114" coordsize="1076,0" path="m2150,1114l3226,1114e" filled="false" stroked="true" strokeweight=".71997pt" strokecolor="#000000">
              <v:path arrowok="t"/>
            </v:shape>
          </v:group>
          <v:group style="position:absolute;left:3226;top:1114;width:1076;height:2" coordorigin="3226,1114" coordsize="1076,2">
            <v:shape style="position:absolute;left:3226;top:1114;width:1076;height:2" coordorigin="3226,1114" coordsize="1076,0" path="m3226,1114l4301,1114e" filled="false" stroked="true" strokeweight=".71997pt" strokecolor="#000000">
              <v:path arrowok="t"/>
            </v:shape>
          </v:group>
          <v:group style="position:absolute;left:4301;top:1114;width:1076;height:2" coordorigin="4301,1114" coordsize="1076,2">
            <v:shape style="position:absolute;left:4301;top:1114;width:1076;height:2" coordorigin="4301,1114" coordsize="1076,0" path="m4301,1114l5376,1114e" filled="false" stroked="true" strokeweight=".71997pt" strokecolor="#000000">
              <v:path arrowok="t"/>
            </v:shape>
          </v:group>
          <v:group style="position:absolute;left:5376;top:1114;width:1076;height:2" coordorigin="5376,1114" coordsize="1076,2">
            <v:shape style="position:absolute;left:5376;top:1114;width:1076;height:2" coordorigin="5376,1114" coordsize="1076,0" path="m5376,1114l6451,1114e" filled="false" stroked="true" strokeweight=".71997pt" strokecolor="#000000">
              <v:path arrowok="t"/>
            </v:shape>
          </v:group>
          <v:group style="position:absolute;left:6451;top:1114;width:1076;height:2" coordorigin="6451,1114" coordsize="1076,2">
            <v:shape style="position:absolute;left:6451;top:1114;width:1076;height:2" coordorigin="6451,1114" coordsize="1076,0" path="m6451,1114l7526,1114e" filled="false" stroked="true" strokeweight=".72pt" strokecolor="#000000">
              <v:path arrowok="t"/>
            </v:shape>
          </v:group>
          <v:group style="position:absolute;left:7526;top:1114;width:1076;height:2" coordorigin="7526,1114" coordsize="1076,2">
            <v:shape style="position:absolute;left:7526;top:1114;width:1076;height:2" coordorigin="7526,1114" coordsize="1076,0" path="m7526,1114l8602,1114e" filled="false" stroked="true" strokeweight=".71997pt" strokecolor="#000000">
              <v:path arrowok="t"/>
            </v:shape>
          </v:group>
          <v:group style="position:absolute;left:8602;top:1114;width:1076;height:2" coordorigin="8602,1114" coordsize="1076,2">
            <v:shape style="position:absolute;left:8602;top:1114;width:1076;height:2" coordorigin="8602,1114" coordsize="1076,0" path="m8602,1114l9677,1114e" filled="false" stroked="true" strokeweight=".71997pt" strokecolor="#000000">
              <v:path arrowok="t"/>
            </v:shape>
          </v:group>
          <v:group style="position:absolute;left:9677;top:1114;width:1076;height:2" coordorigin="9677,1114" coordsize="1076,2">
            <v:shape style="position:absolute;left:9677;top:1114;width:1076;height:2" coordorigin="9677,1114" coordsize="1076,0" path="m9677,1114l10752,1114e" filled="false" stroked="true" strokeweight=".71997pt" strokecolor="#000000">
              <v:path arrowok="t"/>
            </v:shape>
          </v:group>
          <v:group style="position:absolute;left:10752;top:1114;width:53;height:2" coordorigin="10752,1114" coordsize="53,2">
            <v:shape style="position:absolute;left:10752;top:1114;width:53;height:2" coordorigin="10752,1114" coordsize="53,0" path="m10752,1114l10805,1114e" filled="false" stroked="true" strokeweight=".71997pt" strokecolor="#000000">
              <v:path arrowok="t"/>
            </v:shape>
          </v:group>
          <w10:wrap type="none"/>
        </v:group>
      </w:pict>
    </w:r>
    <w:r>
      <w:rPr/>
      <w:pict>
        <v:shape style="position:absolute;margin-left:344.299988pt;margin-top:42.925323pt;width:195.45pt;height:11.5pt;mso-position-horizontal-relative:page;mso-position-vertical-relative:page;z-index:-1148344" type="#_x0000_t202" filled="false" stroked="false">
          <v:textbox inset="0,0,0,0">
            <w:txbxContent>
              <w:p>
                <w:pPr>
                  <w:pStyle w:val="BodyText"/>
                  <w:spacing w:line="214" w:lineRule="exact"/>
                  <w:ind w:left="20" w:right="0"/>
                  <w:jc w:val="left"/>
                </w:pPr>
                <w:r>
                  <w:rPr/>
                  <w:t>福建榕 软件股份有限公司 </w:t>
                </w:r>
                <w:r>
                  <w:rPr>
                    <w:rFonts w:ascii="Times New Roman" w:hAnsi="Times New Roman" w:cs="Times New Roman" w:eastAsia="Times New Roman" w:hint="default"/>
                  </w:rPr>
                  <w:t>2017</w:t>
                </w:r>
                <w:r>
                  <w:rPr>
                    <w:rFonts w:ascii="Times New Roman" w:hAnsi="Times New Roman" w:cs="Times New Roman" w:eastAsia="Times New Roman" w:hint="default"/>
                    <w:spacing w:val="40"/>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148296"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44.179993pt;margin-top:42.865326pt;width:195.45pt;height:11.5pt;mso-position-horizontal-relative:page;mso-position-vertical-relative:page;z-index:-1148272" type="#_x0000_t202" filled="false" stroked="false">
          <v:textbox inset="0,0,0,0">
            <w:txbxContent>
              <w:p>
                <w:pPr>
                  <w:pStyle w:val="BodyText"/>
                  <w:spacing w:line="214" w:lineRule="exact"/>
                  <w:ind w:left="20" w:right="0"/>
                  <w:jc w:val="left"/>
                </w:pPr>
                <w:r>
                  <w:rPr/>
                  <w:t>福建榕基软件股份有限公司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2"/>
      <w:ind w:left="154"/>
    </w:pPr>
    <w:rPr>
      <w:rFonts w:ascii="宋体" w:hAnsi="宋体" w:eastAsia="宋体"/>
      <w:sz w:val="18"/>
      <w:szCs w:val="18"/>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495"/>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outlineLvl w:val="4"/>
    </w:pPr>
    <w:rPr>
      <w:rFonts w:ascii="宋体" w:hAnsi="宋体" w:eastAsia="宋体"/>
      <w:sz w:val="21"/>
      <w:szCs w:val="21"/>
    </w:rPr>
  </w:style>
  <w:style w:styleId="Heading5" w:type="paragraph">
    <w:name w:val="Heading 5"/>
    <w:basedOn w:val="Normal"/>
    <w:uiPriority w:val="1"/>
    <w:qFormat/>
    <w:pPr>
      <w:spacing w:before="44"/>
      <w:ind w:left="636" w:hanging="483"/>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yperlink" Target="http://www.rongji.com/" TargetMode="External"/><Relationship Id="rId12" Type="http://schemas.openxmlformats.org/officeDocument/2006/relationships/hyperlink" Target="mailto:rongji@rongji.com" TargetMode="External"/><Relationship Id="rId13" Type="http://schemas.openxmlformats.org/officeDocument/2006/relationships/hyperlink" Target="mailto:wanxiaoxiong@rongji.com" TargetMode="External"/><Relationship Id="rId14" Type="http://schemas.openxmlformats.org/officeDocument/2006/relationships/hyperlink" Target="mailto:chenlve@rongji.com" TargetMode="External"/><Relationship Id="rId15" Type="http://schemas.openxmlformats.org/officeDocument/2006/relationships/hyperlink" Target="mailto:e@rongji.com" TargetMode="External"/><Relationship Id="rId16" Type="http://schemas.openxmlformats.org/officeDocument/2006/relationships/hyperlink" Target="http://www.cninfo.com.cn/" TargetMode="External"/><Relationship Id="rId17" Type="http://schemas.openxmlformats.org/officeDocument/2006/relationships/hyperlink" Target="http://www.cninfo.com.cn/cninfo-new/disclosure/fulltext/bulletin_detail/true/1203042454?announceTime=20" TargetMode="External"/><Relationship Id="rId18" Type="http://schemas.openxmlformats.org/officeDocument/2006/relationships/hyperlink" Target="http://irm.cninfo.com.cn/ircs/ssgs/queryCompa" TargetMode="External"/><Relationship Id="rId19" Type="http://schemas.openxmlformats.org/officeDocument/2006/relationships/hyperlink" Target="http://www.cninfo.com.cn/finalpage/2017-05-0" TargetMode="External"/><Relationship Id="rId20" Type="http://schemas.openxmlformats.org/officeDocument/2006/relationships/hyperlink" Target="http://www.cninfo.com.cn/finalpage/2017-08-2" TargetMode="External"/><Relationship Id="rId21" Type="http://schemas.openxmlformats.org/officeDocument/2006/relationships/hyperlink" Target="http://www.cninfo.com.cn/finalpage/2017-08-3" TargetMode="External"/><Relationship Id="rId22" Type="http://schemas.openxmlformats.org/officeDocument/2006/relationships/hyperlink" Target="http://www.cninfo.com.cn/finalpage/2017-09-0" TargetMode="External"/><Relationship Id="rId23" Type="http://schemas.openxmlformats.org/officeDocument/2006/relationships/hyperlink" Target="http://www.cninfo.com.cn/finalpage/2017-11-1" TargetMode="External"/><Relationship Id="rId24" Type="http://schemas.openxmlformats.org/officeDocument/2006/relationships/hyperlink" Target="http://www.cninfo.com.cn/cninfo-new/disclosure/szse_sme/bulletin_detail/t" TargetMode="External"/><Relationship Id="rId25" Type="http://schemas.openxmlformats.org/officeDocument/2006/relationships/footer" Target="footer3.xml"/><Relationship Id="rId26" Type="http://schemas.openxmlformats.org/officeDocument/2006/relationships/hyperlink" Target="http://w/" TargetMode="External"/><Relationship Id="rId27" Type="http://schemas.openxmlformats.org/officeDocument/2006/relationships/header" Target="header3.xml"/><Relationship Id="rId28" Type="http://schemas.openxmlformats.org/officeDocument/2006/relationships/footer" Target="footer4.xml"/><Relationship Id="rId29" Type="http://schemas.openxmlformats.org/officeDocument/2006/relationships/image" Target="media/image3.png"/><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image" Target="media/image7.png"/><Relationship Id="rId34" Type="http://schemas.openxmlformats.org/officeDocument/2006/relationships/image" Target="media/image8.png"/><Relationship Id="rId35" Type="http://schemas.openxmlformats.org/officeDocument/2006/relationships/image" Target="media/image9.png"/><Relationship Id="rId36" Type="http://schemas.openxmlformats.org/officeDocument/2006/relationships/header" Target="header4.xml"/><Relationship Id="rId37" Type="http://schemas.openxmlformats.org/officeDocument/2006/relationships/hyperlink" Target="http://www.cninfo.com.c/" TargetMode="External"/><Relationship Id="rId38" Type="http://schemas.openxmlformats.org/officeDocument/2006/relationships/footer" Target="footer5.xml"/><Relationship Id="rId39"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- 2017年年度报告全文0403v3.docx</dc:title>
  <dcterms:created xsi:type="dcterms:W3CDTF">2020-05-02T22:32:16Z</dcterms:created>
  <dcterms:modified xsi:type="dcterms:W3CDTF">2020-05-02T22:32:16Z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2018-04-03T00:00:00Z</vt:filetime>
  </property>
  <property fmtid="{D5CDD505-2E9C-101B-9397-08002B2CF9AE}" pid="3" name="Creator">
    <vt:lpwstr>PScript5.dll Version 5.2.2</vt:lpwstr>
  </property>
  <property fmtid="{D5CDD505-2E9C-101B-9397-08002B2CF9AE}" pid="4" name="LastSaved">
    <vt:filetime>2020-05-02T00:00:00Z</vt:filetime>
  </property>
</Properties>
</file>