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line="620" w:lineRule="exact" w:before="0"/>
        <w:ind w:left="495" w:right="1471" w:firstLine="0"/>
        <w:jc w:val="center"/>
        <w:rPr>
          <w:rFonts w:ascii="黑体" w:hAnsi="黑体" w:cs="黑体" w:eastAsia="黑体" w:hint="default"/>
          <w:sz w:val="52"/>
          <w:szCs w:val="52"/>
        </w:rPr>
      </w:pPr>
      <w:r>
        <w:rPr/>
        <w:pict>
          <v:group style="position:absolute;margin-left:55.200001pt;margin-top:-27.873154pt;width:484.95pt;height:.1pt;mso-position-horizontal-relative:page;mso-position-vertical-relative:paragraph;z-index:0" coordorigin="1104,-557" coordsize="9699,2">
            <v:shape style="position:absolute;left:1104;top:-557;width:9699;height:2" coordorigin="1104,-557" coordsize="9699,0" path="m1104,-557l10802,-557e" filled="false" stroked="true" strokeweight=".72003pt" strokecolor="#000000">
              <v:path arrowok="t"/>
            </v:shape>
            <w10:wrap type="none"/>
          </v:group>
        </w:pict>
      </w:r>
      <w:r>
        <w:rPr>
          <w:rFonts w:ascii="黑体" w:hAnsi="黑体" w:cs="黑体" w:eastAsia="黑体" w:hint="default"/>
          <w:b/>
          <w:bCs/>
          <w:spacing w:val="2"/>
          <w:sz w:val="52"/>
          <w:szCs w:val="52"/>
        </w:rPr>
        <w:t>福建榕基软件股份有限公司</w:t>
      </w:r>
      <w:r>
        <w:rPr>
          <w:rFonts w:ascii="黑体" w:hAnsi="黑体" w:cs="黑体" w:eastAsia="黑体" w:hint="default"/>
          <w:sz w:val="52"/>
          <w:szCs w:val="52"/>
        </w:rPr>
      </w:r>
    </w:p>
    <w:p>
      <w:pPr>
        <w:spacing w:before="76"/>
        <w:ind w:left="495" w:right="1471" w:firstLine="0"/>
        <w:jc w:val="center"/>
        <w:rPr>
          <w:rFonts w:ascii="Times New Roman" w:hAnsi="Times New Roman" w:cs="Times New Roman" w:eastAsia="Times New Roman" w:hint="default"/>
          <w:sz w:val="30"/>
          <w:szCs w:val="30"/>
        </w:rPr>
      </w:pPr>
      <w:r>
        <w:rPr>
          <w:rFonts w:ascii="Times New Roman"/>
          <w:b/>
          <w:sz w:val="30"/>
        </w:rPr>
        <w:t>Fujian Rongji Software Co.,</w:t>
      </w:r>
      <w:r>
        <w:rPr>
          <w:rFonts w:ascii="Times New Roman"/>
          <w:b/>
          <w:spacing w:val="-6"/>
          <w:sz w:val="30"/>
        </w:rPr>
        <w:t> </w:t>
      </w:r>
      <w:r>
        <w:rPr>
          <w:rFonts w:ascii="Times New Roman"/>
          <w:b/>
          <w:sz w:val="30"/>
        </w:rPr>
        <w:t>Ltd.</w:t>
      </w:r>
      <w:r>
        <w:rPr>
          <w:rFonts w:ascii="Times New Roman"/>
          <w:sz w:val="30"/>
        </w:rPr>
      </w:r>
    </w:p>
    <w:p>
      <w:pPr>
        <w:spacing w:before="69"/>
        <w:ind w:left="495" w:right="1471" w:firstLine="0"/>
        <w:jc w:val="center"/>
        <w:rPr>
          <w:rFonts w:ascii="黑体" w:hAnsi="黑体" w:cs="黑体" w:eastAsia="黑体" w:hint="default"/>
          <w:sz w:val="32"/>
          <w:szCs w:val="32"/>
        </w:rPr>
      </w:pPr>
      <w:r>
        <w:rPr>
          <w:rFonts w:ascii="黑体" w:hAnsi="黑体" w:cs="黑体" w:eastAsia="黑体" w:hint="default"/>
          <w:b/>
          <w:bCs/>
          <w:spacing w:val="10"/>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7"/>
          <w:szCs w:val="27"/>
        </w:rPr>
      </w:pPr>
    </w:p>
    <w:p>
      <w:pPr>
        <w:spacing w:line="1857" w:lineRule="exact"/>
        <w:ind w:left="3953" w:right="0" w:firstLine="0"/>
        <w:rPr>
          <w:rFonts w:ascii="黑体" w:hAnsi="黑体" w:cs="黑体" w:eastAsia="黑体" w:hint="default"/>
          <w:sz w:val="20"/>
          <w:szCs w:val="20"/>
        </w:rPr>
      </w:pPr>
      <w:r>
        <w:rPr>
          <w:rFonts w:ascii="黑体" w:hAnsi="黑体" w:cs="黑体" w:eastAsia="黑体" w:hint="default"/>
          <w:position w:val="-36"/>
          <w:sz w:val="20"/>
          <w:szCs w:val="20"/>
        </w:rPr>
        <w:drawing>
          <wp:inline distT="0" distB="0" distL="0" distR="0">
            <wp:extent cx="1295265" cy="11793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95265" cy="1179385"/>
                    </a:xfrm>
                    <a:prstGeom prst="rect">
                      <a:avLst/>
                    </a:prstGeom>
                  </pic:spPr>
                </pic:pic>
              </a:graphicData>
            </a:graphic>
          </wp:inline>
        </w:drawing>
      </w:r>
      <w:r>
        <w:rPr>
          <w:rFonts w:ascii="黑体" w:hAnsi="黑体" w:cs="黑体" w:eastAsia="黑体" w:hint="default"/>
          <w:position w:val="-36"/>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4"/>
          <w:szCs w:val="24"/>
        </w:rPr>
      </w:pPr>
    </w:p>
    <w:p>
      <w:pPr>
        <w:spacing w:line="874" w:lineRule="exact" w:before="0"/>
        <w:ind w:left="2717" w:right="2239" w:firstLine="0"/>
        <w:jc w:val="left"/>
        <w:rPr>
          <w:rFonts w:ascii="黑体" w:hAnsi="黑体" w:cs="黑体" w:eastAsia="黑体" w:hint="default"/>
          <w:sz w:val="72"/>
          <w:szCs w:val="72"/>
        </w:rPr>
      </w:pPr>
      <w:r>
        <w:rPr>
          <w:rFonts w:ascii="Times New Roman" w:hAnsi="Times New Roman" w:cs="Times New Roman" w:eastAsia="Times New Roman" w:hint="default"/>
          <w:b/>
          <w:bCs/>
          <w:sz w:val="72"/>
          <w:szCs w:val="72"/>
        </w:rPr>
        <w:t>2018</w:t>
      </w:r>
      <w:r>
        <w:rPr>
          <w:rFonts w:ascii="Times New Roman" w:hAnsi="Times New Roman" w:cs="Times New Roman" w:eastAsia="Times New Roman" w:hint="default"/>
          <w:b/>
          <w:bCs/>
          <w:spacing w:val="-3"/>
          <w:sz w:val="72"/>
          <w:szCs w:val="72"/>
        </w:rPr>
        <w:t> </w:t>
      </w:r>
      <w:r>
        <w:rPr>
          <w:rFonts w:ascii="黑体" w:hAnsi="黑体" w:cs="黑体" w:eastAsia="黑体" w:hint="default"/>
          <w:b/>
          <w:bCs/>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9"/>
        <w:rPr>
          <w:rFonts w:ascii="黑体" w:hAnsi="黑体" w:cs="黑体" w:eastAsia="黑体" w:hint="default"/>
          <w:b/>
          <w:bCs/>
          <w:sz w:val="71"/>
          <w:szCs w:val="71"/>
        </w:rPr>
      </w:pPr>
    </w:p>
    <w:p>
      <w:pPr>
        <w:spacing w:line="302" w:lineRule="auto" w:before="0"/>
        <w:ind w:left="5167" w:right="2239" w:hanging="16"/>
        <w:jc w:val="left"/>
        <w:rPr>
          <w:rFonts w:ascii="等线 Light" w:hAnsi="等线 Light" w:cs="等线 Light" w:eastAsia="等线 Light" w:hint="default"/>
          <w:sz w:val="28"/>
          <w:szCs w:val="28"/>
        </w:rPr>
      </w:pPr>
      <w:r>
        <w:rPr>
          <w:rFonts w:ascii="等线 Light" w:hAnsi="等线 Light" w:cs="等线 Light" w:eastAsia="等线 Light" w:hint="default"/>
          <w:b w:val="0"/>
          <w:bCs w:val="0"/>
          <w:sz w:val="28"/>
          <w:szCs w:val="28"/>
        </w:rPr>
        <w:t>公告编号：</w:t>
      </w:r>
      <w:r>
        <w:rPr>
          <w:rFonts w:ascii="Arial" w:hAnsi="Arial" w:cs="Arial" w:eastAsia="Arial" w:hint="default"/>
          <w:b/>
          <w:bCs/>
          <w:sz w:val="28"/>
          <w:szCs w:val="28"/>
        </w:rPr>
        <w:t>2019-016</w:t>
      </w:r>
      <w:r>
        <w:rPr>
          <w:rFonts w:ascii="Arial" w:hAnsi="Arial" w:cs="Arial" w:eastAsia="Arial" w:hint="default"/>
          <w:b/>
          <w:bCs/>
          <w:w w:val="99"/>
          <w:sz w:val="28"/>
          <w:szCs w:val="28"/>
        </w:rPr>
        <w:t> </w:t>
      </w:r>
      <w:r>
        <w:rPr>
          <w:rFonts w:ascii="等线 Light" w:hAnsi="等线 Light" w:cs="等线 Light" w:eastAsia="等线 Light" w:hint="default"/>
          <w:b w:val="0"/>
          <w:bCs w:val="0"/>
          <w:sz w:val="28"/>
          <w:szCs w:val="28"/>
        </w:rPr>
        <w:t>证券代码：</w:t>
      </w:r>
      <w:r>
        <w:rPr>
          <w:rFonts w:ascii="Arial" w:hAnsi="Arial" w:cs="Arial" w:eastAsia="Arial" w:hint="default"/>
          <w:b/>
          <w:bCs/>
          <w:sz w:val="28"/>
          <w:szCs w:val="28"/>
        </w:rPr>
        <w:t>002474</w:t>
      </w:r>
      <w:r>
        <w:rPr>
          <w:rFonts w:ascii="Arial" w:hAnsi="Arial" w:cs="Arial" w:eastAsia="Arial" w:hint="default"/>
          <w:b/>
          <w:bCs/>
          <w:w w:val="99"/>
          <w:sz w:val="28"/>
          <w:szCs w:val="28"/>
        </w:rPr>
        <w:t> </w:t>
      </w:r>
      <w:r>
        <w:rPr>
          <w:rFonts w:ascii="等线 Light" w:hAnsi="等线 Light" w:cs="等线 Light" w:eastAsia="等线 Light" w:hint="default"/>
          <w:b w:val="0"/>
          <w:bCs w:val="0"/>
          <w:sz w:val="28"/>
          <w:szCs w:val="28"/>
        </w:rPr>
        <w:t>证券简称：榕基软件</w:t>
      </w:r>
      <w:r>
        <w:rPr>
          <w:rFonts w:ascii="等线 Light" w:hAnsi="等线 Light" w:cs="等线 Light" w:eastAsia="等线 Light" w:hint="default"/>
          <w:b w:val="0"/>
          <w:bCs w:val="0"/>
          <w:w w:val="99"/>
          <w:sz w:val="28"/>
          <w:szCs w:val="28"/>
        </w:rPr>
        <w:t> </w:t>
      </w:r>
      <w:r>
        <w:rPr>
          <w:rFonts w:ascii="等线 Light" w:hAnsi="等线 Light" w:cs="等线 Light" w:eastAsia="等线 Light" w:hint="default"/>
          <w:b w:val="0"/>
          <w:bCs w:val="0"/>
          <w:spacing w:val="-3"/>
          <w:sz w:val="28"/>
          <w:szCs w:val="28"/>
        </w:rPr>
        <w:t>披露日期：</w:t>
      </w:r>
      <w:r>
        <w:rPr>
          <w:rFonts w:ascii="Arial" w:hAnsi="Arial" w:cs="Arial" w:eastAsia="Arial" w:hint="default"/>
          <w:b/>
          <w:bCs/>
          <w:spacing w:val="-3"/>
          <w:sz w:val="28"/>
          <w:szCs w:val="28"/>
        </w:rPr>
        <w:t>2019 </w:t>
      </w:r>
      <w:r>
        <w:rPr>
          <w:rFonts w:ascii="等线 Light" w:hAnsi="等线 Light" w:cs="等线 Light" w:eastAsia="等线 Light" w:hint="default"/>
          <w:b w:val="0"/>
          <w:bCs w:val="0"/>
          <w:sz w:val="28"/>
          <w:szCs w:val="28"/>
        </w:rPr>
        <w:t>年 </w:t>
      </w:r>
      <w:r>
        <w:rPr>
          <w:rFonts w:ascii="Arial" w:hAnsi="Arial" w:cs="Arial" w:eastAsia="Arial" w:hint="default"/>
          <w:b/>
          <w:bCs/>
          <w:sz w:val="28"/>
          <w:szCs w:val="28"/>
        </w:rPr>
        <w:t>4 </w:t>
      </w:r>
      <w:r>
        <w:rPr>
          <w:rFonts w:ascii="等线 Light" w:hAnsi="等线 Light" w:cs="等线 Light" w:eastAsia="等线 Light" w:hint="default"/>
          <w:b w:val="0"/>
          <w:bCs w:val="0"/>
          <w:sz w:val="28"/>
          <w:szCs w:val="28"/>
        </w:rPr>
        <w:t>月 </w:t>
      </w:r>
      <w:r>
        <w:rPr>
          <w:rFonts w:ascii="Arial" w:hAnsi="Arial" w:cs="Arial" w:eastAsia="Arial" w:hint="default"/>
          <w:b/>
          <w:bCs/>
          <w:sz w:val="28"/>
          <w:szCs w:val="28"/>
        </w:rPr>
        <w:t>2</w:t>
      </w:r>
      <w:r>
        <w:rPr>
          <w:rFonts w:ascii="Arial" w:hAnsi="Arial" w:cs="Arial" w:eastAsia="Arial" w:hint="default"/>
          <w:b/>
          <w:bCs/>
          <w:spacing w:val="-33"/>
          <w:sz w:val="28"/>
          <w:szCs w:val="28"/>
        </w:rPr>
        <w:t> </w:t>
      </w:r>
      <w:r>
        <w:rPr>
          <w:rFonts w:ascii="等线 Light" w:hAnsi="等线 Light" w:cs="等线 Light" w:eastAsia="等线 Light" w:hint="default"/>
          <w:b w:val="0"/>
          <w:bCs w:val="0"/>
          <w:sz w:val="28"/>
          <w:szCs w:val="28"/>
        </w:rPr>
        <w:t>日</w:t>
      </w:r>
      <w:r>
        <w:rPr>
          <w:rFonts w:ascii="等线 Light" w:hAnsi="等线 Light" w:cs="等线 Light" w:eastAsia="等线 Light" w:hint="default"/>
          <w:sz w:val="28"/>
          <w:szCs w:val="28"/>
        </w:rPr>
      </w:r>
    </w:p>
    <w:p>
      <w:pPr>
        <w:spacing w:after="0" w:line="302" w:lineRule="auto"/>
        <w:jc w:val="left"/>
        <w:rPr>
          <w:rFonts w:ascii="等线 Light" w:hAnsi="等线 Light" w:cs="等线 Light" w:eastAsia="等线 Light" w:hint="default"/>
          <w:sz w:val="28"/>
          <w:szCs w:val="28"/>
        </w:rPr>
        <w:sectPr>
          <w:headerReference w:type="default" r:id="rId5"/>
          <w:footerReference w:type="default" r:id="rId6"/>
          <w:type w:val="continuous"/>
          <w:pgSz w:w="11910" w:h="16840"/>
          <w:pgMar w:header="748" w:footer="977" w:top="1060" w:bottom="1160" w:left="980" w:right="0"/>
        </w:sectPr>
      </w:pPr>
    </w:p>
    <w:p>
      <w:pPr>
        <w:spacing w:line="240" w:lineRule="auto" w:before="8"/>
        <w:rPr>
          <w:rFonts w:ascii="等线 Light" w:hAnsi="等线 Light" w:cs="等线 Light" w:eastAsia="等线 Light" w:hint="default"/>
          <w:b w:val="0"/>
          <w:bCs w:val="0"/>
          <w:sz w:val="2"/>
          <w:szCs w:val="2"/>
        </w:rPr>
      </w:pPr>
    </w:p>
    <w:p>
      <w:pPr>
        <w:spacing w:line="20" w:lineRule="exact"/>
        <w:ind w:left="116" w:right="0" w:firstLine="0"/>
        <w:rPr>
          <w:rFonts w:ascii="等线 Light" w:hAnsi="等线 Light" w:cs="等线 Light" w:eastAsia="等线 Light" w:hint="default"/>
          <w:sz w:val="2"/>
          <w:szCs w:val="2"/>
        </w:rPr>
      </w:pPr>
      <w:r>
        <w:rPr>
          <w:rFonts w:ascii="等线 Light" w:hAnsi="等线 Light" w:cs="等线 Light" w:eastAsia="等线 Light"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等线 Light" w:hAnsi="等线 Light" w:cs="等线 Light" w:eastAsia="等线 Light" w:hint="default"/>
          <w:sz w:val="2"/>
          <w:szCs w:val="2"/>
        </w:rPr>
      </w:r>
    </w:p>
    <w:p>
      <w:pPr>
        <w:spacing w:line="240" w:lineRule="auto" w:before="0"/>
        <w:rPr>
          <w:rFonts w:ascii="等线 Light" w:hAnsi="等线 Light" w:cs="等线 Light" w:eastAsia="等线 Light" w:hint="default"/>
          <w:b w:val="0"/>
          <w:bCs w:val="0"/>
          <w:sz w:val="20"/>
          <w:szCs w:val="20"/>
        </w:rPr>
      </w:pPr>
    </w:p>
    <w:p>
      <w:pPr>
        <w:spacing w:line="240" w:lineRule="auto" w:before="3"/>
        <w:rPr>
          <w:rFonts w:ascii="等线 Light" w:hAnsi="等线 Light" w:cs="等线 Light" w:eastAsia="等线 Light" w:hint="default"/>
          <w:b w:val="0"/>
          <w:bCs w:val="0"/>
          <w:sz w:val="29"/>
          <w:szCs w:val="29"/>
        </w:rPr>
      </w:pPr>
    </w:p>
    <w:p>
      <w:pPr>
        <w:pStyle w:val="Heading1"/>
        <w:spacing w:line="240" w:lineRule="auto"/>
        <w:ind w:left="2804" w:right="2239"/>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公司负责人鲁峰、主管会计工作负责人侯伟及会计机构负责人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spacing w:val="1"/>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472" w:lineRule="auto" w:before="14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本年度报告涉及未来计划等前瞻性陈述，并不代表公司对未来年度的盈利</w:t>
      </w:r>
      <w:r>
        <w:rPr>
          <w:rFonts w:ascii="宋体" w:hAnsi="宋体" w:cs="宋体" w:eastAsia="宋体" w:hint="default"/>
          <w:sz w:val="28"/>
          <w:szCs w:val="28"/>
        </w:rPr>
      </w:r>
    </w:p>
    <w:p>
      <w:pPr>
        <w:spacing w:line="472"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预测及对投资者的实质承诺，请投资者注意投资风险。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公司已在本报告中详细描述未来将面临的主要风险及应对措施，详情请查</w:t>
      </w:r>
      <w:r>
        <w:rPr>
          <w:rFonts w:ascii="宋体" w:hAnsi="宋体" w:cs="宋体" w:eastAsia="宋体" w:hint="default"/>
          <w:sz w:val="28"/>
          <w:szCs w:val="28"/>
        </w:rPr>
      </w:r>
    </w:p>
    <w:p>
      <w:pPr>
        <w:spacing w:line="398" w:lineRule="auto" w:before="0"/>
        <w:ind w:left="153"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阅本报告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。公司在发展过程中，存在人力资源风</w:t>
      </w:r>
      <w:r>
        <w:rPr>
          <w:rFonts w:ascii="宋体" w:hAnsi="宋体" w:cs="宋体" w:eastAsia="宋体" w:hint="default"/>
          <w:b/>
          <w:bCs/>
          <w:spacing w:val="20"/>
          <w:w w:val="95"/>
          <w:sz w:val="28"/>
          <w:szCs w:val="28"/>
        </w:rPr>
        <w:t> </w:t>
      </w:r>
      <w:r>
        <w:rPr>
          <w:rFonts w:ascii="宋体" w:hAnsi="宋体" w:cs="宋体" w:eastAsia="宋体" w:hint="default"/>
          <w:b/>
          <w:bCs/>
          <w:spacing w:val="3"/>
          <w:w w:val="95"/>
          <w:sz w:val="28"/>
          <w:szCs w:val="28"/>
        </w:rPr>
        <w:t>险、行业技术风险、公司管理能力风险、新业务投入风险等风险因素，敬请广</w:t>
      </w:r>
      <w:r>
        <w:rPr>
          <w:rFonts w:ascii="宋体" w:hAnsi="宋体" w:cs="宋体" w:eastAsia="宋体" w:hint="default"/>
          <w:b/>
          <w:bCs/>
          <w:spacing w:val="20"/>
          <w:w w:val="95"/>
          <w:sz w:val="28"/>
          <w:szCs w:val="28"/>
        </w:rPr>
        <w:t> </w:t>
      </w:r>
      <w:r>
        <w:rPr>
          <w:rFonts w:ascii="宋体" w:hAnsi="宋体" w:cs="宋体" w:eastAsia="宋体" w:hint="default"/>
          <w:b/>
          <w:bCs/>
          <w:spacing w:val="20"/>
          <w:w w:val="95"/>
          <w:sz w:val="28"/>
          <w:szCs w:val="28"/>
        </w:rPr>
      </w:r>
      <w:r>
        <w:rPr>
          <w:rFonts w:ascii="宋体" w:hAnsi="宋体" w:cs="宋体" w:eastAsia="宋体" w:hint="default"/>
          <w:b/>
          <w:bCs/>
          <w:sz w:val="28"/>
          <w:szCs w:val="28"/>
        </w:rPr>
        <w:t>大投资者注意投资风险。</w:t>
      </w:r>
      <w:r>
        <w:rPr>
          <w:rFonts w:ascii="宋体" w:hAnsi="宋体" w:cs="宋体" w:eastAsia="宋体" w:hint="default"/>
          <w:sz w:val="28"/>
          <w:szCs w:val="28"/>
        </w:rPr>
      </w:r>
    </w:p>
    <w:p>
      <w:pPr>
        <w:spacing w:before="173"/>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622,200,000</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54" w:right="1132" w:hanging="1"/>
        <w:jc w:val="both"/>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0"/>
          <w:w w:val="99"/>
          <w:sz w:val="28"/>
          <w:szCs w:val="28"/>
        </w:rPr>
        <w:t>股（含税），不以公积</w:t>
      </w:r>
      <w:r>
        <w:rPr>
          <w:rFonts w:ascii="宋体" w:hAnsi="宋体" w:cs="宋体" w:eastAsia="宋体" w:hint="default"/>
          <w:b/>
          <w:bCs/>
          <w:spacing w:val="1"/>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7" w:header="748" w:top="1060" w:bottom="1160" w:left="980" w:right="0"/>
          <w:pgNumType w:start="2"/>
        </w:sectPr>
      </w:pPr>
    </w:p>
    <w:p>
      <w:pPr>
        <w:spacing w:line="240" w:lineRule="auto" w:before="9"/>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495" w:right="147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7" w:top="1060" w:bottom="1160" w:left="980" w:right="0"/>
        </w:sectPr>
      </w:pPr>
    </w:p>
    <w:p>
      <w:pPr>
        <w:spacing w:before="946"/>
        <w:ind w:left="495" w:right="147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3"/>
        <w:rPr>
          <w:rFonts w:ascii="宋体" w:hAnsi="宋体" w:cs="宋体" w:eastAsia="宋体" w:hint="default"/>
          <w:b/>
          <w:bCs/>
          <w:sz w:val="24"/>
          <w:szCs w:val="24"/>
        </w:rPr>
      </w:pPr>
    </w:p>
    <w:p>
      <w:pPr>
        <w:pStyle w:val="BodyText"/>
        <w:spacing w:line="240" w:lineRule="auto"/>
        <w:ind w:left="0" w:right="1139"/>
        <w:jc w:val="right"/>
      </w:pPr>
      <w:r>
        <w:rPr/>
        <w:pict>
          <v:shape style="position:absolute;margin-left:56.459999pt;margin-top:-491.987946pt;width:479.2pt;height:592.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星云大数据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星榕基</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容大物联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福水智联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福水智联技术有限公司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公司主营业务领域、四大业务领域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电子政务、信息安全、质检三电工程、协同管理等</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p>
                    </w:tc>
                  </w:tr>
                  <w:tr>
                    <w:trPr>
                      <w:trHeight w:val="312"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和管理职能重组优化的运作模式。电子政务有狭义和广义之分。狭义</w:t>
                        </w:r>
                      </w:p>
                    </w:tc>
                  </w:tr>
                  <w:tr>
                    <w:trPr>
                      <w:trHeight w:val="313"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的电子政务专指政府部门的管理和服务，广义的电子政务包括各类行</w:t>
                        </w:r>
                      </w:p>
                    </w:tc>
                  </w:tr>
                  <w:tr>
                    <w:trPr>
                      <w:trHeight w:val="311" w:hRule="exact"/>
                    </w:trPr>
                    <w:tc>
                      <w:tcPr>
                        <w:tcW w:w="3524" w:type="dxa"/>
                        <w:tcBorders>
                          <w:top w:val="nil" w:sz="6" w:space="0" w:color="auto"/>
                          <w:left w:val="single" w:sz="4" w:space="0" w:color="000000"/>
                          <w:bottom w:val="nil" w:sz="6" w:space="0" w:color="auto"/>
                          <w:right w:val="single" w:sz="4" w:space="0" w:color="000000"/>
                        </w:tcBorders>
                      </w:tcPr>
                      <w:p>
                        <w:pPr/>
                      </w:p>
                    </w:tc>
                    <w:tc>
                      <w:tcPr>
                        <w:tcW w:w="620" w:type="dxa"/>
                        <w:tcBorders>
                          <w:top w:val="nil" w:sz="6" w:space="0" w:color="auto"/>
                          <w:left w:val="single" w:sz="4" w:space="0" w:color="000000"/>
                          <w:bottom w:val="nil" w:sz="6" w:space="0" w:color="auto"/>
                          <w:right w:val="single" w:sz="4" w:space="0" w:color="000000"/>
                        </w:tcBorders>
                        <w:shd w:val="clear" w:color="auto" w:fill="D3D3D3"/>
                      </w:tcPr>
                      <w:p>
                        <w:pP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政管理活动</w:t>
                        </w:r>
                        <w:r>
                          <w:rPr>
                            <w:rFonts w:ascii="宋体" w:hAnsi="宋体" w:cs="宋体" w:eastAsia="宋体" w:hint="default"/>
                            <w:spacing w:val="-9"/>
                            <w:sz w:val="18"/>
                            <w:szCs w:val="18"/>
                          </w:rPr>
                          <w:t>，</w:t>
                        </w:r>
                        <w:r>
                          <w:rPr>
                            <w:rFonts w:ascii="宋体" w:hAnsi="宋体" w:cs="宋体" w:eastAsia="宋体" w:hint="default"/>
                            <w:sz w:val="18"/>
                            <w:szCs w:val="18"/>
                          </w:rPr>
                          <w:t>例如电子政</w:t>
                        </w:r>
                        <w:r>
                          <w:rPr>
                            <w:rFonts w:ascii="宋体" w:hAnsi="宋体" w:cs="宋体" w:eastAsia="宋体" w:hint="default"/>
                            <w:spacing w:val="-9"/>
                            <w:sz w:val="18"/>
                            <w:szCs w:val="18"/>
                          </w:rPr>
                          <w:t>府</w:t>
                        </w:r>
                        <w:r>
                          <w:rPr>
                            <w:rFonts w:ascii="宋体" w:hAnsi="宋体" w:cs="宋体" w:eastAsia="宋体" w:hint="default"/>
                            <w:sz w:val="18"/>
                            <w:szCs w:val="18"/>
                          </w:rPr>
                          <w:t>（狭义电子政务</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电子党务</w:t>
                        </w:r>
                        <w:r>
                          <w:rPr>
                            <w:rFonts w:ascii="宋体" w:hAnsi="宋体" w:cs="宋体" w:eastAsia="宋体" w:hint="default"/>
                            <w:spacing w:val="-9"/>
                            <w:sz w:val="18"/>
                            <w:szCs w:val="18"/>
                          </w:rPr>
                          <w:t>、</w:t>
                        </w:r>
                        <w:r>
                          <w:rPr>
                            <w:rFonts w:ascii="宋体" w:hAnsi="宋体" w:cs="宋体" w:eastAsia="宋体" w:hint="default"/>
                            <w:sz w:val="18"/>
                            <w:szCs w:val="18"/>
                          </w:rPr>
                          <w:t>电子政协</w:t>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电子人大。</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指无法在一定时间范围内用常规软件工具进行捕捉、管理和处理的数</w:t>
                        </w:r>
                      </w:p>
                    </w:tc>
                  </w:tr>
                  <w:tr>
                    <w:trPr>
                      <w:trHeight w:val="624"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据集合，是需要新处理模式才能具有更强的决策力、洞察发现力和流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程优化能力的海量、高增长率和多样化的信息资产。大数据技术，是</w:t>
                        </w: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指从各种各样类型的数据中，快速获得有价值信息的能力。</w:t>
                        </w:r>
                      </w:p>
                    </w:tc>
                  </w:tr>
                </w:tbl>
                <w:p>
                  <w:pPr/>
                </w:p>
              </w:txbxContent>
            </v:textbox>
            <w10:wrap type="none"/>
          </v:shape>
        </w:pict>
      </w:r>
      <w:r>
        <w:rPr/>
        <w:t>、</w:t>
      </w:r>
    </w:p>
    <w:p>
      <w:pPr>
        <w:spacing w:after="0" w:line="240" w:lineRule="auto"/>
        <w:jc w:val="righ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138"/>
        <w:jc w:val="right"/>
      </w:pPr>
      <w:r>
        <w:rPr/>
        <w:pict>
          <v:shape style="position:absolute;margin-left:56.459999pt;margin-top:-69.888039pt;width:479.2pt;height:25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
                          <w:jc w:val="both"/>
                          <w:rPr>
                            <w:rFonts w:ascii="宋体" w:hAnsi="宋体" w:cs="宋体" w:eastAsia="宋体" w:hint="default"/>
                            <w:sz w:val="18"/>
                            <w:szCs w:val="18"/>
                          </w:rPr>
                        </w:pPr>
                        <w:r>
                          <w:rPr>
                            <w:rFonts w:ascii="宋体" w:hAnsi="宋体" w:cs="宋体" w:eastAsia="宋体" w:hint="default"/>
                            <w:sz w:val="18"/>
                            <w:szCs w:val="18"/>
                          </w:rPr>
                          <w:t>物联网是指通过各种信息传感设备，实时采集任何需要监控、连接、 </w:t>
                        </w:r>
                        <w:r>
                          <w:rPr>
                            <w:rFonts w:ascii="宋体" w:hAnsi="宋体" w:cs="宋体" w:eastAsia="宋体" w:hint="default"/>
                            <w:spacing w:val="-2"/>
                            <w:sz w:val="18"/>
                            <w:szCs w:val="18"/>
                          </w:rPr>
                          <w:t>互动的物体或过程等各种需要的信息，与互联网结合形成的一个巨大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网络。其目是实现物与物、物与人，所有物品与网络的连接，方便识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别、管理和控制。</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113"/>
                          <w:jc w:val="left"/>
                          <w:rPr>
                            <w:rFonts w:ascii="宋体" w:hAnsi="宋体" w:cs="宋体" w:eastAsia="宋体" w:hint="default"/>
                            <w:sz w:val="18"/>
                            <w:szCs w:val="18"/>
                          </w:rPr>
                        </w:pPr>
                        <w:r>
                          <w:rPr>
                            <w:rFonts w:ascii="宋体" w:hAnsi="宋体" w:cs="宋体" w:eastAsia="宋体" w:hint="default"/>
                            <w:spacing w:val="-3"/>
                            <w:w w:val="99"/>
                            <w:sz w:val="18"/>
                            <w:szCs w:val="18"/>
                          </w:rPr>
                          <w:t>最高人民法院在</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十二五</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期间，推进全国法院信息化建设的重大举措</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是国家电子政务重点业务信息系统建设项目。</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金关工程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pacing w:val="-2"/>
                            <w:sz w:val="18"/>
                            <w:szCs w:val="18"/>
                          </w:rPr>
                          <w:t>金关工程是一项重要的国家信息化重点工程，也是国家为提高对外经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济贸易及相关领域的现代化管理水平和宏观调控能力、适应二十一世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纪世界经济和国际贸易发展需要而建设的国家电子商务工程。</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金环工程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
                          <w:jc w:val="left"/>
                          <w:rPr>
                            <w:rFonts w:ascii="宋体" w:hAnsi="宋体" w:cs="宋体" w:eastAsia="宋体" w:hint="default"/>
                            <w:sz w:val="18"/>
                            <w:szCs w:val="18"/>
                          </w:rPr>
                        </w:pPr>
                        <w:r>
                          <w:rPr>
                            <w:rFonts w:ascii="宋体" w:hAnsi="宋体" w:cs="宋体" w:eastAsia="宋体" w:hint="default"/>
                            <w:sz w:val="18"/>
                            <w:szCs w:val="18"/>
                          </w:rPr>
                          <w:t>建设国家和地方环境保护信息系统。构建环境保护信息基础网络平 台，建设国家环境数据信息库和环境管理决策支持体系，建立高效、 </w:t>
                        </w:r>
                        <w:r>
                          <w:rPr>
                            <w:rFonts w:ascii="宋体" w:hAnsi="宋体" w:cs="宋体" w:eastAsia="宋体" w:hint="default"/>
                            <w:spacing w:val="-2"/>
                            <w:sz w:val="18"/>
                            <w:szCs w:val="18"/>
                          </w:rPr>
                          <w:t>便捷的环境污染事故应急指挥信息传输系统，构筑数字环保，完善信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息发布制度，促进环境信息共享。</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组织的灵活性和应变能力的软件。</w:t>
                        </w:r>
                      </w:p>
                    </w:tc>
                  </w:tr>
                </w:tbl>
                <w:p>
                  <w:pPr/>
                </w:p>
              </w:txbxContent>
            </v:textbox>
            <w10:wrap type="none"/>
          </v:shape>
        </w:pict>
      </w:r>
      <w:r>
        <w:rPr/>
        <w:t>，</w:t>
      </w:r>
    </w:p>
    <w:p>
      <w:pPr>
        <w:spacing w:after="0" w:line="240" w:lineRule="auto"/>
        <w:jc w:val="right"/>
        <w:sectPr>
          <w:pgSz w:w="11910" w:h="16840"/>
          <w:pgMar w:header="748" w:footer="977" w:top="1060" w:bottom="1160" w:left="980" w:right="0"/>
        </w:sectPr>
      </w:pPr>
    </w:p>
    <w:p>
      <w:pPr>
        <w:spacing w:line="240" w:lineRule="auto" w:before="0"/>
        <w:rPr>
          <w:rFonts w:ascii="宋体" w:hAnsi="宋体" w:cs="宋体" w:eastAsia="宋体" w:hint="default"/>
          <w:sz w:val="20"/>
          <w:szCs w:val="20"/>
        </w:rPr>
      </w:pPr>
      <w:r>
        <w:rPr/>
        <w:pict>
          <v:shape style="position:absolute;margin-left:138pt;margin-top:272.760010pt;width:396.9pt;height:19.6pt;mso-position-horizontal-relative:page;mso-position-vertical-relative:page;z-index:-1105744"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2644" w:right="2239"/>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002474</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FUJIAN RONGJI </w:t>
            </w:r>
            <w:r>
              <w:rPr>
                <w:rFonts w:ascii="Times New Roman"/>
                <w:spacing w:val="-4"/>
                <w:sz w:val="18"/>
              </w:rPr>
              <w:t>SOFTWARE </w:t>
            </w:r>
            <w:r>
              <w:rPr>
                <w:rFonts w:ascii="Times New Roman"/>
                <w:sz w:val="18"/>
              </w:rPr>
              <w:t>Co.,</w:t>
            </w:r>
            <w:r>
              <w:rPr>
                <w:rFonts w:ascii="Times New Roman"/>
                <w:spacing w:val="-5"/>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4"/>
              <w:ind w:left="16" w:right="0"/>
              <w:jc w:val="left"/>
              <w:rPr>
                <w:rFonts w:ascii="Times New Roman" w:hAnsi="Times New Roman" w:cs="Times New Roman" w:eastAsia="Times New Roman" w:hint="default"/>
                <w:sz w:val="18"/>
                <w:szCs w:val="18"/>
              </w:rPr>
            </w:pPr>
            <w:r>
              <w:rPr>
                <w:rFonts w:ascii="Times New Roman"/>
                <w:sz w:val="18"/>
              </w:rPr>
              <w:t>RONGJI </w:t>
            </w:r>
            <w:r>
              <w:rPr>
                <w:rFonts w:ascii="Times New Roman"/>
                <w:spacing w:val="-4"/>
                <w:sz w:val="18"/>
              </w:rPr>
              <w:t>SOFTWARE</w:t>
            </w:r>
            <w:r>
              <w:rPr>
                <w:rFonts w:ascii="Times New Roman"/>
                <w:sz w:val="18"/>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9">
              <w:r>
                <w:rPr>
                  <w:rFonts w:ascii="Times New Roman"/>
                  <w:sz w:val="18"/>
                </w:rPr>
                <w:t>http://www.rongji.com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0">
              <w:r>
                <w:rPr>
                  <w:rFonts w:ascii="Times New Roman"/>
                  <w:sz w:val="18"/>
                </w:rPr>
                <w:t>rongji@rongji.com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0591-8351776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0591-87303569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0591-87862566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0591-87862566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1">
              <w:r>
                <w:rPr>
                  <w:rFonts w:ascii="Times New Roman"/>
                  <w:sz w:val="18"/>
                </w:rPr>
                <w:t>wanxiaoxiong@rongji.com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2">
              <w:r>
                <w:rPr>
                  <w:rFonts w:ascii="Times New Roman"/>
                  <w:sz w:val="18"/>
                </w:rPr>
                <w:t>chenlv</w:t>
              </w:r>
            </w:hyperlink>
            <w:hyperlink r:id="rId13">
              <w:r>
                <w:rPr>
                  <w:rFonts w:ascii="Times New Roman"/>
                  <w:sz w:val="18"/>
                </w:rPr>
                <w:t>e@rongji.com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2239"/>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913500006285075795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pStyle w:val="BodyText"/>
        <w:spacing w:line="240" w:lineRule="auto" w:before="51"/>
        <w:ind w:right="2239"/>
        <w:jc w:val="left"/>
      </w:pPr>
      <w:r>
        <w:rPr/>
        <w:t>公司聘请的报告期内履行持续督导职责的保荐机构</w:t>
      </w:r>
    </w:p>
    <w:p>
      <w:pPr>
        <w:pStyle w:val="BodyText"/>
        <w:spacing w:line="338"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39"/>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公司是否需追溯调整或重述以前年度会计数据</w:t>
      </w:r>
    </w:p>
    <w:p>
      <w:pPr>
        <w:pStyle w:val="BodyText"/>
        <w:spacing w:line="240" w:lineRule="auto" w:before="116"/>
        <w:ind w:left="153"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812,488,365.82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742,004,732.30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9.50%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702,592,311.90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34,864,137.25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32,763,224.88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24,845,319.23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93,706.46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19,818,711.10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-99.53%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12,405,680.66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26,395,263.03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89,635,802.24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-70.55%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57,174,908.96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0.0560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6.26%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0.0399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0.0560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6.26%</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0.0399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2.42%</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2.31%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1.80%</w:t>
            </w:r>
            <w:r>
              <w:rPr>
                <w:rFonts w:ascii="Times New Roman"/>
                <w:sz w:val="18"/>
              </w:rPr>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2,527,395,782.89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2,592,957,508.72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2,135,196,120.20</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1,456,980,946.95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1,424,157,730.23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1,403,645,637.60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2239"/>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154,966,489.96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191,028,400.28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131,386,834.89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335,106,640.69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14,575,375.75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10,642,767.35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5,145,052.03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4,500,942.12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4,216,369.97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472,914.89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-809,573.35</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-3,786,005.05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-32,806,846.28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-20,603,038.62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13,121,916.01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66,683,231.92</w:t>
            </w:r>
          </w:p>
        </w:tc>
      </w:tr>
    </w:tbl>
    <w:p>
      <w:pPr>
        <w:pStyle w:val="BodyText"/>
        <w:spacing w:line="240" w:lineRule="auto" w:before="51"/>
        <w:ind w:right="2239"/>
        <w:jc w:val="left"/>
      </w:pPr>
      <w:r>
        <w:rPr/>
        <w:t>上述财务指标或其加总数是否与公司已披露季度报告、半年度报告相关财务指标存在重大差异</w:t>
      </w:r>
    </w:p>
    <w:p>
      <w:pPr>
        <w:pStyle w:val="BodyText"/>
        <w:spacing w:line="240" w:lineRule="auto" w:before="115"/>
        <w:ind w:left="153"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3"/>
        <w:rPr>
          <w:rFonts w:ascii="宋体" w:hAnsi="宋体" w:cs="宋体" w:eastAsia="宋体" w:hint="default"/>
          <w:sz w:val="24"/>
          <w:szCs w:val="24"/>
        </w:rPr>
      </w:pPr>
    </w:p>
    <w:p>
      <w:pPr>
        <w:pStyle w:val="Heading2"/>
        <w:spacing w:line="240" w:lineRule="auto"/>
        <w:ind w:right="2239"/>
        <w:jc w:val="left"/>
        <w:rPr>
          <w:b w:val="0"/>
          <w:bCs w:val="0"/>
        </w:rPr>
      </w:pPr>
      <w:r>
        <w:rPr/>
        <w:t>九、非经常性损益项目及金额</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-1,737,964.97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-567,281.26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-529,037.33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12,939,440.04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7,580,033.95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6,613,758.07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28,073,359.27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8,049,481.20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8,326,697.62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-6,146.32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-26,463.73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-45,712.31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4,221,955.78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1,981,441.42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1,915,390.93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276,301.45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109,814.96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10,676.55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34,770,430.79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12,944,513.78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12,439,638.57</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1"/>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4"/>
        <w:gridCol w:w="2125"/>
        <w:gridCol w:w="5178"/>
      </w:tblGrid>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1"/>
              <w:jc w:val="right"/>
              <w:rPr>
                <w:rFonts w:ascii="宋体" w:hAnsi="宋体" w:cs="宋体" w:eastAsia="宋体" w:hint="default"/>
                <w:sz w:val="18"/>
                <w:szCs w:val="18"/>
              </w:rPr>
            </w:pPr>
            <w:r>
              <w:rPr>
                <w:rFonts w:ascii="宋体" w:hAnsi="宋体" w:cs="宋体" w:eastAsia="宋体" w:hint="default"/>
                <w:sz w:val="18"/>
                <w:szCs w:val="18"/>
              </w:rPr>
              <w:t>增值税税收返还</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2" w:right="0"/>
              <w:jc w:val="left"/>
              <w:rPr>
                <w:rFonts w:ascii="Times New Roman" w:hAnsi="Times New Roman" w:cs="Times New Roman" w:eastAsia="Times New Roman" w:hint="default"/>
                <w:sz w:val="18"/>
                <w:szCs w:val="18"/>
              </w:rPr>
            </w:pPr>
            <w:r>
              <w:rPr>
                <w:rFonts w:ascii="Times New Roman"/>
                <w:sz w:val="18"/>
              </w:rPr>
              <w:t>492,659.52</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446" w:right="2239"/>
        <w:jc w:val="left"/>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239"/>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240" w:lineRule="auto" w:before="26"/>
        <w:ind w:left="153" w:right="2239"/>
        <w:jc w:val="left"/>
      </w:pPr>
      <w:r>
        <w:rPr/>
        <w:t>软件与信息技术服务业</w:t>
      </w:r>
    </w:p>
    <w:p>
      <w:pPr>
        <w:pStyle w:val="BodyText"/>
        <w:spacing w:line="348" w:lineRule="auto" w:before="116"/>
        <w:ind w:left="514" w:right="0" w:hanging="36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公司一直专注于行业应用软件研发、系统集成和运维服务，为党政、海关、能源、司法、环保等行业提供信息系统全生</w:t>
      </w:r>
    </w:p>
    <w:p>
      <w:pPr>
        <w:pStyle w:val="BodyText"/>
        <w:spacing w:line="316" w:lineRule="auto"/>
        <w:ind w:right="1129"/>
        <w:jc w:val="both"/>
      </w:pPr>
      <w:r>
        <w:rPr>
          <w:spacing w:val="-2"/>
        </w:rPr>
        <w:t>命周期、全方位的专业服务。公司是海西软件产业的龙头企业，是国内电子政务和协同管理细分领域的领先服务厂商，为金</w:t>
      </w:r>
      <w:r>
        <w:rPr>
          <w:spacing w:val="-66"/>
        </w:rPr>
        <w:t> </w:t>
      </w:r>
      <w:r>
        <w:rPr>
          <w:spacing w:val="-66"/>
        </w:rPr>
      </w:r>
      <w:r>
        <w:rPr>
          <w:spacing w:val="-2"/>
        </w:rPr>
        <w:t>关工程、天平工程、金环工程、司法行政、智能电网等提供核心技术与服务，是国内通用电子政务和协同管理细分领域最具</w:t>
      </w:r>
      <w:r>
        <w:rPr>
          <w:spacing w:val="-66"/>
        </w:rPr>
        <w:t> </w:t>
      </w:r>
      <w:r>
        <w:rPr>
          <w:spacing w:val="-66"/>
        </w:rPr>
      </w:r>
      <w:r>
        <w:rPr/>
        <w:t>竞争力、拥有最多实用化客户的厂商之一。</w:t>
      </w:r>
    </w:p>
    <w:p>
      <w:pPr>
        <w:pStyle w:val="BodyText"/>
        <w:spacing w:line="309" w:lineRule="auto" w:before="67"/>
        <w:ind w:right="1030" w:firstLine="360"/>
        <w:jc w:val="left"/>
      </w:pPr>
      <w:r>
        <w:rPr>
          <w:spacing w:val="-2"/>
        </w:rPr>
        <w:t>报告期内，公司进一步推进软件</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经营战略，依托长期积累的品牌、团队、产品、技术等综合</w:t>
      </w:r>
      <w:r>
        <w:rPr/>
        <w:t> 优势，积极进行技术创新和商业模式创新，进一步提升公司的核心竞争力，积极培育和拓展安全可靠、自主可控、大数据、 物联网等新技术、新业务，公司经营业绩实现了稳健增长。</w:t>
      </w:r>
    </w:p>
    <w:p>
      <w:pPr>
        <w:pStyle w:val="BodyText"/>
        <w:spacing w:line="345" w:lineRule="auto" w:before="72"/>
        <w:ind w:left="514" w:right="0"/>
        <w:jc w:val="left"/>
      </w:pPr>
      <w:r>
        <w:rPr>
          <w:rFonts w:ascii="Times New Roman" w:hAnsi="Times New Roman" w:cs="Times New Roman" w:eastAsia="Times New Roman" w:hint="default"/>
        </w:rPr>
        <w:t>1</w:t>
      </w:r>
      <w:r>
        <w:rPr/>
        <w:t>、电子政务领域 </w:t>
      </w:r>
      <w:r>
        <w:rPr>
          <w:spacing w:val="-2"/>
        </w:rPr>
        <w:t>报告期内，在电子政务领域，公司持续保持较高的研发投入，积极进行安全可靠、大数据等新技术研究以及电子政务行</w:t>
      </w:r>
    </w:p>
    <w:p>
      <w:pPr>
        <w:pStyle w:val="BodyText"/>
        <w:spacing w:line="309" w:lineRule="auto"/>
        <w:ind w:right="0"/>
        <w:jc w:val="left"/>
      </w:pPr>
      <w:r>
        <w:rPr/>
        <w:t>业应用的研发，在互联网</w:t>
      </w:r>
      <w:r>
        <w:rPr>
          <w:rFonts w:ascii="Times New Roman" w:hAnsi="Times New Roman" w:cs="Times New Roman" w:eastAsia="Times New Roman" w:hint="default"/>
        </w:rPr>
        <w:t>+</w:t>
      </w:r>
      <w:r>
        <w:rPr/>
        <w:t>政务、安全可靠、自主可控、互联网</w:t>
      </w:r>
      <w:r>
        <w:rPr>
          <w:rFonts w:ascii="Times New Roman" w:hAnsi="Times New Roman" w:cs="Times New Roman" w:eastAsia="Times New Roman" w:hint="default"/>
        </w:rPr>
        <w:t>+</w:t>
      </w:r>
      <w:r>
        <w:rPr/>
        <w:t>党建、司法行政以及大数据、物联网等领域获得了</w:t>
      </w:r>
      <w:r>
        <w:rPr>
          <w:rFonts w:ascii="Times New Roman" w:hAnsi="Times New Roman" w:cs="Times New Roman" w:eastAsia="Times New Roman" w:hint="default"/>
        </w:rPr>
        <w:t>20</w:t>
      </w:r>
      <w:r>
        <w:rPr/>
        <w:t>多项 </w:t>
      </w:r>
      <w:r>
        <w:rPr>
          <w:spacing w:val="-2"/>
        </w:rPr>
        <w:t>自主知识产权的软件产品和解决方案，在全国各地积极推广应用，为提升公司在电子政务领域的竞争优势、实现公司经营业</w:t>
      </w:r>
      <w:r>
        <w:rPr>
          <w:spacing w:val="-66"/>
        </w:rPr>
        <w:t> </w:t>
      </w:r>
      <w:r>
        <w:rPr>
          <w:spacing w:val="-66"/>
        </w:rPr>
      </w:r>
      <w:r>
        <w:rPr/>
        <w:t>绩的持续稳健增长提供了有效支撑。</w:t>
      </w:r>
    </w:p>
    <w:p>
      <w:pPr>
        <w:pStyle w:val="BodyText"/>
        <w:spacing w:line="345" w:lineRule="auto" w:before="72"/>
        <w:ind w:left="514" w:right="120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）互联网</w:t>
      </w:r>
      <w:r>
        <w:rPr>
          <w:rFonts w:ascii="Times New Roman" w:hAnsi="Times New Roman" w:cs="Times New Roman" w:eastAsia="Times New Roman" w:hint="default"/>
        </w:rPr>
        <w:t>+</w:t>
      </w:r>
      <w:r>
        <w:rPr/>
        <w:t>政务 公司坚持技术创新，采用大数据、云计算、工作流、智能交互等新技术，积极打造政务信息资源共享平台和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p>
    <w:p>
      <w:pPr>
        <w:pStyle w:val="BodyText"/>
        <w:spacing w:line="224" w:lineRule="exact"/>
        <w:ind w:right="0"/>
        <w:jc w:val="left"/>
      </w:pPr>
      <w:r>
        <w:rPr/>
        <w:t>政务服务</w:t>
      </w:r>
      <w:r>
        <w:rPr>
          <w:rFonts w:ascii="Times New Roman" w:hAnsi="Times New Roman" w:cs="Times New Roman" w:eastAsia="Times New Roman" w:hint="default"/>
        </w:rPr>
        <w:t>”</w:t>
      </w:r>
      <w:r>
        <w:rPr/>
        <w:t>一体化解决方案，在福建、上海、河南、浙江、湖北等地成功推广应用，公司将加大市场开拓力度，依托全国营</w:t>
      </w:r>
    </w:p>
    <w:p>
      <w:pPr>
        <w:pStyle w:val="BodyText"/>
        <w:spacing w:line="240" w:lineRule="auto" w:before="63"/>
        <w:ind w:right="2239"/>
        <w:jc w:val="left"/>
      </w:pPr>
      <w:r>
        <w:rPr/>
        <w:t>销服务网络，积极拓展互联网</w:t>
      </w:r>
      <w:r>
        <w:rPr>
          <w:rFonts w:ascii="Times New Roman" w:hAnsi="Times New Roman" w:cs="Times New Roman" w:eastAsia="Times New Roman" w:hint="default"/>
        </w:rPr>
        <w:t>+</w:t>
      </w:r>
      <w:r>
        <w:rPr/>
        <w:t>政务服务区域市场。</w:t>
      </w:r>
    </w:p>
    <w:p>
      <w:pPr>
        <w:pStyle w:val="BodyText"/>
        <w:spacing w:line="345" w:lineRule="auto" w:before="111"/>
        <w:ind w:left="514" w:right="0"/>
        <w:jc w:val="left"/>
      </w:pPr>
      <w:r>
        <w:rPr/>
        <w:t>（</w:t>
      </w:r>
      <w:r>
        <w:rPr>
          <w:rFonts w:ascii="Times New Roman" w:hAnsi="Times New Roman" w:cs="Times New Roman" w:eastAsia="Times New Roman" w:hint="default"/>
        </w:rPr>
        <w:t>2</w:t>
      </w:r>
      <w:r>
        <w:rPr/>
        <w:t>）安全可靠、自主可控 </w:t>
      </w:r>
      <w:r>
        <w:rPr>
          <w:spacing w:val="-2"/>
        </w:rPr>
        <w:t>构建安全可靠、自主可控的信息技术体系，已成为国家培育发展核心信息技术产业和实现网络安全的立足之本，这一国</w:t>
      </w:r>
    </w:p>
    <w:p>
      <w:pPr>
        <w:pStyle w:val="BodyText"/>
        <w:spacing w:line="309" w:lineRule="auto"/>
        <w:ind w:left="514" w:right="0" w:hanging="360"/>
        <w:jc w:val="left"/>
      </w:pPr>
      <w:r>
        <w:rPr/>
        <w:t>家战略决策将深刻影响我国未来信息化的发展和</w:t>
      </w:r>
      <w:r>
        <w:rPr>
          <w:rFonts w:ascii="Times New Roman" w:hAnsi="Times New Roman" w:cs="Times New Roman" w:eastAsia="Times New Roman" w:hint="default"/>
        </w:rPr>
        <w:t>IT</w:t>
      </w:r>
      <w:r>
        <w:rPr/>
        <w:t>市场的竞争格局。 报告期内，随着相关政策的进一步推动，安全可靠领域的需求开始呈现快速增长。 </w:t>
      </w:r>
      <w:r>
        <w:rPr>
          <w:spacing w:val="-2"/>
        </w:rPr>
        <w:t>公司围绕进一步加速发展安全可靠、自主可控业务战略，致力于成为行业细分领域应用软件开发和系统集成及运维服务</w:t>
      </w:r>
    </w:p>
    <w:p>
      <w:pPr>
        <w:pStyle w:val="BodyText"/>
        <w:spacing w:line="316" w:lineRule="auto" w:before="24"/>
        <w:ind w:right="1129"/>
        <w:jc w:val="both"/>
      </w:pPr>
      <w:r>
        <w:rPr>
          <w:spacing w:val="-2"/>
        </w:rPr>
        <w:t>的领先厂商，加大技术研发投入，加强自主可控重点实验室建设。当前聚焦安全可靠应用中间件、安全可靠党政办公系统的</w:t>
      </w:r>
      <w:r>
        <w:rPr>
          <w:spacing w:val="-66"/>
        </w:rPr>
        <w:t> </w:t>
      </w:r>
      <w:r>
        <w:rPr>
          <w:spacing w:val="-66"/>
        </w:rPr>
      </w:r>
      <w:r>
        <w:rPr>
          <w:spacing w:val="-2"/>
        </w:rPr>
        <w:t>研发、示范和推广，以及系统集成和运行维护本地化服务。未来将积极拓展海关、司法、环保等优势行业应用以及政务信息</w:t>
      </w:r>
      <w:r>
        <w:rPr>
          <w:spacing w:val="-66"/>
        </w:rPr>
        <w:t> </w:t>
      </w:r>
      <w:r>
        <w:rPr>
          <w:spacing w:val="-66"/>
        </w:rPr>
      </w:r>
      <w:r>
        <w:rPr/>
        <w:t>资源服务、社会治理和公共服务领域的安全可靠业务。</w:t>
      </w:r>
    </w:p>
    <w:p>
      <w:pPr>
        <w:pStyle w:val="BodyText"/>
        <w:spacing w:line="314" w:lineRule="auto" w:before="19"/>
        <w:ind w:right="1030" w:firstLine="360"/>
        <w:jc w:val="left"/>
      </w:pPr>
      <w:r>
        <w:rPr>
          <w:spacing w:val="-2"/>
        </w:rPr>
        <w:t>公司已完成安全可靠技术架构、性能和可靠性以及一体化集成适配调优技术等重点难点问题的攻关验证，采用微服务架</w:t>
      </w:r>
      <w:r>
        <w:rPr/>
        <w:t> </w:t>
      </w:r>
      <w:r>
        <w:rPr>
          <w:spacing w:val="-2"/>
        </w:rPr>
        <w:t>构、大数据等新技术对安全可靠自主软件产品进行重构，已研发形成近</w:t>
      </w:r>
      <w:r>
        <w:rPr>
          <w:rFonts w:ascii="Times New Roman" w:hAnsi="Times New Roman" w:cs="Times New Roman" w:eastAsia="Times New Roman" w:hint="default"/>
          <w:spacing w:val="-2"/>
        </w:rPr>
        <w:t>20</w:t>
      </w:r>
      <w:r>
        <w:rPr>
          <w:spacing w:val="-2"/>
        </w:rPr>
        <w:t>项自主知识产权安全可靠软件产品，包括综合办公</w:t>
      </w:r>
      <w:r>
        <w:rPr>
          <w:spacing w:val="-64"/>
        </w:rPr>
        <w:t> </w:t>
      </w:r>
      <w:r>
        <w:rPr>
          <w:spacing w:val="-64"/>
        </w:rPr>
      </w:r>
      <w:r>
        <w:rPr/>
        <w:t>系统、电子公文管理系统、电子公文交换系统、档案管理系统、电子公文库系统、督查督办管理系统等安全可靠应用软件， </w:t>
      </w:r>
      <w:r>
        <w:rPr>
          <w:spacing w:val="-2"/>
        </w:rPr>
        <w:t>非结构化数据服务、分布式全文检索、工作流平台、基础支撑平台等安全可靠应用中间件，以及安全可靠网络隐患扫描系统</w:t>
      </w:r>
      <w:r>
        <w:rPr>
          <w:spacing w:val="-66"/>
        </w:rPr>
        <w:t> </w:t>
      </w:r>
      <w:r>
        <w:rPr>
          <w:spacing w:val="-66"/>
        </w:rPr>
      </w:r>
      <w:r>
        <w:rPr/>
        <w:t>信息安全产品。</w:t>
      </w:r>
    </w:p>
    <w:p>
      <w:pPr>
        <w:pStyle w:val="BodyText"/>
        <w:spacing w:line="309" w:lineRule="auto" w:before="20"/>
        <w:ind w:right="1129" w:firstLine="360"/>
        <w:jc w:val="both"/>
      </w:pPr>
      <w:r>
        <w:rPr>
          <w:spacing w:val="-2"/>
        </w:rPr>
        <w:t>公司已入选安全可靠系统集成服务厂商目录，可独立承建全国安全可靠建设项目。公司已成为中国电子工业标准技术协</w:t>
      </w:r>
      <w:r>
        <w:rPr/>
        <w:t> </w:t>
      </w:r>
      <w:r>
        <w:rPr>
          <w:spacing w:val="-2"/>
        </w:rPr>
        <w:t>会安全可靠工作委员会会员，与国家安全可靠信息系统集成重点企业及</w:t>
      </w:r>
      <w:r>
        <w:rPr>
          <w:rFonts w:ascii="Times New Roman" w:hAnsi="Times New Roman" w:cs="Times New Roman" w:eastAsia="Times New Roman" w:hint="default"/>
          <w:spacing w:val="-2"/>
        </w:rPr>
        <w:t>CPU</w:t>
      </w:r>
      <w:r>
        <w:rPr>
          <w:spacing w:val="-2"/>
        </w:rPr>
        <w:t>、整机、操作系统、数据库、中间件、流版式办</w:t>
      </w:r>
      <w:r>
        <w:rPr>
          <w:spacing w:val="-54"/>
        </w:rPr>
        <w:t> </w:t>
      </w:r>
      <w:r>
        <w:rPr>
          <w:spacing w:val="-54"/>
        </w:rPr>
      </w:r>
      <w:r>
        <w:rPr>
          <w:spacing w:val="-2"/>
        </w:rPr>
        <w:t>公套件、信息安全产品等国内安全可靠产业链相关企业建立了密切友好的合作关系，与主流安全可靠基础软硬件产品进行了</w:t>
      </w:r>
    </w:p>
    <w:p>
      <w:pPr>
        <w:spacing w:after="0" w:line="309"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131"/>
        <w:jc w:val="both"/>
      </w:pPr>
      <w:r>
        <w:rPr>
          <w:spacing w:val="-2"/>
        </w:rPr>
        <w:t>集成适配优化工作。公司已建立一支从事自主可控安全可靠业务领域的专业团队，可以提供业务咨询、架构设计、解决方案</w:t>
      </w:r>
      <w:r>
        <w:rPr>
          <w:spacing w:val="-66"/>
        </w:rPr>
        <w:t> </w:t>
      </w:r>
      <w:r>
        <w:rPr>
          <w:spacing w:val="-66"/>
        </w:rPr>
      </w:r>
      <w:r>
        <w:rPr/>
        <w:t>设计、产品研发、应用适配、系统集成、系统迁移以及运行维护等全面的安全可靠业务相关技术服务。</w:t>
      </w:r>
    </w:p>
    <w:p>
      <w:pPr>
        <w:pStyle w:val="BodyText"/>
        <w:spacing w:line="316" w:lineRule="auto" w:before="19"/>
        <w:ind w:left="153" w:right="1031" w:firstLine="360"/>
        <w:jc w:val="left"/>
      </w:pPr>
      <w:r>
        <w:rPr>
          <w:spacing w:val="-2"/>
        </w:rPr>
        <w:t>公司已参与福建省内四个安全可靠电子公文试点项目建设，负责提供安全可靠应用软件产品和定制开发服务，以及软硬</w:t>
      </w:r>
      <w:r>
        <w:rPr/>
        <w:t> 件设备的集成、适配、测试、培训和运维等本地化服务支撑工作。公司积极参与浙江地区安全可靠电子公文试点项目建设， 作为应用软件产品提供商，提供安全可靠基础支撑平台及安全可靠电子公文管理系统。</w:t>
      </w:r>
    </w:p>
    <w:p>
      <w:pPr>
        <w:pStyle w:val="BodyText"/>
        <w:spacing w:line="316" w:lineRule="auto" w:before="19"/>
        <w:ind w:left="153" w:right="1130" w:firstLine="360"/>
        <w:jc w:val="both"/>
      </w:pPr>
      <w:r>
        <w:rPr>
          <w:spacing w:val="-2"/>
        </w:rPr>
        <w:t>公司将依托在福建省内电子政务内网、党政办公系统等业务领域、本地化服务等综合竞争优势以及在安全可靠领域的先</w:t>
      </w:r>
      <w:r>
        <w:rPr/>
        <w:t> </w:t>
      </w:r>
      <w:r>
        <w:rPr>
          <w:spacing w:val="-2"/>
        </w:rPr>
        <w:t>发优势，全面发展福建省内安全可靠业务，并结合公司的全国营销服务网络，积极拓展浙江、湖北、河南、江西、安徽等区</w:t>
      </w:r>
      <w:r>
        <w:rPr>
          <w:spacing w:val="-65"/>
        </w:rPr>
        <w:t> </w:t>
      </w:r>
      <w:r>
        <w:rPr>
          <w:spacing w:val="-65"/>
        </w:rPr>
      </w:r>
      <w:r>
        <w:rPr/>
        <w:t>域业务。</w:t>
      </w:r>
    </w:p>
    <w:p>
      <w:pPr>
        <w:pStyle w:val="BodyText"/>
        <w:spacing w:line="345" w:lineRule="auto" w:before="67"/>
        <w:ind w:left="513" w:right="1033"/>
        <w:jc w:val="left"/>
      </w:pPr>
      <w:r>
        <w:rPr/>
        <w:t>（</w:t>
      </w:r>
      <w:r>
        <w:rPr>
          <w:rFonts w:ascii="Times New Roman" w:hAnsi="Times New Roman" w:cs="Times New Roman" w:eastAsia="Times New Roman" w:hint="default"/>
        </w:rPr>
        <w:t>3</w:t>
      </w:r>
      <w:r>
        <w:rPr/>
        <w:t>）金关工程 </w:t>
      </w:r>
      <w:r>
        <w:rPr>
          <w:spacing w:val="-3"/>
        </w:rPr>
        <w:t>公司拥有丰富的智慧海关信息化服务和建设经验，是</w:t>
      </w:r>
      <w:r>
        <w:rPr>
          <w:rFonts w:ascii="Times New Roman" w:hAnsi="Times New Roman" w:cs="Times New Roman" w:eastAsia="Times New Roman" w:hint="default"/>
          <w:spacing w:val="-3"/>
        </w:rPr>
        <w:t>“</w:t>
      </w:r>
      <w:r>
        <w:rPr>
          <w:spacing w:val="-3"/>
        </w:rPr>
        <w:t>金关工程</w:t>
      </w:r>
      <w:r>
        <w:rPr>
          <w:rFonts w:ascii="Times New Roman" w:hAnsi="Times New Roman" w:cs="Times New Roman" w:eastAsia="Times New Roman" w:hint="default"/>
          <w:spacing w:val="-3"/>
        </w:rPr>
        <w:t>”</w:t>
      </w:r>
      <w:r>
        <w:rPr>
          <w:spacing w:val="-3"/>
        </w:rPr>
        <w:t>的领先服务厂商。智慧海关是涉及智慧监管、智慧口岸、</w:t>
      </w:r>
    </w:p>
    <w:p>
      <w:pPr>
        <w:pStyle w:val="BodyText"/>
        <w:spacing w:line="224" w:lineRule="exact"/>
        <w:ind w:left="153" w:right="0"/>
        <w:jc w:val="both"/>
      </w:pPr>
      <w:r>
        <w:rPr/>
        <w:t>智慧物流、智慧供应链、大数据应用、贸易安全等领域的智能技术信息化建设体系。</w:t>
      </w:r>
      <w:r>
        <w:rPr>
          <w:rFonts w:ascii="Times New Roman" w:hAnsi="Times New Roman" w:cs="Times New Roman" w:eastAsia="Times New Roman" w:hint="default"/>
        </w:rPr>
        <w:t>2018</w:t>
      </w:r>
      <w:r>
        <w:rPr/>
        <w:t>年公司围绕海关总署的有关要求制</w:t>
      </w:r>
    </w:p>
    <w:p>
      <w:pPr>
        <w:pStyle w:val="BodyText"/>
        <w:spacing w:line="316" w:lineRule="auto" w:before="63"/>
        <w:ind w:left="513" w:right="0" w:hanging="360"/>
        <w:jc w:val="left"/>
      </w:pPr>
      <w:r>
        <w:rPr/>
        <w:t>定了公司参与新一代海关信息化系统建设的内容。 </w:t>
      </w:r>
      <w:r>
        <w:rPr>
          <w:spacing w:val="-2"/>
        </w:rPr>
        <w:t>根据海关总署统一部署，全国海关进出口货物报关报检</w:t>
      </w:r>
      <w:r>
        <w:rPr>
          <w:rFonts w:ascii="Times New Roman" w:hAnsi="Times New Roman" w:cs="Times New Roman" w:eastAsia="Times New Roman" w:hint="default"/>
          <w:spacing w:val="-2"/>
        </w:rPr>
        <w:t>“</w:t>
      </w:r>
      <w:r>
        <w:rPr>
          <w:spacing w:val="-2"/>
        </w:rPr>
        <w:t>一张大表</w:t>
      </w:r>
      <w:r>
        <w:rPr>
          <w:rFonts w:ascii="Times New Roman" w:hAnsi="Times New Roman" w:cs="Times New Roman" w:eastAsia="Times New Roman" w:hint="default"/>
          <w:spacing w:val="-2"/>
        </w:rPr>
        <w:t>”</w:t>
      </w:r>
      <w:r>
        <w:rPr>
          <w:spacing w:val="-2"/>
        </w:rPr>
        <w:t>整合申报，于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日开始正式实施。此项部署</w:t>
      </w:r>
    </w:p>
    <w:p>
      <w:pPr>
        <w:pStyle w:val="BodyText"/>
        <w:spacing w:line="300" w:lineRule="auto"/>
        <w:ind w:right="1128"/>
        <w:jc w:val="both"/>
      </w:pPr>
      <w:r>
        <w:rPr/>
        <w:t>是关检业务融合的标志性改革举措，作为中国电子检验检疫主干系统（</w:t>
      </w:r>
      <w:r>
        <w:rPr>
          <w:rFonts w:ascii="Times New Roman" w:hAnsi="Times New Roman" w:cs="Times New Roman" w:eastAsia="Times New Roman" w:hint="default"/>
        </w:rPr>
        <w:t>e-CIQ</w:t>
      </w:r>
      <w:r>
        <w:rPr/>
        <w:t>主干系统）承建商，榕基软件积极参与，协助</w:t>
      </w:r>
      <w:r>
        <w:rPr>
          <w:spacing w:val="-85"/>
        </w:rPr>
        <w:t> </w:t>
      </w:r>
      <w:r>
        <w:rPr>
          <w:spacing w:val="-85"/>
        </w:rPr>
      </w:r>
      <w:r>
        <w:rPr/>
        <w:t>海关总署完成设计、系统修改及技术支持等工作，助力本次工作顺利完成。</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月，公司中标关检融合方案设计，技术</w:t>
      </w:r>
      <w:r>
        <w:rPr>
          <w:spacing w:val="-84"/>
        </w:rPr>
        <w:t> </w:t>
      </w:r>
      <w:r>
        <w:rPr>
          <w:spacing w:val="-84"/>
        </w:rPr>
      </w:r>
      <w:r>
        <w:rPr/>
        <w:t>支持服务项目，协助海关总署信息中心进一步推进关检融合信息系统建设工作，在服务关检业务融合领域迈上新的高度。</w:t>
      </w:r>
    </w:p>
    <w:p>
      <w:pPr>
        <w:pStyle w:val="BodyText"/>
        <w:spacing w:line="300" w:lineRule="auto" w:before="79"/>
        <w:ind w:right="113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月以来，先后配合海关总署完成统一风控相关系统适配改造及联调工作，以及新一代海关业务系统中综合业务 岗功能融合等建设。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月，公司成功中标海关总署关检业务融合</w:t>
      </w:r>
      <w:r>
        <w:rPr>
          <w:rFonts w:ascii="Times New Roman" w:hAnsi="Times New Roman" w:cs="Times New Roman" w:eastAsia="Times New Roman" w:hint="default"/>
        </w:rPr>
        <w:t>e-CIQ</w:t>
      </w:r>
      <w:r>
        <w:rPr/>
        <w:t>主干系统改造采购项目，配合海关总署完成海</w:t>
      </w:r>
      <w:r>
        <w:rPr>
          <w:w w:val="99"/>
        </w:rPr>
        <w:t> </w:t>
      </w:r>
      <w:r>
        <w:rPr/>
        <w:t>关信息化体系对检验检疫业务的有效融合，实现</w:t>
      </w:r>
      <w:r>
        <w:rPr>
          <w:rFonts w:ascii="Times New Roman" w:hAnsi="Times New Roman" w:cs="Times New Roman" w:eastAsia="Times New Roman" w:hint="default"/>
        </w:rPr>
        <w:t>“</w:t>
      </w:r>
      <w:r>
        <w:rPr/>
        <w:t>统一申报单证、统一作业系统、统一风险研判、统一指令下达、统一现场 执法</w:t>
      </w:r>
      <w:r>
        <w:rPr>
          <w:rFonts w:ascii="Times New Roman" w:hAnsi="Times New Roman" w:cs="Times New Roman" w:eastAsia="Times New Roman" w:hint="default"/>
        </w:rPr>
        <w:t>”</w:t>
      </w:r>
      <w:r>
        <w:rPr/>
        <w:t>的建设目标。</w:t>
      </w:r>
    </w:p>
    <w:p>
      <w:pPr>
        <w:pStyle w:val="BodyText"/>
        <w:spacing w:line="309" w:lineRule="auto" w:before="61"/>
        <w:ind w:right="1129" w:firstLine="360"/>
        <w:jc w:val="both"/>
      </w:pPr>
      <w:r>
        <w:rPr>
          <w:rFonts w:ascii="Times New Roman" w:hAnsi="Times New Roman" w:cs="Times New Roman" w:eastAsia="Times New Roman" w:hint="default"/>
          <w:spacing w:val="-2"/>
        </w:rPr>
        <w:t>2019</w:t>
      </w:r>
      <w:r>
        <w:rPr>
          <w:spacing w:val="-2"/>
        </w:rPr>
        <w:t>年，我们将继续推进并参与新一代海关信息化系统建设相关工作，包括核心业务系统架构设计、行业人工智能、规</w:t>
      </w:r>
      <w:r>
        <w:rPr/>
        <w:t> </w:t>
      </w:r>
      <w:r>
        <w:rPr>
          <w:spacing w:val="-2"/>
        </w:rPr>
        <w:t>则引擎、大数据分析等核心领域的建设。在保证原检验检疫业务系统平稳运行的前提下，加强与海关在建系统的合作，以高</w:t>
      </w:r>
      <w:r>
        <w:rPr>
          <w:spacing w:val="-66"/>
        </w:rPr>
        <w:t> </w:t>
      </w:r>
      <w:r>
        <w:rPr>
          <w:spacing w:val="-66"/>
        </w:rPr>
      </w:r>
      <w:r>
        <w:rPr/>
        <w:t>品质、高水准的智慧方案服务于新海关。</w:t>
      </w:r>
    </w:p>
    <w:p>
      <w:pPr>
        <w:pStyle w:val="BodyText"/>
        <w:spacing w:line="345" w:lineRule="auto" w:before="72"/>
        <w:ind w:left="514" w:right="0"/>
        <w:jc w:val="left"/>
      </w:pPr>
      <w:r>
        <w:rPr/>
        <w:t>（</w:t>
      </w:r>
      <w:r>
        <w:rPr>
          <w:rFonts w:ascii="Times New Roman" w:hAnsi="Times New Roman" w:cs="Times New Roman" w:eastAsia="Times New Roman" w:hint="default"/>
        </w:rPr>
        <w:t>4</w:t>
      </w:r>
      <w:r>
        <w:rPr/>
        <w:t>）互联网</w:t>
      </w:r>
      <w:r>
        <w:rPr>
          <w:rFonts w:ascii="Times New Roman" w:hAnsi="Times New Roman" w:cs="Times New Roman" w:eastAsia="Times New Roman" w:hint="default"/>
        </w:rPr>
        <w:t>+</w:t>
      </w:r>
      <w:r>
        <w:rPr/>
        <w:t>党建 </w:t>
      </w:r>
      <w:r>
        <w:rPr>
          <w:spacing w:val="-2"/>
        </w:rPr>
        <w:t>公司研发党员教育管理服务平台，采用云计算、移动互联网、大数据等技术，为党员服务、教育、管理提供一体化、智</w:t>
      </w:r>
    </w:p>
    <w:p>
      <w:pPr>
        <w:pStyle w:val="BodyText"/>
        <w:spacing w:line="300" w:lineRule="auto"/>
        <w:ind w:right="1039"/>
        <w:jc w:val="both"/>
      </w:pPr>
      <w:r>
        <w:rPr>
          <w:spacing w:val="-3"/>
        </w:rPr>
        <w:t>能化服务平台。该平台采用</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党建</w:t>
      </w:r>
      <w:r>
        <w:rPr>
          <w:rFonts w:ascii="Times New Roman" w:hAnsi="Times New Roman" w:cs="Times New Roman" w:eastAsia="Times New Roman" w:hint="default"/>
          <w:spacing w:val="-3"/>
        </w:rPr>
        <w:t>”</w:t>
      </w:r>
      <w:r>
        <w:rPr>
          <w:spacing w:val="-3"/>
        </w:rPr>
        <w:t>的新模式，在福建省</w:t>
      </w:r>
      <w:r>
        <w:rPr>
          <w:rFonts w:ascii="Times New Roman" w:hAnsi="Times New Roman" w:cs="Times New Roman" w:eastAsia="Times New Roman" w:hint="default"/>
          <w:spacing w:val="-3"/>
        </w:rPr>
        <w:t>“</w:t>
      </w:r>
      <w:r>
        <w:rPr>
          <w:spacing w:val="-3"/>
        </w:rPr>
        <w:t>党员</w:t>
      </w:r>
      <w:r>
        <w:rPr>
          <w:rFonts w:ascii="Times New Roman" w:hAnsi="Times New Roman" w:cs="Times New Roman" w:eastAsia="Times New Roman" w:hint="default"/>
          <w:spacing w:val="-3"/>
        </w:rPr>
        <w:t>e</w:t>
      </w:r>
      <w:r>
        <w:rPr>
          <w:spacing w:val="-3"/>
        </w:rPr>
        <w:t>家</w:t>
      </w:r>
      <w:r>
        <w:rPr>
          <w:rFonts w:ascii="Times New Roman" w:hAnsi="Times New Roman" w:cs="Times New Roman" w:eastAsia="Times New Roman" w:hint="default"/>
          <w:spacing w:val="-3"/>
        </w:rPr>
        <w:t>”</w:t>
      </w:r>
      <w:r>
        <w:rPr>
          <w:spacing w:val="-3"/>
        </w:rPr>
        <w:t>项目成功应用并通过验收，取得了良好的应用成果。</w:t>
      </w:r>
      <w:r>
        <w:rPr>
          <w:spacing w:val="-54"/>
        </w:rPr>
        <w:t> </w:t>
      </w:r>
      <w:r>
        <w:rPr>
          <w:spacing w:val="-54"/>
        </w:rPr>
      </w:r>
      <w:r>
        <w:rPr>
          <w:spacing w:val="-1"/>
        </w:rPr>
        <w:t>平台纵向覆盖省、市、区</w:t>
      </w:r>
      <w:r>
        <w:rPr>
          <w:rFonts w:ascii="Times New Roman" w:hAnsi="Times New Roman" w:cs="Times New Roman" w:eastAsia="Times New Roman" w:hint="default"/>
          <w:spacing w:val="-1"/>
        </w:rPr>
        <w:t>/</w:t>
      </w:r>
      <w:r>
        <w:rPr>
          <w:spacing w:val="-1"/>
        </w:rPr>
        <w:t>县、乡</w:t>
      </w:r>
      <w:r>
        <w:rPr>
          <w:rFonts w:ascii="Times New Roman" w:hAnsi="Times New Roman" w:cs="Times New Roman" w:eastAsia="Times New Roman" w:hint="default"/>
          <w:spacing w:val="-1"/>
        </w:rPr>
        <w:t>/</w:t>
      </w:r>
      <w:r>
        <w:rPr>
          <w:spacing w:val="-1"/>
        </w:rPr>
        <w:t>镇、村</w:t>
      </w:r>
      <w:r>
        <w:rPr>
          <w:rFonts w:ascii="Times New Roman" w:hAnsi="Times New Roman" w:cs="Times New Roman" w:eastAsia="Times New Roman" w:hint="default"/>
          <w:spacing w:val="-1"/>
        </w:rPr>
        <w:t>5</w:t>
      </w:r>
      <w:r>
        <w:rPr>
          <w:spacing w:val="-1"/>
        </w:rPr>
        <w:t>个层级，入驻全省党组织</w:t>
      </w:r>
      <w:r>
        <w:rPr>
          <w:rFonts w:ascii="Times New Roman" w:hAnsi="Times New Roman" w:cs="Times New Roman" w:eastAsia="Times New Roman" w:hint="default"/>
          <w:spacing w:val="-1"/>
        </w:rPr>
        <w:t>10.8</w:t>
      </w:r>
      <w:r>
        <w:rPr>
          <w:spacing w:val="-1"/>
        </w:rPr>
        <w:t>万个，入驻党员</w:t>
      </w:r>
      <w:r>
        <w:rPr>
          <w:rFonts w:ascii="Times New Roman" w:hAnsi="Times New Roman" w:cs="Times New Roman" w:eastAsia="Times New Roman" w:hint="default"/>
          <w:spacing w:val="-1"/>
        </w:rPr>
        <w:t>211</w:t>
      </w:r>
      <w:r>
        <w:rPr>
          <w:spacing w:val="-1"/>
        </w:rPr>
        <w:t>万人；横向可与政府、金融机构、</w:t>
      </w:r>
      <w:r>
        <w:rPr>
          <w:spacing w:val="-80"/>
        </w:rPr>
        <w:t> </w:t>
      </w:r>
      <w:r>
        <w:rPr>
          <w:spacing w:val="-80"/>
        </w:rPr>
      </w:r>
      <w:r>
        <w:rPr/>
        <w:t>人事、社保、扶贫组织等公共服务转接服务能力。</w:t>
      </w:r>
    </w:p>
    <w:p>
      <w:pPr>
        <w:pStyle w:val="BodyText"/>
        <w:spacing w:line="300" w:lineRule="auto" w:before="79"/>
        <w:ind w:right="1138" w:firstLine="360"/>
        <w:jc w:val="both"/>
      </w:pPr>
      <w:r>
        <w:rPr/>
        <w:t>公司已形成标准的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党建</w:t>
      </w:r>
      <w:r>
        <w:rPr>
          <w:rFonts w:ascii="Times New Roman" w:hAnsi="Times New Roman" w:cs="Times New Roman" w:eastAsia="Times New Roman" w:hint="default"/>
        </w:rPr>
        <w:t>”</w:t>
      </w:r>
      <w:r>
        <w:rPr/>
        <w:t>产品、解决方案和推广及服务模式，为进一步拓展服务和全国市场奠定良好的基础。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月，中共中央组织部领导莅临榕基软件视察调研非公企业党建工作，高度评价了榕基软件企业发展及党建工作的成 效。</w:t>
      </w:r>
    </w:p>
    <w:p>
      <w:pPr>
        <w:pStyle w:val="BodyText"/>
        <w:spacing w:line="345" w:lineRule="auto" w:before="79"/>
        <w:ind w:left="514" w:right="1117"/>
        <w:jc w:val="left"/>
      </w:pPr>
      <w:r>
        <w:rPr/>
        <w:t>（</w:t>
      </w:r>
      <w:r>
        <w:rPr>
          <w:rFonts w:ascii="Times New Roman" w:hAnsi="Times New Roman" w:cs="Times New Roman" w:eastAsia="Times New Roman" w:hint="default"/>
        </w:rPr>
        <w:t>5</w:t>
      </w:r>
      <w:r>
        <w:rPr/>
        <w:t>）法院行业 </w:t>
      </w:r>
      <w:r>
        <w:rPr>
          <w:spacing w:val="-2"/>
        </w:rPr>
        <w:t>法院行业</w:t>
      </w:r>
      <w:r>
        <w:rPr>
          <w:rFonts w:ascii="Times New Roman" w:hAnsi="Times New Roman" w:cs="Times New Roman" w:eastAsia="Times New Roman" w:hint="default"/>
          <w:spacing w:val="-2"/>
        </w:rPr>
        <w:t>“</w:t>
      </w:r>
      <w:r>
        <w:rPr>
          <w:spacing w:val="-2"/>
        </w:rPr>
        <w:t>天平工程</w:t>
      </w:r>
      <w:r>
        <w:rPr>
          <w:rFonts w:ascii="Times New Roman" w:hAnsi="Times New Roman" w:cs="Times New Roman" w:eastAsia="Times New Roman" w:hint="default"/>
          <w:spacing w:val="-2"/>
        </w:rPr>
        <w:t>”</w:t>
      </w:r>
      <w:r>
        <w:rPr>
          <w:spacing w:val="-2"/>
        </w:rPr>
        <w:t>是国家电子政务建设的重要组成，打造智慧法院，强化保障体系，提升应用成效，为推进人民法院</w:t>
      </w:r>
    </w:p>
    <w:p>
      <w:pPr>
        <w:pStyle w:val="BodyText"/>
        <w:spacing w:line="211" w:lineRule="exact"/>
        <w:ind w:right="0"/>
        <w:jc w:val="both"/>
      </w:pPr>
      <w:r>
        <w:rPr/>
        <w:t>各项事业发展提供有力的信息技术服务与保障。</w:t>
      </w:r>
    </w:p>
    <w:p>
      <w:pPr>
        <w:pStyle w:val="BodyText"/>
        <w:spacing w:line="312" w:lineRule="auto" w:before="124"/>
        <w:ind w:right="1129" w:firstLine="360"/>
        <w:jc w:val="both"/>
      </w:pPr>
      <w:r>
        <w:rPr/>
        <w:t>报告期内，公司继续深入研究智慧法院和人民法院信息化</w:t>
      </w:r>
      <w:r>
        <w:rPr>
          <w:rFonts w:ascii="Times New Roman" w:hAnsi="Times New Roman" w:cs="Times New Roman" w:eastAsia="Times New Roman" w:hint="default"/>
        </w:rPr>
        <w:t>3.0</w:t>
      </w:r>
      <w:r>
        <w:rPr/>
        <w:t>版建设需求，采用微服务架构、大数据、云计算和人工智 </w:t>
      </w:r>
      <w:r>
        <w:rPr>
          <w:spacing w:val="-2"/>
        </w:rPr>
        <w:t>能等新技术，对司法综合管理信息系统及相关应用软件系统进行全面重构升级，进一步提升了公司在法院行业的竞争力。公</w:t>
      </w:r>
      <w:r>
        <w:rPr>
          <w:spacing w:val="-66"/>
        </w:rPr>
        <w:t> </w:t>
      </w:r>
      <w:r>
        <w:rPr>
          <w:spacing w:val="-66"/>
        </w:rPr>
      </w:r>
      <w:r>
        <w:rPr>
          <w:spacing w:val="-2"/>
        </w:rPr>
        <w:t>司成功中标福建、河南、宁夏等地法院系统新版法标审判业务系统、司法大数据分析、减刑假释、电子卷宗、移动办公办案</w:t>
      </w:r>
      <w:r>
        <w:rPr>
          <w:spacing w:val="-69"/>
        </w:rPr>
        <w:t> </w:t>
      </w:r>
      <w:r>
        <w:rPr>
          <w:spacing w:val="-69"/>
        </w:rPr>
      </w:r>
      <w:r>
        <w:rPr/>
        <w:t>等项目，为进一步拓展全国法院行业市场奠定了良好的基础。</w:t>
      </w:r>
    </w:p>
    <w:p>
      <w:pPr>
        <w:pStyle w:val="BodyText"/>
        <w:spacing w:line="300" w:lineRule="auto" w:before="70"/>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月，公司承建的厦法</w:t>
      </w:r>
      <w:r>
        <w:rPr>
          <w:rFonts w:ascii="Times New Roman" w:hAnsi="Times New Roman" w:cs="Times New Roman" w:eastAsia="Times New Roman" w:hint="default"/>
        </w:rPr>
        <w:t>e</w:t>
      </w:r>
      <w:r>
        <w:rPr/>
        <w:t>平台上线标志着具有厦门特色的</w:t>
      </w:r>
      <w:r>
        <w:rPr>
          <w:rFonts w:ascii="Times New Roman" w:hAnsi="Times New Roman" w:cs="Times New Roman" w:eastAsia="Times New Roman" w:hint="default"/>
        </w:rPr>
        <w:t>3.0</w:t>
      </w:r>
      <w:r>
        <w:rPr/>
        <w:t>版</w:t>
      </w:r>
      <w:r>
        <w:rPr>
          <w:rFonts w:ascii="Times New Roman" w:hAnsi="Times New Roman" w:cs="Times New Roman" w:eastAsia="Times New Roman" w:hint="default"/>
        </w:rPr>
        <w:t>“</w:t>
      </w:r>
      <w:r>
        <w:rPr/>
        <w:t>智慧法院</w:t>
      </w:r>
      <w:r>
        <w:rPr>
          <w:rFonts w:ascii="Times New Roman" w:hAnsi="Times New Roman" w:cs="Times New Roman" w:eastAsia="Times New Roman" w:hint="default"/>
        </w:rPr>
        <w:t>”</w:t>
      </w:r>
      <w:r>
        <w:rPr/>
        <w:t>正式启动。作为全国七家具有开发</w:t>
      </w:r>
      <w:r>
        <w:rPr>
          <w:rFonts w:ascii="Times New Roman" w:hAnsi="Times New Roman" w:cs="Times New Roman" w:eastAsia="Times New Roman" w:hint="default"/>
        </w:rPr>
        <w:t>“</w:t>
      </w:r>
      <w:r>
        <w:rPr/>
        <w:t>法院</w:t>
      </w:r>
      <w:r>
        <w:rPr>
          <w:spacing w:val="1"/>
        </w:rPr>
        <w:t> </w:t>
      </w:r>
      <w:r>
        <w:rPr/>
        <w:t>审判业务管理系统</w:t>
      </w:r>
      <w:r>
        <w:rPr>
          <w:rFonts w:ascii="Times New Roman" w:hAnsi="Times New Roman" w:cs="Times New Roman" w:eastAsia="Times New Roman" w:hint="default"/>
        </w:rPr>
        <w:t>”</w:t>
      </w:r>
      <w:r>
        <w:rPr/>
        <w:t>资质的软件企业之一，榕基软件在服务司法机关信息化建设的同时，也持续通过系统开发及项目建设积 累自身的核心竞争力。</w:t>
      </w:r>
    </w:p>
    <w:p>
      <w:pPr>
        <w:pStyle w:val="BodyText"/>
        <w:spacing w:line="240" w:lineRule="auto" w:before="79"/>
        <w:ind w:left="514" w:right="2239"/>
        <w:jc w:val="left"/>
      </w:pPr>
      <w:r>
        <w:rPr/>
        <w:t>（</w:t>
      </w:r>
      <w:r>
        <w:rPr>
          <w:rFonts w:ascii="Times New Roman" w:hAnsi="Times New Roman" w:cs="Times New Roman" w:eastAsia="Times New Roman" w:hint="default"/>
        </w:rPr>
        <w:t>6</w:t>
      </w:r>
      <w:r>
        <w:rPr/>
        <w:t>）司法行政行业</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9" w:lineRule="auto" w:before="44"/>
        <w:ind w:left="153" w:right="1031" w:firstLine="360"/>
        <w:jc w:val="left"/>
      </w:pPr>
      <w:r>
        <w:rPr/>
        <w:t>近年来，司法部大力推进全国司法行政行业信息化建设工作，提出到</w:t>
      </w:r>
      <w:r>
        <w:rPr>
          <w:rFonts w:ascii="Times New Roman" w:hAnsi="Times New Roman" w:cs="Times New Roman" w:eastAsia="Times New Roman" w:hint="default"/>
        </w:rPr>
        <w:t>2020</w:t>
      </w:r>
      <w:r>
        <w:rPr/>
        <w:t>年，建成涵盖司法行政各项业务的</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司法行政信息化综合管理平台，实现信息化与司法行政的深度融合，以信息化推动司法行政工作提升到一个新水平，因此， 司法行政信息化需求强劲，市场规模得到快速发展。</w:t>
      </w:r>
    </w:p>
    <w:p>
      <w:pPr>
        <w:pStyle w:val="BodyText"/>
        <w:spacing w:line="316" w:lineRule="auto" w:before="72"/>
        <w:ind w:left="153" w:right="0" w:firstLine="360"/>
        <w:jc w:val="left"/>
      </w:pPr>
      <w:r>
        <w:rPr>
          <w:spacing w:val="-4"/>
        </w:rPr>
        <w:t>报告期内，公司继续加大司法行政行业信息化解决方案研发投入，进一步完善司法行政、监狱管理等行业应用解决方案，</w:t>
      </w:r>
      <w:r>
        <w:rPr/>
        <w:t> </w:t>
      </w:r>
      <w:r>
        <w:rPr>
          <w:spacing w:val="-2"/>
        </w:rPr>
        <w:t>司法行政综合信息管理平台、监狱综合信息管理平台、司法社区矫正管理系统等解决方案在福建、河南等地多个项目推广应</w:t>
      </w:r>
      <w:r>
        <w:rPr>
          <w:spacing w:val="-66"/>
        </w:rPr>
        <w:t> </w:t>
      </w:r>
      <w:r>
        <w:rPr>
          <w:spacing w:val="-66"/>
        </w:rPr>
      </w:r>
      <w:r>
        <w:rPr/>
        <w:t>用，公司司法行政行业业务保持稳健增长。</w:t>
      </w:r>
    </w:p>
    <w:p>
      <w:pPr>
        <w:pStyle w:val="BodyText"/>
        <w:spacing w:line="345" w:lineRule="auto" w:before="67"/>
        <w:ind w:left="513" w:right="1117"/>
        <w:jc w:val="left"/>
      </w:pPr>
      <w:r>
        <w:rPr>
          <w:rFonts w:ascii="Times New Roman" w:hAnsi="Times New Roman" w:cs="Times New Roman" w:eastAsia="Times New Roman" w:hint="default"/>
        </w:rPr>
        <w:t>2</w:t>
      </w:r>
      <w:r>
        <w:rPr/>
        <w:t>、大数据平台 </w:t>
      </w:r>
      <w:r>
        <w:rPr>
          <w:spacing w:val="-2"/>
        </w:rPr>
        <w:t>随着中国信息化政策环境、经济环境的日益成熟，企业提升自身核心竞争力、实现可持续发展的迫切愿望将加大信息化</w:t>
      </w:r>
    </w:p>
    <w:p>
      <w:pPr>
        <w:pStyle w:val="BodyText"/>
        <w:spacing w:line="316" w:lineRule="auto"/>
        <w:ind w:left="153" w:right="0"/>
        <w:jc w:val="left"/>
      </w:pPr>
      <w:r>
        <w:rPr>
          <w:spacing w:val="-2"/>
        </w:rPr>
        <w:t>需求，中小企业信息化市场将迅速成长并将带动各类行业应用软件市场的快速增长，给公司协同管理软件平台、公共信用信</w:t>
      </w:r>
      <w:r>
        <w:rPr>
          <w:spacing w:val="-66"/>
        </w:rPr>
        <w:t> </w:t>
      </w:r>
      <w:r>
        <w:rPr>
          <w:spacing w:val="-66"/>
        </w:rPr>
      </w:r>
      <w:r>
        <w:rPr/>
        <w:t>息平台等成熟产品提供巨大的潜在市场。</w:t>
      </w:r>
    </w:p>
    <w:p>
      <w:pPr>
        <w:pStyle w:val="BodyText"/>
        <w:spacing w:line="304" w:lineRule="auto" w:before="67"/>
        <w:ind w:left="153" w:right="0" w:firstLine="360"/>
        <w:jc w:val="left"/>
      </w:pPr>
      <w:r>
        <w:rPr>
          <w:rFonts w:ascii="Times New Roman" w:hAnsi="Times New Roman" w:cs="Times New Roman" w:eastAsia="Times New Roman" w:hint="default"/>
        </w:rPr>
        <w:t>2018</w:t>
      </w:r>
      <w:r>
        <w:rPr/>
        <w:t>年公司承建的河南省公共信用信息平台，是河南省社会信用体系建设的基础性工程。该平台支持</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毫秒级智 </w:t>
      </w:r>
      <w:r>
        <w:rPr>
          <w:spacing w:val="-4"/>
        </w:rPr>
        <w:t>能信用信息查询，可为信易贷产品、普惠金融服务提供数据支撑，并可勾勒信用主体全方位、多维度关系网，实施精准聚焦、</w:t>
      </w:r>
      <w:r>
        <w:rPr>
          <w:spacing w:val="-44"/>
        </w:rPr>
        <w:t> </w:t>
      </w:r>
      <w:r>
        <w:rPr>
          <w:spacing w:val="-44"/>
        </w:rPr>
      </w:r>
      <w:r>
        <w:rPr/>
        <w:t>重点监控，支撑信用联合奖惩，提升市场监管水平和效率。目前平台已归集信用信息</w:t>
      </w:r>
      <w:r>
        <w:rPr>
          <w:rFonts w:ascii="Times New Roman" w:hAnsi="Times New Roman" w:cs="Times New Roman" w:eastAsia="Times New Roman" w:hint="default"/>
        </w:rPr>
        <w:t>30</w:t>
      </w:r>
      <w:r>
        <w:rPr/>
        <w:t>亿条，通过</w:t>
      </w:r>
      <w:r>
        <w:rPr>
          <w:rFonts w:ascii="Times New Roman" w:hAnsi="Times New Roman" w:cs="Times New Roman" w:eastAsia="Times New Roman" w:hint="default"/>
        </w:rPr>
        <w:t>“</w:t>
      </w:r>
      <w:r>
        <w:rPr/>
        <w:t>信用河南</w:t>
      </w:r>
      <w:r>
        <w:rPr>
          <w:rFonts w:ascii="Times New Roman" w:hAnsi="Times New Roman" w:cs="Times New Roman" w:eastAsia="Times New Roman" w:hint="default"/>
        </w:rPr>
        <w:t>”</w:t>
      </w:r>
      <w:r>
        <w:rPr/>
        <w:t>网站公开信用 信息</w:t>
      </w:r>
      <w:r>
        <w:rPr>
          <w:rFonts w:ascii="Times New Roman" w:hAnsi="Times New Roman" w:cs="Times New Roman" w:eastAsia="Times New Roman" w:hint="default"/>
        </w:rPr>
        <w:t>1.8</w:t>
      </w:r>
      <w:r>
        <w:rPr/>
        <w:t>亿条，</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信用核查</w:t>
      </w:r>
      <w:r>
        <w:rPr>
          <w:rFonts w:ascii="Times New Roman" w:hAnsi="Times New Roman" w:cs="Times New Roman" w:eastAsia="Times New Roman" w:hint="default"/>
        </w:rPr>
        <w:t>1.3</w:t>
      </w:r>
      <w:r>
        <w:rPr/>
        <w:t>亿次。在</w:t>
      </w:r>
      <w:r>
        <w:rPr>
          <w:rFonts w:ascii="Times New Roman" w:hAnsi="Times New Roman" w:cs="Times New Roman" w:eastAsia="Times New Roman" w:hint="default"/>
        </w:rPr>
        <w:t>2017</w:t>
      </w:r>
      <w:r>
        <w:rPr/>
        <w:t>年和</w:t>
      </w:r>
      <w:r>
        <w:rPr>
          <w:rFonts w:ascii="Times New Roman" w:hAnsi="Times New Roman" w:cs="Times New Roman" w:eastAsia="Times New Roman" w:hint="default"/>
        </w:rPr>
        <w:t>2018</w:t>
      </w:r>
      <w:r>
        <w:rPr/>
        <w:t>年全国信用信息共享平台和信用门户网站观摩活动中分别获得第</w:t>
      </w:r>
      <w:r>
        <w:rPr>
          <w:spacing w:val="-70"/>
        </w:rPr>
        <w:t> </w:t>
      </w:r>
      <w:r>
        <w:rPr>
          <w:spacing w:val="-70"/>
        </w:rPr>
      </w:r>
      <w:r>
        <w:rPr/>
        <w:t>五名和第三名，被授予</w:t>
      </w:r>
      <w:r>
        <w:rPr>
          <w:rFonts w:ascii="Times New Roman" w:hAnsi="Times New Roman" w:cs="Times New Roman" w:eastAsia="Times New Roman" w:hint="default"/>
        </w:rPr>
        <w:t>“</w:t>
      </w:r>
      <w:r>
        <w:rPr/>
        <w:t>一体化建设标准化平台和网站</w:t>
      </w:r>
      <w:r>
        <w:rPr>
          <w:rFonts w:ascii="Times New Roman" w:hAnsi="Times New Roman" w:cs="Times New Roman" w:eastAsia="Times New Roman" w:hint="default"/>
        </w:rPr>
        <w:t>”</w:t>
      </w:r>
      <w:r>
        <w:rPr/>
        <w:t>。</w:t>
      </w:r>
    </w:p>
    <w:p>
      <w:pPr>
        <w:pStyle w:val="BodyText"/>
        <w:spacing w:line="307" w:lineRule="auto" w:before="9"/>
        <w:ind w:right="1128" w:firstLine="360"/>
        <w:jc w:val="both"/>
      </w:pPr>
      <w:r>
        <w:rPr>
          <w:spacing w:val="-2"/>
        </w:rPr>
        <w:t>同时，</w:t>
      </w:r>
      <w:r>
        <w:rPr>
          <w:rFonts w:ascii="Times New Roman" w:hAnsi="Times New Roman" w:cs="Times New Roman" w:eastAsia="Times New Roman" w:hint="default"/>
          <w:spacing w:val="-2"/>
        </w:rPr>
        <w:t>2018</w:t>
      </w:r>
      <w:r>
        <w:rPr>
          <w:spacing w:val="-2"/>
        </w:rPr>
        <w:t>年公司承建的河南省中小企业公共服务平台，是以互联网、大数据、云计算为支撑，数据资源中心、专业应</w:t>
      </w:r>
      <w:r>
        <w:rPr/>
        <w:t> </w:t>
      </w:r>
      <w:r>
        <w:rPr>
          <w:spacing w:val="-2"/>
        </w:rPr>
        <w:t>用系统组成的国内一流的互联网开放平台。该平台为全省五十多万家中小企业提供统一的</w:t>
      </w:r>
      <w:r>
        <w:rPr>
          <w:rFonts w:ascii="Times New Roman" w:hAnsi="Times New Roman" w:cs="Times New Roman" w:eastAsia="Times New Roman" w:hint="default"/>
          <w:spacing w:val="-2"/>
        </w:rPr>
        <w:t>14</w:t>
      </w:r>
      <w:r>
        <w:rPr>
          <w:spacing w:val="-2"/>
        </w:rPr>
        <w:t>类专业应用服务，主要包括网上</w:t>
      </w:r>
      <w:r>
        <w:rPr>
          <w:spacing w:val="-62"/>
        </w:rPr>
        <w:t> </w:t>
      </w:r>
      <w:r>
        <w:rPr>
          <w:spacing w:val="-62"/>
        </w:rPr>
      </w:r>
      <w:r>
        <w:rPr/>
        <w:t>企业政务服务大厅、投融资服务、市场开拓服务、创业辅导服务、人力资源与培训服务、 技术创新服务、信息化服务等内</w:t>
      </w:r>
      <w:r>
        <w:rPr>
          <w:spacing w:val="-89"/>
        </w:rPr>
        <w:t> </w:t>
      </w:r>
      <w:r>
        <w:rPr>
          <w:spacing w:val="-89"/>
        </w:rPr>
      </w:r>
      <w:r>
        <w:rPr/>
        <w:t>容。</w:t>
      </w:r>
    </w:p>
    <w:p>
      <w:pPr>
        <w:pStyle w:val="BodyText"/>
        <w:spacing w:line="307" w:lineRule="auto" w:before="65"/>
        <w:ind w:right="1038" w:firstLine="360"/>
        <w:jc w:val="left"/>
      </w:pPr>
      <w:r>
        <w:rPr>
          <w:spacing w:val="-2"/>
        </w:rPr>
        <w:t>依托上述平台，公司联合河南省相关管理部门，实现上述两个平台的互联互通，建立完善全省中小企业的信用档案和评</w:t>
      </w:r>
      <w:r>
        <w:rPr/>
        <w:t> </w:t>
      </w:r>
      <w:r>
        <w:rPr>
          <w:spacing w:val="-3"/>
        </w:rPr>
        <w:t>价体系，为全省五十多万家中小企业搭建全方位、全链条的融资服务平台，通过让</w:t>
      </w:r>
      <w:r>
        <w:rPr>
          <w:rFonts w:ascii="Times New Roman" w:hAnsi="Times New Roman" w:cs="Times New Roman" w:eastAsia="Times New Roman" w:hint="default"/>
          <w:spacing w:val="-3"/>
        </w:rPr>
        <w:t>“</w:t>
      </w:r>
      <w:r>
        <w:rPr>
          <w:spacing w:val="-3"/>
        </w:rPr>
        <w:t>数据多跑路，企业少跑腿</w:t>
      </w:r>
      <w:r>
        <w:rPr>
          <w:rFonts w:ascii="Times New Roman" w:hAnsi="Times New Roman" w:cs="Times New Roman" w:eastAsia="Times New Roman" w:hint="default"/>
          <w:spacing w:val="-3"/>
        </w:rPr>
        <w:t>”</w:t>
      </w:r>
      <w:r>
        <w:rPr>
          <w:spacing w:val="-3"/>
        </w:rPr>
        <w:t>的信息化手段，</w:t>
      </w:r>
      <w:r>
        <w:rPr>
          <w:spacing w:val="-78"/>
        </w:rPr>
        <w:t> </w:t>
      </w:r>
      <w:r>
        <w:rPr>
          <w:spacing w:val="-3"/>
        </w:rPr>
        <w:t>实现数据层面的全方位</w:t>
      </w:r>
      <w:r>
        <w:rPr>
          <w:rFonts w:ascii="Times New Roman" w:hAnsi="Times New Roman" w:cs="Times New Roman" w:eastAsia="Times New Roman" w:hint="default"/>
          <w:spacing w:val="-3"/>
        </w:rPr>
        <w:t>“</w:t>
      </w:r>
      <w:r>
        <w:rPr>
          <w:spacing w:val="-3"/>
        </w:rPr>
        <w:t>银企对接</w:t>
      </w:r>
      <w:r>
        <w:rPr>
          <w:rFonts w:ascii="Times New Roman" w:hAnsi="Times New Roman" w:cs="Times New Roman" w:eastAsia="Times New Roman" w:hint="default"/>
          <w:spacing w:val="-3"/>
        </w:rPr>
        <w:t>”</w:t>
      </w:r>
      <w:r>
        <w:rPr>
          <w:spacing w:val="-3"/>
        </w:rPr>
        <w:t>，让金融更好的服务实体经济，更好的服务民营企业特别是中小微企业。项目的成功落地，</w:t>
      </w:r>
      <w:r>
        <w:rPr>
          <w:spacing w:val="-77"/>
        </w:rPr>
        <w:t> </w:t>
      </w:r>
      <w:r>
        <w:rPr>
          <w:spacing w:val="-77"/>
        </w:rPr>
      </w:r>
      <w:r>
        <w:rPr>
          <w:spacing w:val="-4"/>
        </w:rPr>
        <w:t>未来可实现民营企业特别是中小微企业纯信用免抵押的融资服务，较好解决民营企业特别是中小微企业融资难、贷款难问题。</w:t>
      </w:r>
    </w:p>
    <w:p>
      <w:pPr>
        <w:pStyle w:val="BodyText"/>
        <w:spacing w:line="345" w:lineRule="auto" w:before="67"/>
        <w:ind w:left="514" w:right="1117"/>
        <w:jc w:val="left"/>
      </w:pPr>
      <w:r>
        <w:rPr>
          <w:rFonts w:ascii="Times New Roman" w:hAnsi="Times New Roman" w:cs="Times New Roman" w:eastAsia="Times New Roman" w:hint="default"/>
        </w:rPr>
        <w:t>3</w:t>
      </w:r>
      <w:r>
        <w:rPr/>
        <w:t>、物联网 </w:t>
      </w:r>
      <w:r>
        <w:rPr>
          <w:spacing w:val="-2"/>
        </w:rPr>
        <w:t>控股子公司容大物联网以电力行业为主要目标客户，推进物联网应用技术的研发及在电力行业信息化建设领域的持续拓</w:t>
      </w:r>
    </w:p>
    <w:p>
      <w:pPr>
        <w:pStyle w:val="BodyText"/>
        <w:spacing w:line="307" w:lineRule="auto"/>
        <w:ind w:left="153" w:right="1129"/>
        <w:jc w:val="both"/>
      </w:pPr>
      <w:r>
        <w:rPr>
          <w:spacing w:val="-2"/>
        </w:rPr>
        <w:t>展。容大物联网公司已经开发完成电网末端设备监测和故障信息采集系统，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月已经在河北省电力公司高碑店做现场</w:t>
      </w:r>
      <w:r>
        <w:rPr>
          <w:spacing w:val="-58"/>
        </w:rPr>
        <w:t> </w:t>
      </w:r>
      <w:r>
        <w:rPr>
          <w:spacing w:val="-2"/>
        </w:rPr>
        <w:t>运行试点，运行情况良好，达到预期设计要求。电网末端设备监测和故障信息采集系统与目前国家发布的《泛在电力物联网</w:t>
      </w:r>
      <w:r>
        <w:rPr>
          <w:spacing w:val="-66"/>
        </w:rPr>
        <w:t> </w:t>
      </w:r>
      <w:r>
        <w:rPr>
          <w:spacing w:val="-66"/>
        </w:rPr>
      </w:r>
      <w:r>
        <w:rPr/>
        <w:t>建设大纲》中列出的初步任务清单里的专项试点建设当中的</w:t>
      </w:r>
      <w:r>
        <w:rPr>
          <w:rFonts w:ascii="Times New Roman" w:hAnsi="Times New Roman" w:cs="Times New Roman" w:eastAsia="Times New Roman" w:hint="default"/>
        </w:rPr>
        <w:t>“</w:t>
      </w:r>
      <w:r>
        <w:rPr/>
        <w:t>停电事件校验与精确抢修应用试点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三相不平衡治理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电 力输变电物联网建设与应用</w:t>
      </w:r>
      <w:r>
        <w:rPr>
          <w:rFonts w:ascii="Times New Roman" w:hAnsi="Times New Roman" w:cs="Times New Roman" w:eastAsia="Times New Roman" w:hint="default"/>
        </w:rPr>
        <w:t>”</w:t>
      </w:r>
      <w:r>
        <w:rPr/>
        <w:t>等任务专题相吻合。</w:t>
      </w:r>
    </w:p>
    <w:p>
      <w:pPr>
        <w:pStyle w:val="BodyText"/>
        <w:spacing w:line="316" w:lineRule="auto" w:before="55"/>
        <w:ind w:left="153" w:right="0" w:firstLine="360"/>
        <w:jc w:val="left"/>
      </w:pPr>
      <w:r>
        <w:rPr>
          <w:spacing w:val="-4"/>
        </w:rPr>
        <w:t>控股子公司星榕基以物联网领域为方向，运营业务为主业的公司，积极拓展发展物联网、中小企业信息化、党建信息化、</w:t>
      </w:r>
      <w:r>
        <w:rPr/>
        <w:t> 行业信息化四大业务。</w:t>
      </w:r>
    </w:p>
    <w:p>
      <w:pPr>
        <w:pStyle w:val="BodyText"/>
        <w:spacing w:line="240" w:lineRule="auto" w:before="67"/>
        <w:ind w:left="513" w:right="2239"/>
        <w:jc w:val="left"/>
      </w:pPr>
      <w:r>
        <w:rPr/>
        <w:t>当前业务开展情况如下：</w:t>
      </w:r>
    </w:p>
    <w:p>
      <w:pPr>
        <w:pStyle w:val="BodyText"/>
        <w:spacing w:line="300" w:lineRule="auto" w:before="124"/>
        <w:ind w:left="153" w:right="0" w:firstLine="360"/>
        <w:jc w:val="left"/>
      </w:pPr>
      <w:r>
        <w:rPr/>
        <w:t>（</w:t>
      </w:r>
      <w:r>
        <w:rPr>
          <w:rFonts w:ascii="Times New Roman" w:hAnsi="Times New Roman" w:cs="Times New Roman" w:eastAsia="Times New Roman" w:hint="default"/>
        </w:rPr>
        <w:t>1</w:t>
      </w:r>
      <w:r>
        <w:rPr/>
        <w:t>）全力布局物联网业务，确定了</w:t>
      </w:r>
      <w:r>
        <w:rPr>
          <w:rFonts w:ascii="Times New Roman" w:hAnsi="Times New Roman" w:cs="Times New Roman" w:eastAsia="Times New Roman" w:hint="default"/>
        </w:rPr>
        <w:t>“1+N+1”</w:t>
      </w:r>
      <w:r>
        <w:rPr/>
        <w:t>的物联网运营规划，基于</w:t>
      </w:r>
      <w:r>
        <w:rPr>
          <w:rFonts w:ascii="Times New Roman" w:hAnsi="Times New Roman" w:cs="Times New Roman" w:eastAsia="Times New Roman" w:hint="default"/>
        </w:rPr>
        <w:t>“1”</w:t>
      </w:r>
      <w:r>
        <w:rPr/>
        <w:t>个物联网公共支撑平台，服务</w:t>
      </w:r>
      <w:r>
        <w:rPr>
          <w:rFonts w:ascii="Times New Roman" w:hAnsi="Times New Roman" w:cs="Times New Roman" w:eastAsia="Times New Roman" w:hint="default"/>
        </w:rPr>
        <w:t>“N”</w:t>
      </w:r>
      <w:r>
        <w:rPr/>
        <w:t>个物联网行 </w:t>
      </w:r>
      <w:r>
        <w:rPr>
          <w:spacing w:val="-2"/>
        </w:rPr>
        <w:t>业应用，设立</w:t>
      </w:r>
      <w:r>
        <w:rPr>
          <w:rFonts w:ascii="Times New Roman" w:hAnsi="Times New Roman" w:cs="Times New Roman" w:eastAsia="Times New Roman" w:hint="default"/>
          <w:spacing w:val="-2"/>
        </w:rPr>
        <w:t>“1”</w:t>
      </w:r>
      <w:r>
        <w:rPr>
          <w:spacing w:val="-2"/>
        </w:rPr>
        <w:t>个双创孵化基地，实现平台数据真正流动起来，带动全省物联网产品升级和产业发展。公司已开始向教育、</w:t>
      </w:r>
      <w:r>
        <w:rPr>
          <w:spacing w:val="-42"/>
        </w:rPr>
        <w:t> </w:t>
      </w:r>
      <w:r>
        <w:rPr>
          <w:spacing w:val="-42"/>
        </w:rPr>
      </w:r>
      <w:r>
        <w:rPr/>
        <w:t>消防、智慧生态等行业应用提供支撑和服务。</w:t>
      </w:r>
    </w:p>
    <w:p>
      <w:pPr>
        <w:pStyle w:val="BodyText"/>
        <w:spacing w:line="300" w:lineRule="auto" w:before="79"/>
        <w:ind w:left="153" w:right="1191" w:firstLine="360"/>
        <w:jc w:val="left"/>
      </w:pPr>
      <w:r>
        <w:rPr/>
        <w:t>（</w:t>
      </w:r>
      <w:r>
        <w:rPr>
          <w:rFonts w:ascii="Times New Roman" w:hAnsi="Times New Roman" w:cs="Times New Roman" w:eastAsia="Times New Roman" w:hint="default"/>
        </w:rPr>
        <w:t>2</w:t>
      </w:r>
      <w:r>
        <w:rPr/>
        <w:t>）孵化中小企业云平台。围绕</w:t>
      </w:r>
      <w:r>
        <w:rPr>
          <w:rFonts w:ascii="Times New Roman" w:hAnsi="Times New Roman" w:cs="Times New Roman" w:eastAsia="Times New Roman" w:hint="default"/>
        </w:rPr>
        <w:t>ICT</w:t>
      </w:r>
      <w:r>
        <w:rPr/>
        <w:t>服务、应用服务、政务服务等领域，为中小企业提供标准化、规范化、集约化的 信息化服务。</w:t>
      </w:r>
    </w:p>
    <w:p>
      <w:pPr>
        <w:pStyle w:val="BodyText"/>
        <w:spacing w:line="345" w:lineRule="auto" w:before="79"/>
        <w:ind w:left="513" w:right="0"/>
        <w:jc w:val="left"/>
      </w:pPr>
      <w:r>
        <w:rPr/>
        <w:t>（</w:t>
      </w:r>
      <w:r>
        <w:rPr>
          <w:rFonts w:ascii="Times New Roman" w:hAnsi="Times New Roman" w:cs="Times New Roman" w:eastAsia="Times New Roman" w:hint="default"/>
        </w:rPr>
        <w:t>3</w:t>
      </w:r>
      <w:r>
        <w:rPr/>
        <w:t>）持续服务党建信息化，为全国推广打下良好基础。 </w:t>
      </w:r>
      <w:r>
        <w:rPr>
          <w:spacing w:val="-2"/>
        </w:rPr>
        <w:t>参股子公司福水智联技术有限公司由福州市创业投资有限责任公司、福州开发区国有资产营运有限公司等公司共同投资</w:t>
      </w:r>
    </w:p>
    <w:p>
      <w:pPr>
        <w:pStyle w:val="BodyText"/>
        <w:spacing w:line="316" w:lineRule="auto"/>
        <w:ind w:left="153" w:right="1048"/>
        <w:jc w:val="left"/>
      </w:pPr>
      <w:r>
        <w:rPr>
          <w:spacing w:val="-2"/>
        </w:rPr>
        <w:t>成立，是一家专业从事物联网水行业大数据增值服务、城市供水漏损治理合同节水管理服务、水系监测等解决方案的服务提</w:t>
      </w:r>
      <w:r>
        <w:rPr>
          <w:spacing w:val="-66"/>
        </w:rPr>
        <w:t> </w:t>
      </w:r>
      <w:r>
        <w:rPr>
          <w:spacing w:val="-66"/>
        </w:rPr>
      </w:r>
      <w:r>
        <w:rPr/>
        <w:t>供商。以水系相关产业链为发展目标，自主研发、设计、生产及销售智能水表、智能传感器等物联产品。福水智联与华为、 三大运营商建立战略合作伙伴关系，以</w:t>
      </w:r>
      <w:r>
        <w:rPr>
          <w:rFonts w:ascii="Times New Roman" w:hAnsi="Times New Roman" w:cs="Times New Roman" w:eastAsia="Times New Roman" w:hint="default"/>
        </w:rPr>
        <w:t>NB-IoT</w:t>
      </w:r>
      <w:r>
        <w:rPr/>
        <w:t>窄带物联网和大数据应用为载体，构建综合性的智慧水务大数据云平台，为</w:t>
      </w:r>
    </w:p>
    <w:p>
      <w:pPr>
        <w:spacing w:after="0" w:line="316"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0" w:lineRule="auto" w:before="44"/>
        <w:ind w:left="153" w:right="0"/>
        <w:jc w:val="left"/>
      </w:pPr>
      <w:r>
        <w:rPr>
          <w:spacing w:val="-1"/>
        </w:rPr>
        <w:t>水行业以及整个城市提供包括用智慧计量、智慧用水管理、管网监控、管网</w:t>
      </w:r>
      <w:r>
        <w:rPr>
          <w:rFonts w:ascii="Times New Roman" w:hAnsi="Times New Roman" w:cs="Times New Roman" w:eastAsia="Times New Roman" w:hint="default"/>
          <w:spacing w:val="-1"/>
        </w:rPr>
        <w:t>GIS</w:t>
      </w:r>
      <w:r>
        <w:rPr>
          <w:spacing w:val="-1"/>
        </w:rPr>
        <w:t>系统、水资源监测、水质监测、城市内涝监</w:t>
      </w:r>
      <w:r>
        <w:rPr>
          <w:spacing w:val="-54"/>
        </w:rPr>
        <w:t> </w:t>
      </w:r>
      <w:r>
        <w:rPr>
          <w:spacing w:val="-54"/>
        </w:rPr>
      </w:r>
      <w:r>
        <w:rPr/>
        <w:t>测在内的水务整体运营解决方案，致力成为物联网领军企业！</w:t>
      </w:r>
    </w:p>
    <w:p>
      <w:pPr>
        <w:spacing w:line="240" w:lineRule="auto" w:before="9"/>
        <w:rPr>
          <w:rFonts w:ascii="宋体" w:hAnsi="宋体" w:cs="宋体" w:eastAsia="宋体" w:hint="default"/>
          <w:sz w:val="21"/>
          <w:szCs w:val="21"/>
        </w:rPr>
      </w:pPr>
    </w:p>
    <w:p>
      <w:pPr>
        <w:pStyle w:val="Heading2"/>
        <w:spacing w:line="240" w:lineRule="auto"/>
        <w:ind w:right="2239"/>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报告期处置、报废及部分转入了持有待售资产，导致固定资产较上年同期减少</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44.74%</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报告期上海榕基园区投入增加，导致在建工程较上年同期增加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39.58%</w:t>
            </w:r>
          </w:p>
        </w:tc>
      </w:tr>
    </w:tbl>
    <w:p>
      <w:pPr>
        <w:spacing w:line="240" w:lineRule="auto" w:before="2"/>
        <w:rPr>
          <w:rFonts w:ascii="宋体" w:hAnsi="宋体" w:cs="宋体" w:eastAsia="宋体" w:hint="default"/>
          <w:b/>
          <w:bCs/>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39"/>
        <w:jc w:val="left"/>
        <w:rPr>
          <w:b w:val="0"/>
          <w:bCs w:val="0"/>
        </w:rPr>
      </w:pPr>
      <w:r>
        <w:rPr/>
        <w:t>三、核心竞争力分析</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367" w:lineRule="auto" w:before="26"/>
        <w:ind w:left="513" w:right="0" w:hanging="360"/>
        <w:jc w:val="left"/>
      </w:pPr>
      <w:r>
        <w:rPr/>
        <w:t>软件与信息技术服务业 </w:t>
      </w:r>
      <w:r>
        <w:rPr>
          <w:spacing w:val="-4"/>
        </w:rPr>
        <w:t>公司一直专注于行业应用软件研发、系统集成和运维服务，经过多年的不懈努力，已在客户资源、技术创新、行业经验、</w:t>
      </w:r>
    </w:p>
    <w:p>
      <w:pPr>
        <w:pStyle w:val="BodyText"/>
        <w:spacing w:line="217" w:lineRule="exact"/>
        <w:ind w:left="153" w:right="0"/>
        <w:jc w:val="left"/>
      </w:pPr>
      <w:r>
        <w:rPr/>
        <w:t>企业管理与人力资源、销售和服务网络等方面形成了公司的核心竞争力，成为国内知名的软件产品和服务提供商。</w:t>
      </w:r>
    </w:p>
    <w:p>
      <w:pPr>
        <w:pStyle w:val="BodyText"/>
        <w:spacing w:line="345" w:lineRule="auto" w:before="124"/>
        <w:ind w:left="513" w:right="1117"/>
        <w:jc w:val="left"/>
      </w:pPr>
      <w:r>
        <w:rPr>
          <w:rFonts w:ascii="Times New Roman" w:hAnsi="Times New Roman" w:cs="Times New Roman" w:eastAsia="Times New Roman" w:hint="default"/>
        </w:rPr>
        <w:t>1</w:t>
      </w:r>
      <w:r>
        <w:rPr/>
        <w:t>、客户资源 </w:t>
      </w:r>
      <w:r>
        <w:rPr>
          <w:spacing w:val="-2"/>
        </w:rPr>
        <w:t>公司经过</w:t>
      </w:r>
      <w:r>
        <w:rPr>
          <w:rFonts w:ascii="Times New Roman" w:hAnsi="Times New Roman" w:cs="Times New Roman" w:eastAsia="Times New Roman" w:hint="default"/>
          <w:spacing w:val="-2"/>
        </w:rPr>
        <w:t>26</w:t>
      </w:r>
      <w:r>
        <w:rPr>
          <w:spacing w:val="-2"/>
        </w:rPr>
        <w:t>年的发展和积累，客户涵盖了党政、能源、司法、环保等行业，拥有了广泛、优质的客户资源，公司客户群</w:t>
      </w:r>
    </w:p>
    <w:p>
      <w:pPr>
        <w:pStyle w:val="BodyText"/>
        <w:spacing w:line="211" w:lineRule="exact"/>
        <w:ind w:left="153" w:right="0"/>
        <w:jc w:val="left"/>
      </w:pPr>
      <w:r>
        <w:rPr/>
        <w:t>整体质量突出。公司始终强调品牌建设，重视客户需求，技术支持和服务到位，客户满意度和忠诚度较高，客户对公司各类</w:t>
      </w:r>
    </w:p>
    <w:p>
      <w:pPr>
        <w:pStyle w:val="BodyText"/>
        <w:spacing w:line="240" w:lineRule="auto" w:before="76"/>
        <w:ind w:left="153" w:right="2239"/>
        <w:jc w:val="left"/>
      </w:pPr>
      <w:r>
        <w:rPr/>
        <w:t>产品形成了较强的粘性，稳定客户的保有率不断提高。</w:t>
      </w:r>
    </w:p>
    <w:p>
      <w:pPr>
        <w:pStyle w:val="BodyText"/>
        <w:spacing w:line="345" w:lineRule="auto" w:before="124"/>
        <w:ind w:left="513" w:right="1117"/>
        <w:jc w:val="left"/>
      </w:pPr>
      <w:r>
        <w:rPr>
          <w:rFonts w:ascii="Times New Roman" w:hAnsi="Times New Roman" w:cs="Times New Roman" w:eastAsia="Times New Roman" w:hint="default"/>
        </w:rPr>
        <w:t>2</w:t>
      </w:r>
      <w:r>
        <w:rPr/>
        <w:t>、技术研发 </w:t>
      </w:r>
      <w:r>
        <w:rPr>
          <w:spacing w:val="-1"/>
        </w:rPr>
        <w:t>公司从</w:t>
      </w:r>
      <w:r>
        <w:rPr>
          <w:rFonts w:ascii="Times New Roman" w:hAnsi="Times New Roman" w:cs="Times New Roman" w:eastAsia="Times New Roman" w:hint="default"/>
          <w:spacing w:val="-1"/>
        </w:rPr>
        <w:t>2002</w:t>
      </w:r>
      <w:r>
        <w:rPr>
          <w:spacing w:val="-1"/>
        </w:rPr>
        <w:t>年开始连续</w:t>
      </w:r>
      <w:r>
        <w:rPr>
          <w:rFonts w:ascii="Times New Roman" w:hAnsi="Times New Roman" w:cs="Times New Roman" w:eastAsia="Times New Roman" w:hint="default"/>
          <w:spacing w:val="-1"/>
        </w:rPr>
        <w:t>10</w:t>
      </w:r>
      <w:r>
        <w:rPr>
          <w:spacing w:val="-1"/>
        </w:rPr>
        <w:t>多年被评为</w:t>
      </w:r>
      <w:r>
        <w:rPr>
          <w:rFonts w:ascii="Times New Roman" w:hAnsi="Times New Roman" w:cs="Times New Roman" w:eastAsia="Times New Roman" w:hint="default"/>
          <w:spacing w:val="-1"/>
        </w:rPr>
        <w:t>“</w:t>
      </w:r>
      <w:r>
        <w:rPr>
          <w:spacing w:val="-1"/>
        </w:rPr>
        <w:t>国家规划布局内重点软件企业</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w:t>
      </w:r>
      <w:r>
        <w:rPr>
          <w:spacing w:val="-1"/>
        </w:rPr>
        <w:t>国家</w:t>
      </w:r>
      <w:r>
        <w:rPr>
          <w:rFonts w:ascii="Times New Roman" w:hAnsi="Times New Roman" w:cs="Times New Roman" w:eastAsia="Times New Roman" w:hint="default"/>
          <w:spacing w:val="-1"/>
        </w:rPr>
        <w:t>863</w:t>
      </w:r>
      <w:r>
        <w:rPr>
          <w:spacing w:val="-1"/>
        </w:rPr>
        <w:t>计划成果产业化基地</w:t>
      </w:r>
      <w:r>
        <w:rPr>
          <w:rFonts w:ascii="Times New Roman" w:hAnsi="Times New Roman" w:cs="Times New Roman" w:eastAsia="Times New Roman" w:hint="default"/>
          <w:spacing w:val="-1"/>
        </w:rPr>
        <w:t>”</w:t>
      </w:r>
      <w:r>
        <w:rPr>
          <w:spacing w:val="-1"/>
        </w:rPr>
        <w:t>，被认定为</w:t>
      </w:r>
      <w:r>
        <w:rPr>
          <w:rFonts w:ascii="Times New Roman" w:hAnsi="Times New Roman" w:cs="Times New Roman" w:eastAsia="Times New Roman" w:hint="default"/>
          <w:spacing w:val="-1"/>
        </w:rPr>
        <w:t>“</w:t>
      </w:r>
      <w:r>
        <w:rPr>
          <w:spacing w:val="-1"/>
        </w:rPr>
        <w:t>福</w:t>
      </w:r>
    </w:p>
    <w:p>
      <w:pPr>
        <w:pStyle w:val="BodyText"/>
        <w:spacing w:line="224" w:lineRule="exact"/>
        <w:ind w:right="0"/>
        <w:jc w:val="left"/>
      </w:pPr>
      <w:r>
        <w:rPr/>
        <w:t>建省省级企业技术中心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福建省工业和信息化省级龙头企业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福建省软件技术研发中心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福州软件园博士后工作站榕</w:t>
      </w:r>
    </w:p>
    <w:p>
      <w:pPr>
        <w:pStyle w:val="BodyText"/>
        <w:spacing w:line="307" w:lineRule="auto" w:before="63"/>
        <w:ind w:right="0"/>
        <w:jc w:val="left"/>
      </w:pPr>
      <w:r>
        <w:rPr/>
        <w:t>基分站</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福建省创新型企业</w:t>
      </w:r>
      <w:r>
        <w:rPr>
          <w:rFonts w:ascii="Times New Roman" w:hAnsi="Times New Roman" w:cs="Times New Roman" w:eastAsia="Times New Roman" w:hint="default"/>
        </w:rPr>
        <w:t>”</w:t>
      </w:r>
      <w:r>
        <w:rPr/>
        <w:t>，曾荣获</w:t>
      </w:r>
      <w:r>
        <w:rPr>
          <w:rFonts w:ascii="Times New Roman" w:hAnsi="Times New Roman" w:cs="Times New Roman" w:eastAsia="Times New Roman" w:hint="default"/>
        </w:rPr>
        <w:t>“</w:t>
      </w:r>
      <w:r>
        <w:rPr/>
        <w:t>中国十大创新软件企业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福建省知识产权优势企业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福建省战略性新兴产业骨 干企业</w:t>
      </w:r>
      <w:r>
        <w:rPr>
          <w:rFonts w:ascii="Times New Roman" w:hAnsi="Times New Roman" w:cs="Times New Roman" w:eastAsia="Times New Roman" w:hint="default"/>
        </w:rPr>
        <w:t>”</w:t>
      </w:r>
      <w:r>
        <w:rPr/>
        <w:t>。公司作为中国软件产品开发与销售的先行者之一，建立了以企业技术中心为核心的创新体系，多次承担国家</w:t>
      </w:r>
      <w:r>
        <w:rPr>
          <w:rFonts w:ascii="Times New Roman" w:hAnsi="Times New Roman" w:cs="Times New Roman" w:eastAsia="Times New Roman" w:hint="default"/>
        </w:rPr>
        <w:t>863 </w:t>
      </w:r>
      <w:r>
        <w:rPr>
          <w:spacing w:val="-4"/>
        </w:rPr>
        <w:t>项目、电子信息产业发展基金、创新基金以及高科技产业化专项基金项目课题，在所处领域中拥有多项国内领先的创新技术，</w:t>
      </w:r>
      <w:r>
        <w:rPr>
          <w:spacing w:val="-44"/>
        </w:rPr>
        <w:t> </w:t>
      </w:r>
      <w:r>
        <w:rPr>
          <w:spacing w:val="-44"/>
        </w:rPr>
      </w:r>
      <w:r>
        <w:rPr/>
        <w:t>已形成较强的核心技术竞争力。</w:t>
      </w:r>
    </w:p>
    <w:p>
      <w:pPr>
        <w:pStyle w:val="BodyText"/>
        <w:spacing w:line="307" w:lineRule="auto" w:before="74"/>
        <w:ind w:right="1128" w:firstLine="360"/>
        <w:jc w:val="both"/>
      </w:pPr>
      <w:r>
        <w:rPr>
          <w:spacing w:val="-2"/>
        </w:rPr>
        <w:t>公司结合自身条件和外部市场环境，在云计算、大数据、移动办公云平台、智慧城市、中小企业信息化等方向上取得了</w:t>
      </w:r>
      <w:r>
        <w:rPr/>
        <w:t> </w:t>
      </w:r>
      <w:r>
        <w:rPr>
          <w:spacing w:val="-2"/>
        </w:rPr>
        <w:t>技术创新。截至目前，公司拥有</w:t>
      </w:r>
      <w:r>
        <w:rPr>
          <w:rFonts w:ascii="Times New Roman" w:hAnsi="Times New Roman" w:cs="Times New Roman" w:eastAsia="Times New Roman" w:hint="default"/>
          <w:spacing w:val="-2"/>
        </w:rPr>
        <w:t>“</w:t>
      </w:r>
      <w:r>
        <w:rPr>
          <w:spacing w:val="-2"/>
        </w:rPr>
        <w:t>榕基</w:t>
      </w:r>
      <w:r>
        <w:rPr>
          <w:rFonts w:ascii="Times New Roman" w:hAnsi="Times New Roman" w:cs="Times New Roman" w:eastAsia="Times New Roman" w:hint="default"/>
          <w:spacing w:val="-2"/>
        </w:rPr>
        <w:t>”</w:t>
      </w:r>
      <w:r>
        <w:rPr>
          <w:spacing w:val="-2"/>
        </w:rPr>
        <w:t>品牌的自主知识产权包括</w:t>
      </w:r>
      <w:r>
        <w:rPr>
          <w:rFonts w:ascii="Times New Roman" w:hAnsi="Times New Roman" w:cs="Times New Roman" w:eastAsia="Times New Roman" w:hint="default"/>
          <w:spacing w:val="-2"/>
        </w:rPr>
        <w:t>40</w:t>
      </w:r>
      <w:r>
        <w:rPr>
          <w:spacing w:val="-2"/>
        </w:rPr>
        <w:t>项专利（发明专利</w:t>
      </w:r>
      <w:r>
        <w:rPr>
          <w:rFonts w:ascii="Times New Roman" w:hAnsi="Times New Roman" w:cs="Times New Roman" w:eastAsia="Times New Roman" w:hint="default"/>
          <w:spacing w:val="-2"/>
        </w:rPr>
        <w:t>19</w:t>
      </w:r>
      <w:r>
        <w:rPr>
          <w:spacing w:val="-2"/>
        </w:rPr>
        <w:t>项，实用新型专利</w:t>
      </w:r>
      <w:r>
        <w:rPr>
          <w:rFonts w:ascii="Times New Roman" w:hAnsi="Times New Roman" w:cs="Times New Roman" w:eastAsia="Times New Roman" w:hint="default"/>
          <w:spacing w:val="-2"/>
        </w:rPr>
        <w:t>16</w:t>
      </w:r>
      <w:r>
        <w:rPr>
          <w:spacing w:val="-2"/>
        </w:rPr>
        <w:t>项、外观新型专</w:t>
      </w:r>
      <w:r>
        <w:rPr>
          <w:spacing w:val="-35"/>
        </w:rPr>
        <w:t> </w:t>
      </w:r>
      <w:r>
        <w:rPr>
          <w:spacing w:val="-35"/>
        </w:rPr>
      </w:r>
      <w:r>
        <w:rPr>
          <w:spacing w:val="-2"/>
        </w:rPr>
        <w:t>利</w:t>
      </w:r>
      <w:r>
        <w:rPr>
          <w:rFonts w:ascii="Times New Roman" w:hAnsi="Times New Roman" w:cs="Times New Roman" w:eastAsia="Times New Roman" w:hint="default"/>
          <w:spacing w:val="-2"/>
        </w:rPr>
        <w:t>5</w:t>
      </w:r>
      <w:r>
        <w:rPr>
          <w:spacing w:val="-2"/>
        </w:rPr>
        <w:t>项），</w:t>
      </w:r>
      <w:r>
        <w:rPr>
          <w:rFonts w:ascii="Times New Roman" w:hAnsi="Times New Roman" w:cs="Times New Roman" w:eastAsia="Times New Roman" w:hint="default"/>
          <w:spacing w:val="-2"/>
        </w:rPr>
        <w:t>253</w:t>
      </w:r>
      <w:r>
        <w:rPr>
          <w:spacing w:val="-2"/>
        </w:rPr>
        <w:t>项计算机软件著作权。近年来有多个自主产品被列入国家和省部级创新产品，获得多项国家、省、市科技进步</w:t>
      </w:r>
      <w:r>
        <w:rPr>
          <w:spacing w:val="-64"/>
        </w:rPr>
        <w:t> </w:t>
      </w:r>
      <w:r>
        <w:rPr>
          <w:spacing w:val="-64"/>
        </w:rPr>
      </w:r>
      <w:r>
        <w:rPr/>
        <w:t>奖和优秀产品等荣誉。</w:t>
      </w:r>
    </w:p>
    <w:p>
      <w:pPr>
        <w:pStyle w:val="BodyText"/>
        <w:spacing w:line="240" w:lineRule="auto" w:before="74"/>
        <w:ind w:left="514" w:right="2239"/>
        <w:jc w:val="left"/>
      </w:pPr>
      <w:r>
        <w:rPr>
          <w:rFonts w:ascii="Times New Roman" w:hAnsi="Times New Roman" w:cs="Times New Roman" w:eastAsia="Times New Roman" w:hint="default"/>
        </w:rPr>
        <w:t>3</w:t>
      </w:r>
      <w:r>
        <w:rPr/>
        <w:t>、行业经验</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9" w:lineRule="auto" w:before="44"/>
        <w:ind w:left="153" w:right="1048" w:firstLine="360"/>
        <w:jc w:val="both"/>
      </w:pPr>
      <w:r>
        <w:rPr>
          <w:spacing w:val="-2"/>
        </w:rPr>
        <w:t>公司作为主营业务领域的龙头企业和骨干企业，具备突出的行业业务理解能力，具备较强的综合集成、软件开发、数据</w:t>
      </w:r>
      <w:r>
        <w:rPr/>
        <w:t> 服务、安全运维等一体化综合服务能力，承担了金关工程、金环工程、天平工程、</w:t>
      </w:r>
      <w:r>
        <w:rPr>
          <w:rFonts w:ascii="Times New Roman" w:hAnsi="Times New Roman" w:cs="Times New Roman" w:eastAsia="Times New Roman" w:hint="default"/>
        </w:rPr>
        <w:t>SG186</w:t>
      </w:r>
      <w:r>
        <w:rPr/>
        <w:t>工程、信息安全内控运维、政府政 务云计算平台等国家重大信息化项目以及多个行业核心业务支撑系统和关键共性技术平台，具有典型示范和辐射带动作用。</w:t>
      </w:r>
    </w:p>
    <w:p>
      <w:pPr>
        <w:pStyle w:val="BodyText"/>
        <w:spacing w:line="345" w:lineRule="auto" w:before="72"/>
        <w:ind w:left="513" w:right="1117"/>
        <w:jc w:val="left"/>
      </w:pPr>
      <w:r>
        <w:rPr>
          <w:rFonts w:ascii="Times New Roman" w:hAnsi="Times New Roman" w:cs="Times New Roman" w:eastAsia="Times New Roman" w:hint="default"/>
        </w:rPr>
        <w:t>4</w:t>
      </w:r>
      <w:r>
        <w:rPr/>
        <w:t>、人力优势 </w:t>
      </w:r>
      <w:r>
        <w:rPr>
          <w:spacing w:val="-2"/>
        </w:rPr>
        <w:t>公司在多年的经营实践中形成了稳定的、受过良好教育又具有行业经验的核心管理团队和优秀的、富有经验的研发技术</w:t>
      </w:r>
    </w:p>
    <w:p>
      <w:pPr>
        <w:pStyle w:val="BodyText"/>
        <w:spacing w:line="316" w:lineRule="auto"/>
        <w:ind w:left="153" w:right="0"/>
        <w:jc w:val="left"/>
      </w:pPr>
      <w:r>
        <w:rPr>
          <w:spacing w:val="-4"/>
        </w:rPr>
        <w:t>团队。公司建立了人员招聘体系、职务职责体系、薪酬福利体系、绩效考核体系、研发和创新激励体系等一系列机制，吸引、</w:t>
      </w:r>
      <w:r>
        <w:rPr>
          <w:spacing w:val="-44"/>
        </w:rPr>
        <w:t> </w:t>
      </w:r>
      <w:r>
        <w:rPr>
          <w:spacing w:val="-44"/>
        </w:rPr>
      </w:r>
      <w:r>
        <w:rPr>
          <w:spacing w:val="-2"/>
        </w:rPr>
        <w:t>培养了一支技术水平高、经验丰富、富有团队协作精神，且对公司的企业文化有较高的认同感的研发技术团队，为公司规模</w:t>
      </w:r>
      <w:r>
        <w:rPr>
          <w:spacing w:val="-66"/>
        </w:rPr>
        <w:t> </w:t>
      </w:r>
      <w:r>
        <w:rPr>
          <w:spacing w:val="-66"/>
        </w:rPr>
      </w:r>
      <w:r>
        <w:rPr/>
        <w:t>化发展提供了有力的保障。</w:t>
      </w:r>
    </w:p>
    <w:p>
      <w:pPr>
        <w:pStyle w:val="BodyText"/>
        <w:spacing w:line="345" w:lineRule="auto" w:before="67"/>
        <w:ind w:left="444" w:right="0" w:firstLine="69"/>
        <w:jc w:val="left"/>
      </w:pPr>
      <w:r>
        <w:rPr>
          <w:rFonts w:ascii="Times New Roman" w:hAnsi="Times New Roman" w:cs="Times New Roman" w:eastAsia="Times New Roman" w:hint="default"/>
        </w:rPr>
        <w:t>5</w:t>
      </w:r>
      <w:r>
        <w:rPr/>
        <w:t>、销售和服务网络 </w:t>
      </w:r>
      <w:r>
        <w:rPr>
          <w:spacing w:val="-1"/>
        </w:rPr>
        <w:t>公司总部设在福州，在北京、上海、深圳、杭州和郑州设立五个区域分部，在全国设立了</w:t>
      </w:r>
      <w:r>
        <w:rPr>
          <w:rFonts w:ascii="Times New Roman" w:hAnsi="Times New Roman" w:cs="Times New Roman" w:eastAsia="Times New Roman" w:hint="default"/>
          <w:spacing w:val="-1"/>
        </w:rPr>
        <w:t>20</w:t>
      </w:r>
      <w:r>
        <w:rPr>
          <w:spacing w:val="-1"/>
        </w:rPr>
        <w:t>多家分子公司。截至报告期</w:t>
      </w:r>
    </w:p>
    <w:p>
      <w:pPr>
        <w:pStyle w:val="BodyText"/>
        <w:spacing w:line="211" w:lineRule="exact"/>
        <w:ind w:left="153" w:right="0"/>
        <w:jc w:val="left"/>
      </w:pPr>
      <w:r>
        <w:rPr/>
        <w:t>末，公司建立了完善的客户服务支持系统、客户服务中心、服务管理体系在内的运维服务体系，提高了公司的运维服务能力</w:t>
      </w:r>
    </w:p>
    <w:p>
      <w:pPr>
        <w:pStyle w:val="BodyText"/>
        <w:spacing w:line="240" w:lineRule="auto" w:before="76"/>
        <w:ind w:left="153" w:right="2239"/>
        <w:jc w:val="left"/>
      </w:pPr>
      <w:r>
        <w:rPr/>
        <w:t>和服务质量，进一步提高了市场占有率。</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5" w:right="2239"/>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6" w:right="1117" w:hanging="290"/>
        <w:jc w:val="left"/>
      </w:pPr>
      <w:r>
        <w:rPr>
          <w:rFonts w:ascii="Times New Roman" w:hAnsi="Times New Roman" w:cs="Times New Roman" w:eastAsia="Times New Roman" w:hint="default"/>
        </w:rPr>
        <w:t>1</w:t>
      </w:r>
      <w:r>
        <w:rPr/>
        <w:t>、总体经营情况 </w:t>
      </w:r>
      <w:r>
        <w:rPr>
          <w:spacing w:val="-2"/>
        </w:rPr>
        <w:t>报告期内，在公司经营管理班子和全体员工的共同努力下，公司继续推进软件</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经营布局，持</w:t>
      </w:r>
    </w:p>
    <w:p>
      <w:pPr>
        <w:pStyle w:val="BodyText"/>
        <w:spacing w:line="316" w:lineRule="auto" w:before="13"/>
        <w:ind w:right="0"/>
        <w:jc w:val="left"/>
      </w:pPr>
      <w:r>
        <w:rPr>
          <w:spacing w:val="-2"/>
        </w:rPr>
        <w:t>续加大产品研发的投入和力度，巩固了电子政务、协同管理等领域的综合竞争优势，积极培育以安全可靠、自主可控、大数</w:t>
      </w:r>
      <w:r>
        <w:rPr>
          <w:spacing w:val="-66"/>
        </w:rPr>
        <w:t> </w:t>
      </w:r>
      <w:r>
        <w:rPr>
          <w:spacing w:val="-66"/>
        </w:rPr>
      </w:r>
      <w:r>
        <w:rPr>
          <w:spacing w:val="-4"/>
        </w:rPr>
        <w:t>据、物联网技术为基础的新业务，致力于传统和创新两大运营服务体系建设，开拓了新的业务增长点，提升了公司的竞争力。</w:t>
      </w:r>
    </w:p>
    <w:p>
      <w:pPr>
        <w:pStyle w:val="BodyText"/>
        <w:spacing w:line="300" w:lineRule="auto" w:before="19"/>
        <w:ind w:right="1078" w:firstLine="362"/>
        <w:jc w:val="both"/>
      </w:pPr>
      <w:r>
        <w:rPr/>
        <w:t>报告期内，公司共实现营业收入</w:t>
      </w:r>
      <w:r>
        <w:rPr>
          <w:rFonts w:ascii="Times New Roman" w:hAnsi="Times New Roman" w:cs="Times New Roman" w:eastAsia="Times New Roman" w:hint="default"/>
        </w:rPr>
        <w:t>81,248.84</w:t>
      </w:r>
      <w:r>
        <w:rPr/>
        <w:t>万元，比上年同期增加</w:t>
      </w:r>
      <w:r>
        <w:rPr>
          <w:rFonts w:ascii="Times New Roman" w:hAnsi="Times New Roman" w:cs="Times New Roman" w:eastAsia="Times New Roman" w:hint="default"/>
        </w:rPr>
        <w:t>9.5%</w:t>
      </w:r>
      <w:r>
        <w:rPr/>
        <w:t>；营业成本比上年同期增加</w:t>
      </w:r>
      <w:r>
        <w:rPr>
          <w:rFonts w:ascii="Times New Roman" w:hAnsi="Times New Roman" w:cs="Times New Roman" w:eastAsia="Times New Roman" w:hint="default"/>
        </w:rPr>
        <w:t>9.73%</w:t>
      </w:r>
      <w:r>
        <w:rPr/>
        <w:t>；销售费用比上 年同期增加</w:t>
      </w:r>
      <w:r>
        <w:rPr>
          <w:rFonts w:ascii="Times New Roman" w:hAnsi="Times New Roman" w:cs="Times New Roman" w:eastAsia="Times New Roman" w:hint="default"/>
        </w:rPr>
        <w:t>15.04%</w:t>
      </w:r>
      <w:r>
        <w:rPr/>
        <w:t>，管理费用比上年同期增加</w:t>
      </w:r>
      <w:r>
        <w:rPr>
          <w:rFonts w:ascii="Times New Roman" w:hAnsi="Times New Roman" w:cs="Times New Roman" w:eastAsia="Times New Roman" w:hint="default"/>
        </w:rPr>
        <w:t>3.72%</w:t>
      </w:r>
      <w:r>
        <w:rPr/>
        <w:t>，研发费用比上年同期增加</w:t>
      </w:r>
      <w:r>
        <w:rPr>
          <w:rFonts w:ascii="Times New Roman" w:hAnsi="Times New Roman" w:cs="Times New Roman" w:eastAsia="Times New Roman" w:hint="default"/>
        </w:rPr>
        <w:t>21.95%</w:t>
      </w:r>
      <w:r>
        <w:rPr/>
        <w:t>，财务费用比上年同期增加</w:t>
      </w:r>
      <w:r>
        <w:rPr>
          <w:rFonts w:ascii="Times New Roman" w:hAnsi="Times New Roman" w:cs="Times New Roman" w:eastAsia="Times New Roman" w:hint="default"/>
        </w:rPr>
        <w:t>77.87%</w:t>
      </w:r>
      <w:r>
        <w:rPr/>
        <w:t>， 主要是报告期职工薪酬增加、借款利息支出增加所致；经营活动产生的现金流量净额较上年同期减少</w:t>
      </w:r>
      <w:r>
        <w:rPr>
          <w:rFonts w:ascii="Times New Roman" w:hAnsi="Times New Roman" w:cs="Times New Roman" w:eastAsia="Times New Roman" w:hint="default"/>
        </w:rPr>
        <w:t>70.55%</w:t>
      </w:r>
      <w:r>
        <w:rPr/>
        <w:t>，主要是报告</w:t>
      </w:r>
      <w:r>
        <w:rPr>
          <w:spacing w:val="-22"/>
        </w:rPr>
        <w:t> </w:t>
      </w:r>
      <w:r>
        <w:rPr>
          <w:spacing w:val="-22"/>
        </w:rPr>
      </w:r>
      <w:r>
        <w:rPr/>
        <w:t>期销售商品收到的现金减少及支付的职工薪酬等增加所致；投资活动产生的现金流量净额较上年同期增加</w:t>
      </w:r>
      <w:r>
        <w:rPr>
          <w:rFonts w:ascii="Times New Roman" w:hAnsi="Times New Roman" w:cs="Times New Roman" w:eastAsia="Times New Roman" w:hint="default"/>
        </w:rPr>
        <w:t>127.19%</w:t>
      </w:r>
      <w:r>
        <w:rPr/>
        <w:t>，主要是 赎回理财产品收到的现金净额增加所致；筹资活动产生的现金流量净额较上年同期减少</w:t>
      </w:r>
      <w:r>
        <w:rPr>
          <w:rFonts w:ascii="Times New Roman" w:hAnsi="Times New Roman" w:cs="Times New Roman" w:eastAsia="Times New Roman" w:hint="default"/>
        </w:rPr>
        <w:t>129.62%</w:t>
      </w:r>
      <w:r>
        <w:rPr/>
        <w:t>，主要是报告期取得借款减 少及偿还借款增加。</w:t>
      </w:r>
    </w:p>
    <w:p>
      <w:pPr>
        <w:pStyle w:val="BodyText"/>
        <w:spacing w:line="240" w:lineRule="auto" w:before="31"/>
        <w:ind w:right="2239"/>
        <w:jc w:val="left"/>
      </w:pPr>
      <w:r>
        <w:rPr>
          <w:rFonts w:ascii="Times New Roman" w:hAnsi="Times New Roman" w:cs="Times New Roman" w:eastAsia="Times New Roman" w:hint="default"/>
        </w:rPr>
        <w:t>2</w:t>
      </w:r>
      <w:r>
        <w:rPr/>
        <w:t>、报告期内公司重要经营管理事项回顾</w:t>
      </w:r>
    </w:p>
    <w:p>
      <w:pPr>
        <w:pStyle w:val="BodyText"/>
        <w:spacing w:line="300" w:lineRule="auto" w:before="63"/>
        <w:ind w:right="0"/>
        <w:jc w:val="left"/>
      </w:pPr>
      <w:r>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年，公司新获得</w:t>
      </w:r>
      <w:r>
        <w:rPr>
          <w:rFonts w:ascii="Times New Roman" w:hAnsi="Times New Roman" w:cs="Times New Roman" w:eastAsia="Times New Roman" w:hint="default"/>
        </w:rPr>
        <w:t>55</w:t>
      </w:r>
      <w:r>
        <w:rPr/>
        <w:t>项计算机软件著作权。截至目前，公司拥有</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品牌的自主知识产权包括</w:t>
      </w:r>
      <w:r>
        <w:rPr>
          <w:rFonts w:ascii="Times New Roman" w:hAnsi="Times New Roman" w:cs="Times New Roman" w:eastAsia="Times New Roman" w:hint="default"/>
        </w:rPr>
        <w:t>40</w:t>
      </w:r>
      <w:r>
        <w:rPr/>
        <w:t>项专利（发 明专利</w:t>
      </w:r>
      <w:r>
        <w:rPr>
          <w:rFonts w:ascii="Times New Roman" w:hAnsi="Times New Roman" w:cs="Times New Roman" w:eastAsia="Times New Roman" w:hint="default"/>
        </w:rPr>
        <w:t>19</w:t>
      </w:r>
      <w:r>
        <w:rPr/>
        <w:t>项，实用新型专利</w:t>
      </w:r>
      <w:r>
        <w:rPr>
          <w:rFonts w:ascii="Times New Roman" w:hAnsi="Times New Roman" w:cs="Times New Roman" w:eastAsia="Times New Roman" w:hint="default"/>
        </w:rPr>
        <w:t>16</w:t>
      </w:r>
      <w:r>
        <w:rPr/>
        <w:t>项、外观新型专利</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253</w:t>
      </w:r>
      <w:r>
        <w:rPr/>
        <w:t>项计算机软件著作权。</w:t>
      </w:r>
    </w:p>
    <w:p>
      <w:pPr>
        <w:pStyle w:val="BodyText"/>
        <w:spacing w:line="300" w:lineRule="auto" w:before="13"/>
        <w:ind w:right="1131"/>
        <w:jc w:val="both"/>
      </w:pPr>
      <w:r>
        <w:rPr/>
        <w:t>   </w:t>
      </w:r>
      <w:r>
        <w:rPr>
          <w:spacing w:val="-18"/>
        </w:rPr>
        <w:t> </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1</w:t>
      </w:r>
      <w:r>
        <w:rPr>
          <w:spacing w:val="-2"/>
        </w:rPr>
        <w:t>月，公司承建的</w:t>
      </w:r>
      <w:r>
        <w:rPr>
          <w:rFonts w:ascii="Times New Roman" w:hAnsi="Times New Roman" w:cs="Times New Roman" w:eastAsia="Times New Roman" w:hint="default"/>
          <w:spacing w:val="-2"/>
        </w:rPr>
        <w:t>“2+26”</w:t>
      </w:r>
      <w:r>
        <w:rPr>
          <w:spacing w:val="-2"/>
        </w:rPr>
        <w:t>城市空气质量数据采集传输项目通过中国环境监测总站组织的专家验收。此项目建立了一</w:t>
      </w:r>
      <w:r>
        <w:rPr/>
        <w:t> </w:t>
      </w:r>
      <w:r>
        <w:rPr>
          <w:spacing w:val="-2"/>
        </w:rPr>
        <w:t>套统一、完整的地方站自动站监测数据传输体系，将</w:t>
      </w:r>
      <w:r>
        <w:rPr>
          <w:rFonts w:ascii="Times New Roman" w:hAnsi="Times New Roman" w:cs="Times New Roman" w:eastAsia="Times New Roman" w:hint="default"/>
          <w:spacing w:val="-2"/>
        </w:rPr>
        <w:t>“2+26”</w:t>
      </w:r>
      <w:r>
        <w:rPr>
          <w:spacing w:val="-2"/>
        </w:rPr>
        <w:t>城市三百余个区县的地方站自建空气质量自动站直联中国环境监</w:t>
      </w:r>
      <w:r>
        <w:rPr>
          <w:spacing w:val="-57"/>
        </w:rPr>
        <w:t> </w:t>
      </w:r>
      <w:r>
        <w:rPr/>
        <w:t>测总站，使总站能够快速获取各监测站点的空气质量实时数据。</w:t>
      </w:r>
    </w:p>
    <w:p>
      <w:pPr>
        <w:pStyle w:val="BodyText"/>
        <w:spacing w:line="300" w:lineRule="auto" w:before="31"/>
        <w:ind w:right="1129" w:firstLine="180"/>
        <w:jc w:val="both"/>
      </w:pPr>
      <w:r>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1</w:t>
      </w:r>
      <w:r>
        <w:rPr/>
        <w:t>月，公司中标福建高院</w:t>
      </w:r>
      <w:r>
        <w:rPr>
          <w:rFonts w:ascii="Times New Roman" w:hAnsi="Times New Roman" w:cs="Times New Roman" w:eastAsia="Times New Roman" w:hint="default"/>
        </w:rPr>
        <w:t>2015</w:t>
      </w:r>
      <w:r>
        <w:rPr/>
        <w:t>版法标审判业务系统项目。</w:t>
      </w:r>
      <w:r>
        <w:rPr>
          <w:rFonts w:ascii="Times New Roman" w:hAnsi="Times New Roman" w:cs="Times New Roman" w:eastAsia="Times New Roman" w:hint="default"/>
        </w:rPr>
        <w:t>4</w:t>
      </w:r>
      <w:r>
        <w:rPr/>
        <w:t>月，公司承建的厦法</w:t>
      </w:r>
      <w:r>
        <w:rPr>
          <w:rFonts w:ascii="Times New Roman" w:hAnsi="Times New Roman" w:cs="Times New Roman" w:eastAsia="Times New Roman" w:hint="default"/>
        </w:rPr>
        <w:t>e</w:t>
      </w:r>
      <w:r>
        <w:rPr/>
        <w:t>平台项目通过终验。</w:t>
      </w:r>
      <w:r>
        <w:rPr>
          <w:rFonts w:ascii="Times New Roman" w:hAnsi="Times New Roman" w:cs="Times New Roman" w:eastAsia="Times New Roman" w:hint="default"/>
        </w:rPr>
        <w:t>9</w:t>
      </w:r>
      <w:r>
        <w:rPr/>
        <w:t>月，公司中 </w:t>
      </w:r>
      <w:r>
        <w:rPr>
          <w:spacing w:val="-2"/>
        </w:rPr>
        <w:t>标厦门市中级人民法院多元化协调纠纷综合治理平台项目。作为全国七家具有开发</w:t>
      </w:r>
      <w:r>
        <w:rPr>
          <w:rFonts w:ascii="Times New Roman" w:hAnsi="Times New Roman" w:cs="Times New Roman" w:eastAsia="Times New Roman" w:hint="default"/>
          <w:spacing w:val="-2"/>
        </w:rPr>
        <w:t>“</w:t>
      </w:r>
      <w:r>
        <w:rPr>
          <w:spacing w:val="-2"/>
        </w:rPr>
        <w:t>法院审判业务管理系统</w:t>
      </w:r>
      <w:r>
        <w:rPr>
          <w:rFonts w:ascii="Times New Roman" w:hAnsi="Times New Roman" w:cs="Times New Roman" w:eastAsia="Times New Roman" w:hint="default"/>
          <w:spacing w:val="-2"/>
        </w:rPr>
        <w:t>”</w:t>
      </w:r>
      <w:r>
        <w:rPr>
          <w:spacing w:val="-2"/>
        </w:rPr>
        <w:t>资质的软件企业</w:t>
      </w:r>
      <w:r>
        <w:rPr>
          <w:spacing w:val="-44"/>
        </w:rPr>
        <w:t> </w:t>
      </w:r>
      <w:r>
        <w:rPr/>
        <w:t>之一，公司在服务司法机关信息化建设的同时，也持续通过系统开发及项目建设积累自身的核心竞争力。</w:t>
      </w:r>
    </w:p>
    <w:p>
      <w:pPr>
        <w:pStyle w:val="BodyText"/>
        <w:spacing w:line="300" w:lineRule="auto" w:before="31"/>
        <w:ind w:right="1131" w:firstLine="180"/>
        <w:jc w:val="left"/>
      </w:pPr>
      <w:r>
        <w:rPr/>
        <w:t> </w:t>
      </w:r>
      <w:r>
        <w:rPr>
          <w:spacing w:val="-11"/>
        </w:rPr>
        <w:t> </w:t>
      </w: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6</w:t>
      </w:r>
      <w:r>
        <w:rPr>
          <w:spacing w:val="-1"/>
        </w:rPr>
        <w:t>月，公司经专业认证机构评审，公司获得</w:t>
      </w:r>
      <w:r>
        <w:rPr>
          <w:rFonts w:ascii="Times New Roman" w:hAnsi="Times New Roman" w:cs="Times New Roman" w:eastAsia="Times New Roman" w:hint="default"/>
          <w:spacing w:val="-1"/>
        </w:rPr>
        <w:t>“</w:t>
      </w:r>
      <w:r>
        <w:rPr>
          <w:spacing w:val="-1"/>
        </w:rPr>
        <w:t>知识产权管理体系认证证书</w:t>
      </w:r>
      <w:r>
        <w:rPr>
          <w:rFonts w:ascii="Times New Roman" w:hAnsi="Times New Roman" w:cs="Times New Roman" w:eastAsia="Times New Roman" w:hint="default"/>
          <w:spacing w:val="-1"/>
        </w:rPr>
        <w:t>”</w:t>
      </w:r>
      <w:r>
        <w:rPr>
          <w:spacing w:val="-1"/>
        </w:rPr>
        <w:t>，公司现行的计算机软件研发、销售及上</w:t>
      </w:r>
      <w:r>
        <w:rPr/>
        <w:t> 述过程相关采购知识产权管理体系完全符合</w:t>
      </w:r>
      <w:r>
        <w:rPr>
          <w:rFonts w:ascii="Times New Roman" w:hAnsi="Times New Roman" w:cs="Times New Roman" w:eastAsia="Times New Roman" w:hint="default"/>
        </w:rPr>
        <w:t>GB/T29490-2013</w:t>
      </w:r>
      <w:r>
        <w:rPr/>
        <w:t>国家标准。</w:t>
      </w:r>
    </w:p>
    <w:p>
      <w:pPr>
        <w:pStyle w:val="BodyText"/>
        <w:spacing w:line="300" w:lineRule="auto" w:before="13"/>
        <w:ind w:right="0" w:firstLine="180"/>
        <w:jc w:val="left"/>
      </w:pPr>
      <w:r>
        <w:rPr/>
        <w:t> </w:t>
      </w:r>
      <w:r>
        <w:rPr>
          <w:spacing w:val="-21"/>
        </w:rPr>
        <w:t> </w:t>
      </w: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7</w:t>
      </w:r>
      <w:r>
        <w:rPr>
          <w:spacing w:val="-2"/>
        </w:rPr>
        <w:t>月，公司全资子公司福建榕基投资有限公司增资深圳易股天下互联网金融服务有限公司。此次投资有利于进一步</w:t>
      </w:r>
      <w:r>
        <w:rPr/>
        <w:t> 推动公司拓展新兴领域业务，同时推动公司未来业务转型，提升公司技术与互联网服务能力。</w:t>
      </w:r>
    </w:p>
    <w:p>
      <w:pPr>
        <w:pStyle w:val="BodyText"/>
        <w:spacing w:line="307" w:lineRule="auto" w:before="31"/>
        <w:ind w:right="1030" w:firstLine="180"/>
        <w:jc w:val="left"/>
      </w:pPr>
      <w:r>
        <w:rPr/>
        <w:t> </w:t>
      </w:r>
      <w:r>
        <w:rPr>
          <w:spacing w:val="1"/>
        </w:rPr>
        <w:t> </w:t>
      </w: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7</w:t>
      </w:r>
      <w:r>
        <w:rPr/>
        <w:t>月，公司将全资子公司马鞍山榕基软件信息科技有限公司</w:t>
      </w:r>
      <w:r>
        <w:rPr>
          <w:rFonts w:ascii="Times New Roman" w:hAnsi="Times New Roman" w:cs="Times New Roman" w:eastAsia="Times New Roman" w:hint="default"/>
        </w:rPr>
        <w:t>100%</w:t>
      </w:r>
      <w:r>
        <w:rPr/>
        <w:t>股权及马鞍山榕基软件信息科技有公司持有的马</w:t>
      </w:r>
      <w:r>
        <w:rPr>
          <w:spacing w:val="1"/>
        </w:rPr>
        <w:t> </w:t>
      </w:r>
      <w:r>
        <w:rPr/>
        <w:t>鞍山榕基置业</w:t>
      </w:r>
      <w:r>
        <w:rPr>
          <w:rFonts w:ascii="Times New Roman" w:hAnsi="Times New Roman" w:cs="Times New Roman" w:eastAsia="Times New Roman" w:hint="default"/>
        </w:rPr>
        <w:t>100%</w:t>
      </w:r>
      <w:r>
        <w:rPr/>
        <w:t>股权转让给北京海圣投资基金管理有限公司，转让款为玖仟叁佰万元整。此次全资子公司股权转让有利</w:t>
      </w:r>
      <w:r>
        <w:rPr>
          <w:spacing w:val="-57"/>
        </w:rPr>
        <w:t> </w:t>
      </w:r>
      <w:r>
        <w:rPr>
          <w:spacing w:val="-57"/>
        </w:rPr>
      </w:r>
      <w:r>
        <w:rPr/>
        <w:t>于公司优化资产配置，有利于资金投入其他符合公司发展战略的项目，提高公司资金运用效率，促进公司资源的有效配置，</w:t>
      </w:r>
      <w:r>
        <w:rPr/>
        <w:t> 实现公司整体利益最大化。</w:t>
      </w:r>
    </w:p>
    <w:p>
      <w:pPr>
        <w:pStyle w:val="BodyText"/>
        <w:spacing w:line="309" w:lineRule="auto" w:before="26"/>
        <w:ind w:right="1131" w:firstLine="362"/>
        <w:jc w:val="both"/>
      </w:pPr>
      <w:r>
        <w:rPr/>
        <w:t> </w:t>
      </w:r>
      <w:r>
        <w:rPr>
          <w:spacing w:val="-15"/>
        </w:rPr>
        <w:t> </w:t>
      </w:r>
      <w:r>
        <w:rPr>
          <w:spacing w:val="-2"/>
        </w:rPr>
        <w:t>（</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8</w:t>
      </w:r>
      <w:r>
        <w:rPr>
          <w:spacing w:val="-2"/>
        </w:rPr>
        <w:t>月，公司中标关检融合方案设计技术支持服务项目。参与此项服务，体现了海关总署信息中心对公司技术、开</w:t>
      </w:r>
      <w:r>
        <w:rPr/>
        <w:t> </w:t>
      </w:r>
      <w:r>
        <w:rPr>
          <w:spacing w:val="-2"/>
        </w:rPr>
        <w:t>发及服务水平的认可，同时其也意味着公司在服务关检业务融合领域迈上新的高度。其顺利推进，将进一步提升公司在海关</w:t>
      </w:r>
      <w:r>
        <w:rPr>
          <w:spacing w:val="-66"/>
        </w:rPr>
        <w:t> </w:t>
      </w:r>
      <w:r>
        <w:rPr>
          <w:spacing w:val="-66"/>
        </w:rPr>
      </w:r>
      <w:r>
        <w:rPr/>
        <w:t>信息化建设方面的品牌影响力，为深入相关领域，拓展同类服务创造更多的契机。</w:t>
      </w:r>
    </w:p>
    <w:p>
      <w:pPr>
        <w:pStyle w:val="BodyText"/>
        <w:tabs>
          <w:tab w:pos="549" w:val="left" w:leader="none"/>
        </w:tabs>
        <w:spacing w:line="309" w:lineRule="auto" w:before="23"/>
        <w:ind w:right="1038" w:firstLine="73"/>
        <w:jc w:val="left"/>
      </w:pPr>
      <w:r>
        <w:rPr/>
        <w:t> </w:t>
        <w:tab/>
      </w:r>
      <w:r>
        <w:rPr>
          <w:spacing w:val="-1"/>
        </w:rPr>
        <w:t>（</w:t>
      </w: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9</w:t>
      </w:r>
      <w:r>
        <w:rPr>
          <w:spacing w:val="-1"/>
        </w:rPr>
        <w:t>月，经国家档案局批准，由公司承建的福建省公安厅数字档案室获评</w:t>
      </w:r>
      <w:r>
        <w:rPr>
          <w:rFonts w:ascii="Times New Roman" w:hAnsi="Times New Roman" w:cs="Times New Roman" w:eastAsia="Times New Roman" w:hint="default"/>
          <w:spacing w:val="-1"/>
        </w:rPr>
        <w:t>“</w:t>
      </w:r>
      <w:r>
        <w:rPr>
          <w:spacing w:val="-1"/>
        </w:rPr>
        <w:t>全国示范数字档案室</w:t>
      </w:r>
      <w:r>
        <w:rPr>
          <w:rFonts w:ascii="Times New Roman" w:hAnsi="Times New Roman" w:cs="Times New Roman" w:eastAsia="Times New Roman" w:hint="default"/>
          <w:spacing w:val="-1"/>
        </w:rPr>
        <w:t>”</w:t>
      </w:r>
      <w:r>
        <w:rPr>
          <w:spacing w:val="-1"/>
        </w:rPr>
        <w:t>，成为全国第五家、</w:t>
      </w:r>
      <w:r>
        <w:rPr/>
        <w:t> </w:t>
      </w:r>
      <w:r>
        <w:rPr>
          <w:spacing w:val="-2"/>
        </w:rPr>
        <w:t>福建省首家、全国公安系统首家通过国家档案局专家测试的数字档案室，充分体现了公司在档案信息化建设方面的技术实力</w:t>
      </w:r>
      <w:r>
        <w:rPr>
          <w:spacing w:val="-64"/>
        </w:rPr>
        <w:t> </w:t>
      </w:r>
      <w:r>
        <w:rPr>
          <w:spacing w:val="-64"/>
        </w:rPr>
      </w:r>
      <w:r>
        <w:rPr/>
        <w:t>和专业水准。</w:t>
      </w:r>
    </w:p>
    <w:p>
      <w:pPr>
        <w:pStyle w:val="BodyText"/>
        <w:spacing w:line="240" w:lineRule="auto" w:before="24"/>
        <w:ind w:right="0"/>
        <w:jc w:val="left"/>
      </w:pPr>
      <w:r>
        <w:rPr/>
        <w:t>    （</w:t>
      </w:r>
      <w:r>
        <w:rPr>
          <w:rFonts w:ascii="Times New Roman" w:hAnsi="Times New Roman" w:cs="Times New Roman" w:eastAsia="Times New Roman" w:hint="default"/>
        </w:rPr>
        <w:t>9</w:t>
      </w:r>
      <w:r>
        <w:rPr/>
        <w:t>）</w:t>
      </w:r>
      <w:r>
        <w:rPr>
          <w:rFonts w:ascii="Times New Roman" w:hAnsi="Times New Roman" w:cs="Times New Roman" w:eastAsia="Times New Roman" w:hint="default"/>
        </w:rPr>
        <w:t>9</w:t>
      </w:r>
      <w:r>
        <w:rPr/>
        <w:t>月，公司及企业全资子公司福建榕基软件工程有限公司双双获评</w:t>
      </w:r>
      <w:r>
        <w:rPr>
          <w:rFonts w:ascii="Times New Roman" w:hAnsi="Times New Roman" w:cs="Times New Roman" w:eastAsia="Times New Roman" w:hint="default"/>
        </w:rPr>
        <w:t>“2018</w:t>
      </w:r>
      <w:r>
        <w:rPr/>
        <w:t>年福建省工业和信息化省级龙头企业</w:t>
      </w:r>
      <w:r>
        <w:rPr>
          <w:rFonts w:ascii="Times New Roman" w:hAnsi="Times New Roman" w:cs="Times New Roman" w:eastAsia="Times New Roman" w:hint="default"/>
        </w:rPr>
        <w:t>”</w:t>
      </w:r>
      <w:r>
        <w:rPr/>
        <w:t>。</w:t>
      </w:r>
    </w:p>
    <w:p>
      <w:pPr>
        <w:pStyle w:val="BodyText"/>
        <w:spacing w:line="300" w:lineRule="auto" w:before="63"/>
        <w:ind w:right="1112"/>
        <w:jc w:val="left"/>
      </w:pPr>
      <w:r>
        <w:rPr/>
        <w:t>   </w:t>
      </w:r>
      <w:r>
        <w:rPr>
          <w:spacing w:val="-18"/>
        </w:rPr>
        <w:t> </w:t>
      </w:r>
      <w:r>
        <w:rPr>
          <w:spacing w:val="-1"/>
        </w:rPr>
        <w:t>（</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9</w:t>
      </w:r>
      <w:r>
        <w:rPr>
          <w:spacing w:val="-1"/>
        </w:rPr>
        <w:t>月，由公司承建的河南省公共信用信息平台获评省级组第三名，并再度荣获</w:t>
      </w:r>
      <w:r>
        <w:rPr>
          <w:rFonts w:ascii="Times New Roman" w:hAnsi="Times New Roman" w:cs="Times New Roman" w:eastAsia="Times New Roman" w:hint="default"/>
          <w:spacing w:val="-1"/>
        </w:rPr>
        <w:t>“</w:t>
      </w:r>
      <w:r>
        <w:rPr>
          <w:spacing w:val="-1"/>
        </w:rPr>
        <w:t>全国信用信息共享平台和信用门户</w:t>
      </w:r>
      <w:r>
        <w:rPr/>
        <w:t> 网站一体化建设标准化平台网站</w:t>
      </w:r>
      <w:r>
        <w:rPr>
          <w:rFonts w:ascii="Times New Roman" w:hAnsi="Times New Roman" w:cs="Times New Roman" w:eastAsia="Times New Roman" w:hint="default"/>
        </w:rPr>
        <w:t>”</w:t>
      </w:r>
      <w:r>
        <w:rPr/>
        <w:t>称号。</w:t>
      </w:r>
    </w:p>
    <w:p>
      <w:pPr>
        <w:pStyle w:val="BodyText"/>
        <w:spacing w:line="300" w:lineRule="auto" w:before="13"/>
        <w:ind w:right="0"/>
        <w:jc w:val="left"/>
      </w:pPr>
      <w:r>
        <w:rPr/>
        <w:t>   </w:t>
      </w:r>
      <w:r>
        <w:rPr>
          <w:spacing w:val="-17"/>
        </w:rPr>
        <w:t> </w:t>
      </w: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11</w:t>
      </w:r>
      <w:r>
        <w:rPr>
          <w:spacing w:val="-2"/>
        </w:rPr>
        <w:t>月，公司安全可靠电子政务系统通过验收面向全国推广。该系统严格按照国家关于电子政务系统安全可靠、自</w:t>
      </w:r>
      <w:r>
        <w:rPr/>
        <w:t> </w:t>
      </w:r>
      <w:r>
        <w:rPr>
          <w:spacing w:val="-2"/>
        </w:rPr>
        <w:t>主可控的目标，研究基于国产基础软硬件设备环境的系统集成、应用迁移和优化技术，并采用大数据、信息安全等方面领先</w:t>
      </w:r>
    </w:p>
    <w:p>
      <w:pPr>
        <w:spacing w:after="0" w:line="30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0" w:lineRule="auto" w:before="44"/>
        <w:ind w:left="153" w:right="1039"/>
        <w:jc w:val="left"/>
      </w:pPr>
      <w:r>
        <w:rPr>
          <w:spacing w:val="-3"/>
        </w:rPr>
        <w:t>技术，全面升级改造党政办公信息系统，实现了党政机关安全可靠应用</w:t>
      </w:r>
      <w:r>
        <w:rPr>
          <w:rFonts w:ascii="Times New Roman" w:hAnsi="Times New Roman" w:cs="Times New Roman" w:eastAsia="Times New Roman" w:hint="default"/>
          <w:spacing w:val="-3"/>
        </w:rPr>
        <w:t>“</w:t>
      </w:r>
      <w:r>
        <w:rPr>
          <w:spacing w:val="-3"/>
        </w:rPr>
        <w:t>全业务、全流程、全覆盖</w:t>
      </w:r>
      <w:r>
        <w:rPr>
          <w:rFonts w:ascii="Times New Roman" w:hAnsi="Times New Roman" w:cs="Times New Roman" w:eastAsia="Times New Roman" w:hint="default"/>
          <w:spacing w:val="-3"/>
        </w:rPr>
        <w:t>”</w:t>
      </w:r>
      <w:r>
        <w:rPr>
          <w:spacing w:val="-3"/>
        </w:rPr>
        <w:t>，具有稳定性、高安全性、</w:t>
      </w:r>
      <w:r>
        <w:rPr>
          <w:spacing w:val="-80"/>
        </w:rPr>
        <w:t> </w:t>
      </w:r>
      <w:r>
        <w:rPr>
          <w:spacing w:val="-80"/>
        </w:rPr>
      </w:r>
      <w:r>
        <w:rPr/>
        <w:t>可扩展性、开放性、可移植性、可管理性、易使用性等特点。</w:t>
      </w:r>
    </w:p>
    <w:p>
      <w:pPr>
        <w:spacing w:line="240" w:lineRule="auto" w:before="9"/>
        <w:rPr>
          <w:rFonts w:ascii="宋体" w:hAnsi="宋体" w:cs="宋体" w:eastAsia="宋体" w:hint="default"/>
          <w:sz w:val="21"/>
          <w:szCs w:val="21"/>
        </w:rPr>
      </w:pPr>
    </w:p>
    <w:p>
      <w:pPr>
        <w:pStyle w:val="Heading2"/>
        <w:spacing w:line="240" w:lineRule="auto"/>
        <w:ind w:right="2239"/>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2239"/>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812,488,365.82</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742,004,732.30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9.50%</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808,340,200.11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99.49%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740,560,542.18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99.81%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9.15%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园区租赁行业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4,148,165.71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1,444,190.12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187.23%</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402,532,661.51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374,050,333.01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50.41%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软件产品及服务收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405,807,538.60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49.95%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366,510,209.17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49.39%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4,148,165.71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1,444,190.12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0.19%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187.23%</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128,712,357.48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116,553,641.85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15.71%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10.43%</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188,642,392.16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23.22%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153,013,490.78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20.62%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23.28%</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332,551,158.65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303,859,947.64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40.95%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88,791,216.94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119,144,831.28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16.06%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-25.48%</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73,791,240.59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9.08%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49,432,820.75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49.28%</w:t>
            </w:r>
            <w:r>
              <w:rPr>
                <w:rFonts w:ascii="Times New Roman"/>
                <w:sz w:val="18"/>
              </w:rPr>
            </w:r>
          </w:p>
        </w:tc>
      </w:tr>
    </w:tbl>
    <w:p>
      <w:pPr>
        <w:pStyle w:val="BodyText"/>
        <w:spacing w:line="240" w:lineRule="auto" w:before="51"/>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2"/>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0"/>
        <w:gridCol w:w="1012"/>
        <w:gridCol w:w="1003"/>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3D3D3"/>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3D3D3"/>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154,966,489.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191,028,400.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131,386,834.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335,106,640.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143,863,417.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154,547,726.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155,900,669.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287,692,918.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76</w:t>
            </w: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 w:right="0"/>
              <w:jc w:val="center"/>
              <w:rPr>
                <w:rFonts w:ascii="Times New Roman" w:hAnsi="Times New Roman" w:cs="Times New Roman" w:eastAsia="Times New Roman" w:hint="default"/>
                <w:sz w:val="18"/>
                <w:szCs w:val="18"/>
              </w:rPr>
            </w:pPr>
            <w:r>
              <w:rPr>
                <w:rFonts w:ascii="Times New Roman"/>
                <w:sz w:val="18"/>
              </w:rPr>
              <w:t>14,575,375.7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 w:right="0"/>
              <w:jc w:val="center"/>
              <w:rPr>
                <w:rFonts w:ascii="Times New Roman" w:hAnsi="Times New Roman" w:cs="Times New Roman" w:eastAsia="Times New Roman" w:hint="default"/>
                <w:sz w:val="18"/>
                <w:szCs w:val="18"/>
              </w:rPr>
            </w:pPr>
            <w:r>
              <w:rPr>
                <w:rFonts w:ascii="Times New Roman"/>
                <w:sz w:val="18"/>
              </w:rPr>
              <w:t>10,642,767.3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5,145,052.03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4,500,942.12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Times New Roman" w:hAnsi="Times New Roman" w:cs="Times New Roman" w:eastAsia="Times New Roman" w:hint="default"/>
                <w:sz w:val="18"/>
                <w:szCs w:val="18"/>
              </w:rPr>
            </w:pPr>
            <w:r>
              <w:rPr>
                <w:rFonts w:ascii="Times New Roman"/>
                <w:sz w:val="18"/>
              </w:rPr>
              <w:t>10,856,497.5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9,938,675.53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4,488,566.51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7,479,485.27</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0"/>
        <w:gridCol w:w="1012"/>
        <w:gridCol w:w="1003"/>
        <w:gridCol w:w="1004"/>
        <w:gridCol w:w="1002"/>
        <w:gridCol w:w="1002"/>
      </w:tblGrid>
      <w:tr>
        <w:trPr>
          <w:trHeight w:val="362" w:hRule="exact"/>
        </w:trPr>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6611"/>
        <w:jc w:val="left"/>
      </w:pPr>
      <w:r>
        <w:rPr/>
        <w:t>说明经营季节性（或周期性）发生的原因及波动风险 无。</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6"/>
        <w:ind w:right="5830"/>
        <w:jc w:val="left"/>
      </w:pPr>
      <w:r>
        <w:rPr/>
        <w:t>软件与信息技术服务业</w:t>
      </w:r>
    </w:p>
    <w:p>
      <w:pPr>
        <w:pStyle w:val="BodyText"/>
        <w:spacing w:line="240" w:lineRule="auto" w:before="116"/>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808,340,200.11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543,430,234.63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32.77%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9.15%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9.66%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402,532,661.51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350,738,681.62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12.87%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405,807,538.60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192,691,553.01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128,712,357.48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85,897,563.99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33.26%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10.43%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-1.92%</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188,642,392.16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117,769,745.06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37.57%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23.28%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8.96%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8.21%</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332,551,158.65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213,281,751.99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35.86%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21.65%</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-6.43%</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88,791,216.94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72,451,923.07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-25.48%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-14.34%</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-10.61%</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73,791,240.59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55,741,091.05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49.28%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35.26%</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7.83%</w:t>
            </w:r>
            <w:r>
              <w:rPr>
                <w:rFonts w:ascii="Times New Roman"/>
                <w:sz w:val="18"/>
              </w:rPr>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402,532,661.51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374,050,333.01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2" w:right="0"/>
              <w:jc w:val="left"/>
              <w:rPr>
                <w:rFonts w:ascii="Times New Roman" w:hAnsi="Times New Roman" w:cs="Times New Roman" w:eastAsia="Times New Roman" w:hint="default"/>
                <w:sz w:val="18"/>
                <w:szCs w:val="18"/>
              </w:rPr>
            </w:pPr>
            <w:r>
              <w:rPr>
                <w:rFonts w:ascii="Times New Roman"/>
                <w:sz w:val="18"/>
              </w:rPr>
              <w:t>115,449,854.56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180,968,786.13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-36.20%</w:t>
            </w:r>
            <w:r>
              <w:rPr>
                <w:rFonts w:ascii="Times New Roman"/>
                <w:sz w:val="18"/>
              </w:rPr>
            </w:r>
          </w:p>
        </w:tc>
      </w:tr>
    </w:tbl>
    <w:p>
      <w:pPr>
        <w:pStyle w:val="BodyText"/>
        <w:spacing w:line="240" w:lineRule="auto" w:before="51"/>
        <w:ind w:right="223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5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本报告期未完工系统集成项目较上年同期减少，其库存相应减少。</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2239"/>
        <w:jc w:val="left"/>
      </w:pPr>
      <w:r>
        <w:rPr/>
        <w:t>软件与信息技术服务业</w:t>
      </w:r>
    </w:p>
    <w:p>
      <w:pPr>
        <w:pStyle w:val="BodyText"/>
        <w:spacing w:line="340" w:lineRule="auto" w:before="116"/>
        <w:ind w:right="182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6"/>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18"/>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338" w:lineRule="auto" w:before="44"/>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350,738,681.62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329,037,766.60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66.23%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6.60%</w:t>
            </w:r>
            <w:r>
              <w:rPr>
                <w:rFonts w:ascii="Times New Roman"/>
                <w:sz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软件产品及服务收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192,691,553.01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35.35%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166,540,453.31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33.52%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1,711,840.53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1,207,718.07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41.74%</w:t>
            </w:r>
            <w:r>
              <w:rPr>
                <w:rFonts w:ascii="Times New Roman"/>
                <w:sz w:val="18"/>
              </w:rPr>
            </w:r>
          </w:p>
        </w:tc>
      </w:tr>
    </w:tbl>
    <w:p>
      <w:pPr>
        <w:pStyle w:val="BodyText"/>
        <w:spacing w:line="240" w:lineRule="auto" w:before="51"/>
        <w:ind w:right="2239"/>
        <w:jc w:val="left"/>
      </w:pPr>
      <w:r>
        <w:rPr/>
        <w:t>行业分类</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外购设备及外购 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340,974,074.94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62.55%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327,428,573.53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65.91%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4.14%</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外包服务及其他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202,456,159.69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37.14%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168,149,646.38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33.85%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20.40%</w:t>
            </w:r>
            <w:r>
              <w:rPr>
                <w:rFonts w:ascii="Times New Roman"/>
                <w:sz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园区租赁行业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1,711,840.53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1,207,718.07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41.74%</w:t>
            </w:r>
            <w:r>
              <w:rPr>
                <w:rFonts w:ascii="Times New Roman"/>
                <w:sz w:val="18"/>
              </w:rPr>
            </w:r>
          </w:p>
        </w:tc>
      </w:tr>
    </w:tbl>
    <w:p>
      <w:pPr>
        <w:pStyle w:val="BodyText"/>
        <w:spacing w:line="240" w:lineRule="auto" w:before="51"/>
        <w:ind w:right="2239"/>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132,009,176.05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16.25%</w:t>
            </w:r>
            <w:r>
              <w:rPr>
                <w:rFonts w:ascii="Times New Roman"/>
                <w:sz w:val="18"/>
              </w:rPr>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w:t>
            </w:r>
          </w:p>
        </w:tc>
      </w:tr>
    </w:tbl>
    <w:p>
      <w:pPr>
        <w:pStyle w:val="BodyText"/>
        <w:spacing w:line="240" w:lineRule="auto" w:before="51"/>
        <w:ind w:right="223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40,411,698.11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26,524,984.06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23,786,754.72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21,869,486.00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19,416,253.17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2.39%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132,009,176.05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16.25%</w:t>
            </w:r>
            <w:r>
              <w:rPr>
                <w:rFonts w:ascii="Times New Roman"/>
                <w:sz w:val="18"/>
              </w:rPr>
            </w:r>
          </w:p>
        </w:tc>
      </w:tr>
    </w:tbl>
    <w:p>
      <w:pPr>
        <w:pStyle w:val="BodyText"/>
        <w:spacing w:line="240" w:lineRule="auto" w:before="51"/>
        <w:ind w:right="2239"/>
        <w:jc w:val="left"/>
      </w:pPr>
      <w:r>
        <w:rPr/>
        <w:t>主要客户其他情况说明</w:t>
      </w:r>
    </w:p>
    <w:p>
      <w:pPr>
        <w:pStyle w:val="BodyText"/>
        <w:spacing w:line="340" w:lineRule="auto" w:before="115"/>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237,505,420.99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47.58%</w:t>
            </w:r>
            <w:r>
              <w:rPr>
                <w:rFonts w:ascii="Times New Roman"/>
                <w:sz w:val="18"/>
              </w:rPr>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2239"/>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86,590,288.78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17.35%</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61,962,264.15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12.41%</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59,704,754.85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15,094,339.62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14,153,773.58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237,505,420.98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47.58%</w:t>
            </w:r>
            <w:r>
              <w:rPr>
                <w:rFonts w:ascii="Times New Roman"/>
                <w:sz w:val="18"/>
              </w:rPr>
            </w:r>
          </w:p>
        </w:tc>
      </w:tr>
    </w:tbl>
    <w:p>
      <w:pPr>
        <w:pStyle w:val="BodyText"/>
        <w:spacing w:line="240" w:lineRule="auto" w:before="51"/>
        <w:ind w:right="2239"/>
        <w:jc w:val="left"/>
      </w:pPr>
      <w:r>
        <w:rPr/>
        <w:t>主要供应商其他情况说明</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48,713,440.20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42,344,621.61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15.04%</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124,754,738.33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120,276,495.30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18,451,629.43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10,373,399.01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77.87%</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82"/>
              <w:jc w:val="left"/>
              <w:rPr>
                <w:rFonts w:ascii="宋体" w:hAnsi="宋体" w:cs="宋体" w:eastAsia="宋体" w:hint="default"/>
                <w:sz w:val="18"/>
                <w:szCs w:val="18"/>
              </w:rPr>
            </w:pPr>
            <w:r>
              <w:rPr>
                <w:rFonts w:ascii="宋体" w:hAnsi="宋体" w:cs="宋体" w:eastAsia="宋体" w:hint="default"/>
                <w:sz w:val="18"/>
                <w:szCs w:val="18"/>
              </w:rPr>
              <w:t>主要是报告期内短期借款利息支出 增加所致</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77,633,613.76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63,658,251.07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21.95%</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14"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报告期内研发支出主要用于榕基易贸商务平台、榕基移动视频、智慧城市便民服务指挥中心、榕基多元化协同纠纷综合</w:t>
      </w:r>
    </w:p>
    <w:p>
      <w:pPr>
        <w:pStyle w:val="BodyText"/>
        <w:spacing w:line="314" w:lineRule="auto" w:before="1"/>
        <w:ind w:right="0"/>
        <w:jc w:val="left"/>
      </w:pPr>
      <w:r>
        <w:rPr>
          <w:spacing w:val="-2"/>
        </w:rPr>
        <w:t>治理平台、榕基安全可靠分布式全文检索系统、榕基减刑假释智能办案平台、榕基减刑假释智能办案平台、星榕基物联网运</w:t>
      </w:r>
      <w:r>
        <w:rPr>
          <w:spacing w:val="-66"/>
        </w:rPr>
        <w:t> </w:t>
      </w:r>
      <w:r>
        <w:rPr>
          <w:spacing w:val="-66"/>
        </w:rPr>
      </w:r>
      <w:r>
        <w:rPr>
          <w:spacing w:val="-1"/>
        </w:rPr>
        <w:t>营支撑平台</w:t>
      </w:r>
      <w:r>
        <w:rPr>
          <w:rFonts w:ascii="Times New Roman" w:hAnsi="Times New Roman" w:cs="Times New Roman" w:eastAsia="Times New Roman" w:hint="default"/>
          <w:spacing w:val="-1"/>
        </w:rPr>
        <w:t>V1.0</w:t>
      </w:r>
      <w:r>
        <w:rPr>
          <w:spacing w:val="-1"/>
        </w:rPr>
        <w:t>、星榕基智慧校园移动应用软件</w:t>
      </w:r>
      <w:r>
        <w:rPr>
          <w:rFonts w:ascii="Times New Roman" w:hAnsi="Times New Roman" w:cs="Times New Roman" w:eastAsia="Times New Roman" w:hint="default"/>
          <w:spacing w:val="-1"/>
        </w:rPr>
        <w:t>V1.0</w:t>
      </w:r>
      <w:r>
        <w:rPr>
          <w:spacing w:val="-1"/>
        </w:rPr>
        <w:t>、一种基于</w:t>
      </w:r>
      <w:r>
        <w:rPr>
          <w:rFonts w:ascii="Times New Roman" w:hAnsi="Times New Roman" w:cs="Times New Roman" w:eastAsia="Times New Roman" w:hint="default"/>
          <w:spacing w:val="-1"/>
        </w:rPr>
        <w:t>LoRa</w:t>
      </w:r>
      <w:r>
        <w:rPr>
          <w:spacing w:val="-1"/>
        </w:rPr>
        <w:t>通信的物联网管理建筑、检验检疫数据分析展现平台、</w:t>
      </w:r>
      <w:r>
        <w:rPr>
          <w:spacing w:val="-60"/>
        </w:rPr>
        <w:t> </w:t>
      </w:r>
      <w:r>
        <w:rPr>
          <w:spacing w:val="-60"/>
        </w:rPr>
      </w:r>
      <w:r>
        <w:rPr>
          <w:spacing w:val="-2"/>
        </w:rPr>
        <w:t>榕基核与辐射环境安全监管平台、干部信息综合管理系统、榕基安全可靠电子政务应用平台、中小企业公共服务平台、安全</w:t>
      </w:r>
      <w:r>
        <w:rPr>
          <w:spacing w:val="-66"/>
        </w:rPr>
        <w:t> </w:t>
      </w:r>
      <w:r>
        <w:rPr>
          <w:spacing w:val="-66"/>
        </w:rPr>
      </w:r>
      <w:r>
        <w:rPr>
          <w:spacing w:val="-2"/>
        </w:rPr>
        <w:t>可靠政务信息采编系统、星榕基家校互动移动应用软件、星榕基中小企业信息化公共服务平台、星榕基家校互动移动应用软</w:t>
      </w:r>
      <w:r>
        <w:rPr>
          <w:spacing w:val="-66"/>
        </w:rPr>
        <w:t> </w:t>
      </w:r>
      <w:r>
        <w:rPr>
          <w:spacing w:val="-66"/>
        </w:rPr>
      </w:r>
      <w:r>
        <w:rPr/>
        <w:t>件等项目的研发，研发进展等情况详见开发支出。</w:t>
      </w:r>
    </w:p>
    <w:p>
      <w:pPr>
        <w:pStyle w:val="BodyText"/>
        <w:spacing w:line="240" w:lineRule="auto" w:before="61"/>
        <w:ind w:right="2239"/>
        <w:jc w:val="left"/>
      </w:pPr>
      <w:r>
        <w:rPr/>
        <w:t>公司研发投入情况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43.66%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43.60%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104,240,997.88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111,057,384.47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-6.14%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12.83%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14.97%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26,607,384.12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47,399,133.40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-43.87%</w:t>
            </w:r>
            <w:r>
              <w:rPr>
                <w:rFonts w:ascii="Times New Roman"/>
                <w:sz w:val="18"/>
              </w:rPr>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25.52%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42.68%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18"/>
        <w:jc w:val="left"/>
      </w:pPr>
      <w:r>
        <w:rPr/>
        <w:t>研发投入总额占营业收入的比重较上年发生显著变化的原因</w:t>
      </w:r>
    </w:p>
    <w:p>
      <w:pPr>
        <w:pStyle w:val="BodyText"/>
        <w:spacing w:line="340" w:lineRule="auto" w:before="115"/>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1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本项目将依托榕基软件公司在检验检疫行业十六年积</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累、领先优势和服务于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万多家进出口外贸企业的资</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源及经验，吸取公司已有的大通关系统应用运维和国</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Times New Roman" w:hAnsi="Times New Roman" w:cs="Times New Roman" w:eastAsia="Times New Roman" w:hint="default"/>
                <w:sz w:val="18"/>
                <w:szCs w:val="18"/>
              </w:rPr>
            </w:pPr>
            <w:r>
              <w:rPr>
                <w:rFonts w:ascii="Times New Roman"/>
                <w:sz w:val="18"/>
              </w:rPr>
              <w:t>5,216,734.84</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家质检总局三大平台建设经验，以公司目前的质检企 业端软件营销网络和服务体系为基础进行扩建，建设</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商务平台项目，完成</w:t>
            </w:r>
            <w:r>
              <w:rPr>
                <w:rFonts w:ascii="Times New Roman" w:hAnsi="Times New Roman" w:cs="Times New Roman" w:eastAsia="Times New Roman" w:hint="default"/>
                <w:sz w:val="18"/>
                <w:szCs w:val="18"/>
              </w:rPr>
              <w:t>”</w:t>
            </w:r>
            <w:r>
              <w:rPr>
                <w:rFonts w:ascii="宋体" w:hAnsi="宋体" w:cs="宋体" w:eastAsia="宋体" w:hint="default"/>
                <w:sz w:val="18"/>
                <w:szCs w:val="18"/>
              </w:rPr>
              <w:t>榕基易贸</w:t>
            </w:r>
            <w:r>
              <w:rPr>
                <w:rFonts w:ascii="Times New Roman" w:hAnsi="Times New Roman" w:cs="Times New Roman" w:eastAsia="Times New Roman" w:hint="default"/>
                <w:sz w:val="18"/>
                <w:szCs w:val="18"/>
              </w:rPr>
              <w:t>”</w:t>
            </w:r>
            <w:r>
              <w:rPr>
                <w:rFonts w:ascii="宋体" w:hAnsi="宋体" w:cs="宋体" w:eastAsia="宋体" w:hint="default"/>
                <w:sz w:val="18"/>
                <w:szCs w:val="18"/>
              </w:rPr>
              <w:t>企业端软件、</w:t>
            </w:r>
            <w:r>
              <w:rPr>
                <w:rFonts w:ascii="Times New Roman" w:hAnsi="Times New Roman" w:cs="Times New Roman" w:eastAsia="Times New Roman" w:hint="default"/>
                <w:sz w:val="18"/>
                <w:szCs w:val="18"/>
              </w:rPr>
              <w:t>”</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榕基易贸</w:t>
            </w:r>
            <w:r>
              <w:rPr>
                <w:rFonts w:ascii="Times New Roman" w:hAnsi="Times New Roman" w:cs="Times New Roman" w:eastAsia="Times New Roman" w:hint="default"/>
                <w:sz w:val="18"/>
                <w:szCs w:val="18"/>
              </w:rPr>
              <w:t>”</w:t>
            </w:r>
            <w:r>
              <w:rPr>
                <w:rFonts w:ascii="宋体" w:hAnsi="宋体" w:cs="宋体" w:eastAsia="宋体" w:hint="default"/>
                <w:sz w:val="18"/>
                <w:szCs w:val="18"/>
              </w:rPr>
              <w:t>服务管理平台、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榕基易贸</w:t>
            </w:r>
            <w:r>
              <w:rPr>
                <w:rFonts w:ascii="Times New Roman" w:hAnsi="Times New Roman" w:cs="Times New Roman" w:eastAsia="Times New Roman" w:hint="default"/>
                <w:sz w:val="18"/>
                <w:szCs w:val="18"/>
              </w:rPr>
              <w:t>”</w:t>
            </w:r>
            <w:r>
              <w:rPr>
                <w:rFonts w:ascii="宋体" w:hAnsi="宋体" w:cs="宋体" w:eastAsia="宋体" w:hint="default"/>
                <w:sz w:val="18"/>
                <w:szCs w:val="18"/>
              </w:rPr>
              <w:t>企业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客户</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管理和</w:t>
            </w:r>
            <w:r>
              <w:rPr>
                <w:rFonts w:ascii="Times New Roman" w:hAnsi="Times New Roman" w:cs="Times New Roman" w:eastAsia="Times New Roman" w:hint="default"/>
                <w:sz w:val="18"/>
                <w:szCs w:val="18"/>
              </w:rPr>
              <w:t>”</w:t>
            </w:r>
            <w:r>
              <w:rPr>
                <w:rFonts w:ascii="宋体" w:hAnsi="宋体" w:cs="宋体" w:eastAsia="宋体" w:hint="default"/>
                <w:sz w:val="18"/>
                <w:szCs w:val="18"/>
              </w:rPr>
              <w:t>榕基易贸</w:t>
            </w:r>
            <w:r>
              <w:rPr>
                <w:rFonts w:ascii="Times New Roman" w:hAnsi="Times New Roman" w:cs="Times New Roman" w:eastAsia="Times New Roman" w:hint="default"/>
                <w:sz w:val="18"/>
                <w:szCs w:val="18"/>
              </w:rPr>
              <w:t>”</w:t>
            </w:r>
            <w:r>
              <w:rPr>
                <w:rFonts w:ascii="宋体" w:hAnsi="宋体" w:cs="宋体" w:eastAsia="宋体" w:hint="default"/>
                <w:sz w:val="18"/>
                <w:szCs w:val="18"/>
              </w:rPr>
              <w:t>企业移动应用平台的软件研发。</w:t>
            </w:r>
          </w:p>
        </w:tc>
        <w:tc>
          <w:tcPr>
            <w:tcW w:w="1204"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32.960602pt;margin-top:217.380005pt;width:101.9pt;height:128.85pt;mso-position-horizontal-relative:page;mso-position-vertical-relative:page;z-index:-1105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240" w:lineRule="auto"/>
                    <w:ind w:left="0" w:right="0"/>
                    <w:jc w:val="left"/>
                  </w:pPr>
                  <w:r>
                    <w:rPr/>
                    <w:t>民有所呼，</w:t>
                  </w:r>
                </w:p>
              </w:txbxContent>
            </v:textbox>
            <w10:wrap type="none"/>
          </v:shape>
        </w:pict>
      </w:r>
      <w:r>
        <w:rPr/>
        <w:pict>
          <v:shape style="position:absolute;margin-left:432.960602pt;margin-top:346.679993pt;width:101.9pt;height:82.05pt;mso-position-horizontal-relative:page;mso-position-vertical-relative:page;z-index:-1105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以及公安、</w:t>
                  </w:r>
                </w:p>
              </w:txbxContent>
            </v:textbox>
            <w10:wrap type="none"/>
          </v:shape>
        </w:pict>
      </w:r>
      <w:r>
        <w:rPr/>
        <w:pict>
          <v:shape style="position:absolute;margin-left:378.960602pt;margin-top:672.179993pt;width:155.9pt;height:95.65pt;mso-position-horizontal-relative:page;mso-position-vertical-relative:page;z-index:-1105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left="0" w:right="0"/>
                    <w:jc w:val="left"/>
                  </w:pPr>
                  <w:r>
                    <w:rPr/>
                    <w:t>实现通讯的共享与交换；</w:t>
                  </w:r>
                </w:p>
              </w:txbxContent>
            </v:textbox>
            <w10:wrap type="none"/>
          </v:shape>
        </w:pict>
      </w:r>
      <w:r>
        <w:rPr/>
        <w:pict>
          <v:group style="position:absolute;margin-left:475.140015pt;margin-top:217.380005pt;width:59.7pt;height:211.35pt;mso-position-horizontal-relative:page;mso-position-vertical-relative:page;z-index:-1105648" coordorigin="9503,4348" coordsize="1194,4227">
            <v:group style="position:absolute;left:9503;top:4348;width:1194;height:2577" coordorigin="9503,4348" coordsize="1194,2577">
              <v:shape style="position:absolute;left:9503;top:4348;width:1194;height:2577" coordorigin="9503,4348" coordsize="1194,2577" path="m9503,6924l10697,6924,10697,4348,9503,4348,9503,6924xe" filled="true" fillcolor="#ffffff" stroked="false">
                <v:path arrowok="t"/>
                <v:fill type="solid"/>
              </v:shape>
            </v:group>
            <v:group style="position:absolute;left:9526;top:5440;width:1149;height:393" coordorigin="9526,5440" coordsize="1149,393">
              <v:shape style="position:absolute;left:9526;top:5440;width:1149;height:393" coordorigin="9526,5440" coordsize="1149,393" path="m9526,5832l10674,5832,10674,5440,9526,5440,9526,5832xe" filled="true" fillcolor="#ffffff" stroked="false">
                <v:path arrowok="t"/>
                <v:fill type="solid"/>
              </v:shape>
            </v:group>
            <v:group style="position:absolute;left:9503;top:6934;width:1194;height:1641" coordorigin="9503,6934" coordsize="1194,1641">
              <v:shape style="position:absolute;left:9503;top:6934;width:1194;height:1641" coordorigin="9503,6934" coordsize="1194,1641" path="m9503,8574l10697,8574,10697,6934,9503,6934,9503,8574xe" filled="true" fillcolor="#ffffff" stroked="false">
                <v:path arrowok="t"/>
                <v:fill type="solid"/>
              </v:shape>
            </v:group>
            <v:group style="position:absolute;left:9526;top:7558;width:1149;height:393" coordorigin="9526,7558" coordsize="1149,393">
              <v:shape style="position:absolute;left:9526;top:7558;width:1149;height:393" coordorigin="9526,7558" coordsize="1149,393" path="m9526,7950l10674,7950,10674,7558,9526,7558,9526,7950xe" filled="true" fillcolor="#ffffff" stroked="false">
                <v:path arrowok="t"/>
                <v:fill type="solid"/>
              </v:shape>
            </v:group>
            <w10:wrap type="none"/>
          </v:group>
        </w:pict>
      </w:r>
      <w:r>
        <w:rPr/>
        <w:pict>
          <v:group style="position:absolute;margin-left:475.140015pt;margin-top:672.179993pt;width:59.7pt;height:95.65pt;mso-position-horizontal-relative:page;mso-position-vertical-relative:page;z-index:-1105624" coordorigin="9503,13444" coordsize="1194,1913">
            <v:group style="position:absolute;left:9503;top:13444;width:1194;height:1913" coordorigin="9503,13444" coordsize="1194,1913">
              <v:shape style="position:absolute;left:9503;top:13444;width:1194;height:1913" coordorigin="9503,13444" coordsize="1194,1913" path="m9503,15356l10697,15356,10697,13444,9503,13444,9503,15356xe" filled="true" fillcolor="#ffffff" stroked="false">
                <v:path arrowok="t"/>
                <v:fill type="solid"/>
              </v:shape>
            </v:group>
            <v:group style="position:absolute;left:9526;top:14204;width:1149;height:392" coordorigin="9526,14204" coordsize="1149,392">
              <v:shape style="position:absolute;left:9526;top:14204;width:1149;height:392" coordorigin="9526,14204" coordsize="1149,392" path="m9526,14596l10674,14596,10674,14204,9526,14204,9526,14596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本项目针对我国执法部门在执法活动中的存在具体问</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题和难点，分析、梳理并设计符合业务特点的解决方</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案，利用手机终端传输、流媒体等技术建成了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榕基移</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动视频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平台，可以实现执法过程的统一管理、统一协</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1,146,699.57</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调、统一指挥，提高工作效率、方便群众，成为执法</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过程监控和指挥管理的有力补充。榕基移动视频分为</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执行端和管理端，执行端为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，可应用于各种</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终端设备和专业执法装备；管理端为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架构</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应用，可应用于各种操作系统。</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本项目是一项将传统政府公共服务管理与信息技术紧</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密结合体制创新的系统工程，是一项需要不断投入人</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力、物力长期建设的系统工程。在互联网上构建了热</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智慧城市便民服务指挥中心</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2,765,939.67</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线电话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12345 </w:t>
            </w:r>
            <w:r>
              <w:rPr>
                <w:rFonts w:ascii="宋体" w:hAnsi="宋体" w:cs="宋体" w:eastAsia="宋体" w:hint="default"/>
                <w:sz w:val="18"/>
                <w:szCs w:val="18"/>
              </w:rPr>
              <w:t>嵌入式的政民互动平台，依托互联网， 叠加网站、电话、</w:t>
            </w:r>
            <w:r>
              <w:rPr>
                <w:rFonts w:ascii="Times New Roman" w:hAnsi="Times New Roman" w:cs="Times New Roman" w:eastAsia="Times New Roman" w:hint="default"/>
                <w:sz w:val="18"/>
                <w:szCs w:val="18"/>
              </w:rPr>
              <w:t>EMAIL</w:t>
            </w:r>
            <w:r>
              <w:rPr>
                <w:rFonts w:ascii="宋体" w:hAnsi="宋体" w:cs="宋体" w:eastAsia="宋体" w:hint="default"/>
                <w:sz w:val="18"/>
                <w:szCs w:val="18"/>
              </w:rPr>
              <w:t>、短信、手机、微信等各种</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方式和信息技术手段，为市民提供了良好的政府公共</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服务，拓展政府与广大人民群众沟通渠道，</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我有所应，以网络构建社会和谐。</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本项目是基于大数据技术的司法信息汇聚、分析、展</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榕基多元化协同纠纷综合治 理平台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2,178,940.42</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8"/>
              <w:jc w:val="left"/>
              <w:rPr>
                <w:rFonts w:ascii="宋体" w:hAnsi="宋体" w:cs="宋体" w:eastAsia="宋体" w:hint="default"/>
                <w:sz w:val="18"/>
                <w:szCs w:val="18"/>
              </w:rPr>
            </w:pPr>
            <w:r>
              <w:rPr>
                <w:rFonts w:ascii="宋体" w:hAnsi="宋体" w:cs="宋体" w:eastAsia="宋体" w:hint="default"/>
                <w:sz w:val="18"/>
                <w:szCs w:val="18"/>
              </w:rPr>
              <w:t>示平台。本平台对接了法院各类业务系统， 政法委等外部单位数据，结合文书生成技术、文字识 别等技术，为用户提供全方位的司法信息展示，也充</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分体现了法院</w:t>
            </w:r>
            <w:r>
              <w:rPr>
                <w:rFonts w:ascii="Times New Roman" w:hAnsi="Times New Roman" w:cs="Times New Roman" w:eastAsia="Times New Roman" w:hint="default"/>
                <w:sz w:val="18"/>
                <w:szCs w:val="18"/>
              </w:rPr>
              <w:t>“</w:t>
            </w:r>
            <w:r>
              <w:rPr>
                <w:rFonts w:ascii="宋体" w:hAnsi="宋体" w:cs="宋体" w:eastAsia="宋体" w:hint="default"/>
                <w:sz w:val="18"/>
                <w:szCs w:val="18"/>
              </w:rPr>
              <w:t>分调裁</w:t>
            </w:r>
            <w:r>
              <w:rPr>
                <w:rFonts w:ascii="Times New Roman" w:hAnsi="Times New Roman" w:cs="Times New Roman" w:eastAsia="Times New Roman" w:hint="default"/>
                <w:sz w:val="18"/>
                <w:szCs w:val="18"/>
              </w:rPr>
              <w:t>”</w:t>
            </w:r>
            <w:r>
              <w:rPr>
                <w:rFonts w:ascii="宋体" w:hAnsi="宋体" w:cs="宋体" w:eastAsia="宋体" w:hint="default"/>
                <w:sz w:val="18"/>
                <w:szCs w:val="18"/>
              </w:rPr>
              <w:t>机制改革的建设成效。</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本项目为满足海量数据高效、精确检索和全文检索需</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要，基于全国产基础软硬件平台实现安全可靠分布式</w:t>
            </w:r>
          </w:p>
        </w:tc>
        <w:tc>
          <w:tcPr>
            <w:tcW w:w="120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榕基安全可靠分布式全文检 索系统</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2,026,474.77</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全文检索系统，为安全可靠电子政务系统提供配套服 务，也可以单独与其他应用系统集成使用。本产品提 供灵活的信息查询和海量数据全文检索功能，支持公</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文处理相关功能模块的全文检索服务，也提供具有方</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便的用户接口、面向</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z w:val="18"/>
                <w:szCs w:val="18"/>
              </w:rPr>
              <w:t> </w:t>
            </w:r>
            <w:r>
              <w:rPr>
                <w:rFonts w:ascii="宋体" w:hAnsi="宋体" w:cs="宋体" w:eastAsia="宋体" w:hint="default"/>
                <w:sz w:val="18"/>
                <w:szCs w:val="18"/>
              </w:rPr>
              <w:t>的二次开发接口。</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本项目是在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日，中央政法委员会印发</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《关于严格规范减刑、假释、暂予监外执行切实防止</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司法腐败的意见</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对减刑</w:t>
            </w:r>
            <w:r>
              <w:rPr>
                <w:rFonts w:ascii="宋体" w:hAnsi="宋体" w:cs="宋体" w:eastAsia="宋体" w:hint="default"/>
                <w:spacing w:val="-17"/>
                <w:sz w:val="18"/>
                <w:szCs w:val="18"/>
              </w:rPr>
              <w:t>、</w:t>
            </w:r>
            <w:r>
              <w:rPr>
                <w:rFonts w:ascii="宋体" w:hAnsi="宋体" w:cs="宋体" w:eastAsia="宋体" w:hint="default"/>
                <w:sz w:val="18"/>
                <w:szCs w:val="18"/>
              </w:rPr>
              <w:t>假释网上协同办案平台的</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榕基减刑假释智能办案平台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1,998,184.15</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建设提出了明确要求的背景下，为了充分发挥网上办 案的优势，减轻法院办案人员的工作量，提升办案质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效。积极推动与刑罚执行机关和人民检察院的网上信</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息共享、数据交换和协同办案，让数据跑路，实现执</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法、司法有效衔接。</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项目是基于统一的物联网业务运营支撑平台的解决方</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案建设的物联网运营支撑平台。通过对物联网管理对</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星榕基物联网运营支撑平台</w:t>
            </w: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V1.0</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1,055,924.59</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8"/>
              <w:jc w:val="left"/>
              <w:rPr>
                <w:rFonts w:ascii="宋体" w:hAnsi="宋体" w:cs="宋体" w:eastAsia="宋体" w:hint="default"/>
                <w:sz w:val="18"/>
                <w:szCs w:val="18"/>
              </w:rPr>
            </w:pPr>
            <w:r>
              <w:rPr>
                <w:rFonts w:ascii="宋体" w:hAnsi="宋体" w:cs="宋体" w:eastAsia="宋体" w:hint="default"/>
                <w:sz w:val="18"/>
                <w:szCs w:val="18"/>
              </w:rPr>
              <w:t>象和感知设备进行统一的编码管理，保证编码的唯一 性，实现物联管理对象、感知设备的识别和区别；通</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过对感知设备和感知信息的统一接入，以及对信息资</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源的目录定制、管理和发布，</w:t>
            </w:r>
          </w:p>
        </w:tc>
        <w:tc>
          <w:tcPr>
            <w:tcW w:w="12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959717pt;margin-top:344.700012pt;width:209.9pt;height:128.85pt;mso-position-horizontal-relative:page;mso-position-vertical-relative:page;z-index:-1105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对于仓库等比较复杂环境有绝对优势。</w:t>
                  </w:r>
                </w:p>
              </w:txbxContent>
            </v:textbox>
            <w10:wrap type="none"/>
          </v:shape>
        </w:pict>
      </w:r>
      <w:r>
        <w:rPr/>
        <w:pict>
          <v:shape style="position:absolute;margin-left:378.959717pt;margin-top:587.700012pt;width:155.9pt;height:144.450pt;mso-position-horizontal-relative:page;mso-position-vertical-relative:page;z-index:-1105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与辐射安全平台化管理，</w:t>
                  </w:r>
                </w:p>
              </w:txbxContent>
            </v:textbox>
            <w10:wrap type="none"/>
          </v:shape>
        </w:pict>
      </w:r>
      <w:r>
        <w:rPr/>
        <w:pict>
          <v:group style="position:absolute;margin-left:475.140015pt;margin-top:344.700012pt;width:59.7pt;height:128.85pt;mso-position-horizontal-relative:page;mso-position-vertical-relative:page;z-index:-1105552" coordorigin="9503,6894" coordsize="1194,2577">
            <v:group style="position:absolute;left:9503;top:6894;width:1194;height:2577" coordorigin="9503,6894" coordsize="1194,2577">
              <v:shape style="position:absolute;left:9503;top:6894;width:1194;height:2577" coordorigin="9503,6894" coordsize="1194,2577" path="m9503,9470l10697,9470,10697,6894,9503,6894,9503,9470xe" filled="true" fillcolor="#ffffff" stroked="false">
                <v:path arrowok="t"/>
                <v:fill type="solid"/>
              </v:shape>
            </v:group>
            <v:group style="position:absolute;left:9526;top:7986;width:1149;height:393" coordorigin="9526,7986" coordsize="1149,393">
              <v:shape style="position:absolute;left:9526;top:7986;width:1149;height:393" coordorigin="9526,7986" coordsize="1149,393" path="m9526,8378l10674,8378,10674,7986,9526,7986,9526,8378xe" filled="true" fillcolor="#ffffff" stroked="false">
                <v:path arrowok="t"/>
                <v:fill type="solid"/>
              </v:shape>
            </v:group>
            <w10:wrap type="none"/>
          </v:group>
        </w:pict>
      </w:r>
      <w:r>
        <w:rPr/>
        <w:pict>
          <v:group style="position:absolute;margin-left:475.140015pt;margin-top:587.700012pt;width:59.7pt;height:144.450pt;mso-position-horizontal-relative:page;mso-position-vertical-relative:page;z-index:-1105528" coordorigin="9503,11754" coordsize="1194,2889">
            <v:group style="position:absolute;left:9503;top:11754;width:1194;height:2889" coordorigin="9503,11754" coordsize="1194,2889">
              <v:shape style="position:absolute;left:9503;top:11754;width:1194;height:2889" coordorigin="9503,11754" coordsize="1194,2889" path="m9503,14642l10697,14642,10697,11754,9503,11754,9503,14642xe" filled="true" fillcolor="#ffffff" stroked="false">
                <v:path arrowok="t"/>
                <v:fill type="solid"/>
              </v:shape>
            </v:group>
            <v:group style="position:absolute;left:9526;top:13002;width:1149;height:393" coordorigin="9526,13002" coordsize="1149,393">
              <v:shape style="position:absolute;left:9526;top:13002;width:1149;height:393" coordorigin="9526,13002" coordsize="1149,393" path="m9526,13394l10674,13394,10674,13002,9526,13002,9526,13394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19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同时，提供空间化、可视化的展示方式，为用户提供 事件的全景信息，更加直观的掌控全局，平台顶层架 构分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IAAS</w:t>
            </w:r>
            <w:r>
              <w:rPr>
                <w:rFonts w:ascii="宋体" w:hAnsi="宋体" w:cs="宋体" w:eastAsia="宋体" w:hint="default"/>
                <w:sz w:val="18"/>
                <w:szCs w:val="18"/>
              </w:rPr>
              <w:t>、</w:t>
            </w:r>
            <w:r>
              <w:rPr>
                <w:rFonts w:ascii="Times New Roman" w:hAnsi="Times New Roman" w:cs="Times New Roman" w:eastAsia="Times New Roman" w:hint="default"/>
                <w:sz w:val="18"/>
                <w:szCs w:val="18"/>
              </w:rPr>
              <w:t>PAAS</w:t>
            </w:r>
            <w:r>
              <w:rPr>
                <w:rFonts w:ascii="宋体" w:hAnsi="宋体" w:cs="宋体" w:eastAsia="宋体" w:hint="default"/>
                <w:sz w:val="18"/>
                <w:szCs w:val="18"/>
              </w:rPr>
              <w:t>、</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三层架构；平台基于云计 算技术搭建，通过设备接入平台对接入设备进行认证 和授权、安全管理、多协议适配；连接管理平台实现 基于物联网终端设备的服务调用以及应用复用。</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星榕基智慧校园移动应用软 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580,857.09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8"/>
              <w:jc w:val="left"/>
              <w:rPr>
                <w:rFonts w:ascii="宋体" w:hAnsi="宋体" w:cs="宋体" w:eastAsia="宋体" w:hint="default"/>
                <w:sz w:val="18"/>
                <w:szCs w:val="18"/>
              </w:rPr>
            </w:pPr>
            <w:r>
              <w:rPr>
                <w:rFonts w:ascii="宋体" w:hAnsi="宋体" w:cs="宋体" w:eastAsia="宋体" w:hint="default"/>
                <w:sz w:val="18"/>
                <w:szCs w:val="18"/>
              </w:rPr>
              <w:t>该项目是一套应用于教育系统的高科技信息互动平 台，它是集现代计算机信息技术、网络技术与无线通 信技术于一体，实现家庭与学校的互动、快捷、实时 沟通的教育网络信息平台。是一套可以通过手机短信 互动查询的方式，有效解决老师和家长之间沟通，帮 助孩子健康成长的平台。利用互联网与物联网技术实 现深度互联；面向用户提供一站式、个性化、随时随 地的场景化服务；通过移动端实现信息的全面感知， 改变以往人找信息的问题；同时利用智慧校园的技术 运用到教学、后勤等业务领域；最后面向管理提供大 数据决策支撑服务。</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8"/>
              <w:ind w:left="22" w:right="67"/>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通信的物联网 管理建筑</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245,042.04</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该项目采用</w:t>
            </w:r>
            <w:r>
              <w:rPr>
                <w:rFonts w:ascii="宋体" w:hAnsi="宋体" w:cs="宋体" w:eastAsia="宋体" w:hint="default"/>
                <w:spacing w:val="-44"/>
                <w:sz w:val="18"/>
                <w:szCs w:val="18"/>
              </w:rPr>
              <w:t> </w:t>
            </w:r>
            <w:r>
              <w:rPr>
                <w:rFonts w:ascii="Times New Roman" w:hAnsi="Times New Roman" w:cs="Times New Roman" w:eastAsia="Times New Roman" w:hint="default"/>
                <w:w w:val="100"/>
                <w:sz w:val="18"/>
                <w:szCs w:val="18"/>
              </w:rPr>
              <w:t>LoRa</w:t>
            </w:r>
            <w:r>
              <w:rPr>
                <w:rFonts w:ascii="Times New Roman" w:hAnsi="Times New Roman" w:cs="Times New Roman" w:eastAsia="Times New Roman" w:hint="default"/>
                <w:spacing w:val="1"/>
                <w:w w:val="100"/>
                <w:sz w:val="18"/>
                <w:szCs w:val="18"/>
              </w:rPr>
              <w:t> </w:t>
            </w:r>
            <w:r>
              <w:rPr>
                <w:rFonts w:ascii="宋体" w:hAnsi="宋体" w:cs="宋体" w:eastAsia="宋体" w:hint="default"/>
                <w:spacing w:val="-5"/>
                <w:sz w:val="18"/>
                <w:szCs w:val="18"/>
              </w:rPr>
              <w:t>远距离无线传输方案技术，具有传输</w:t>
            </w:r>
            <w:r>
              <w:rPr>
                <w:rFonts w:ascii="宋体" w:hAnsi="宋体" w:cs="宋体" w:eastAsia="宋体" w:hint="default"/>
                <w:sz w:val="18"/>
                <w:szCs w:val="18"/>
              </w:rPr>
              <w:t> 距离远，穿透能力强，节点接入量大，功耗低，抗干 扰性强等特点。</w:t>
            </w:r>
          </w:p>
          <w:p>
            <w:pPr>
              <w:pStyle w:val="TableParagraph"/>
              <w:spacing w:line="309" w:lineRule="auto" w:before="24"/>
              <w:ind w:left="22" w:right="20"/>
              <w:jc w:val="both"/>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40"/>
                <w:sz w:val="18"/>
                <w:szCs w:val="18"/>
              </w:rPr>
              <w:t> </w:t>
            </w:r>
            <w:r>
              <w:rPr>
                <w:rFonts w:ascii="Times New Roman" w:hAnsi="Times New Roman" w:cs="Times New Roman" w:eastAsia="Times New Roman" w:hint="default"/>
                <w:spacing w:val="-1"/>
                <w:w w:val="99"/>
                <w:sz w:val="18"/>
                <w:szCs w:val="18"/>
              </w:rPr>
              <w:t>RFID</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5"/>
                <w:sz w:val="18"/>
                <w:szCs w:val="18"/>
              </w:rPr>
              <w:t>作为一种先进的自动识别技术，可以通过无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线电讯号识别特定目标并读写相关数据，而无需识别 </w:t>
            </w:r>
            <w:r>
              <w:rPr>
                <w:rFonts w:ascii="宋体" w:hAnsi="宋体" w:cs="宋体" w:eastAsia="宋体" w:hint="default"/>
                <w:spacing w:val="-2"/>
                <w:sz w:val="18"/>
                <w:szCs w:val="18"/>
              </w:rPr>
              <w:t>系统与特定目标之间建立机械或光学接触。</w:t>
            </w:r>
            <w:r>
              <w:rPr>
                <w:rFonts w:ascii="Times New Roman" w:hAnsi="Times New Roman" w:cs="Times New Roman" w:eastAsia="Times New Roman" w:hint="default"/>
                <w:spacing w:val="-2"/>
                <w:sz w:val="18"/>
                <w:szCs w:val="18"/>
              </w:rPr>
              <w:t>RFID</w:t>
            </w:r>
            <w:r>
              <w:rPr>
                <w:rFonts w:ascii="Times New Roman" w:hAnsi="Times New Roman" w:cs="Times New Roman" w:eastAsia="Times New Roman" w:hint="default"/>
                <w:sz w:val="18"/>
                <w:szCs w:val="18"/>
              </w:rPr>
              <w:t> </w:t>
            </w:r>
            <w:r>
              <w:rPr>
                <w:rFonts w:ascii="宋体" w:hAnsi="宋体" w:cs="宋体" w:eastAsia="宋体" w:hint="default"/>
                <w:sz w:val="18"/>
                <w:szCs w:val="18"/>
              </w:rPr>
              <w:t>技术 这种远距离识别特性，可以应用于仓库管理，实现远 程智能盘点。</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检验检疫数据分析展现平台</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4,626,044.96</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榕基检验检疫数据分析展现平台是基于中国电子检验 </w:t>
            </w:r>
            <w:r>
              <w:rPr>
                <w:rFonts w:ascii="宋体" w:hAnsi="宋体" w:cs="宋体" w:eastAsia="宋体" w:hint="default"/>
                <w:spacing w:val="-2"/>
                <w:sz w:val="18"/>
                <w:szCs w:val="18"/>
              </w:rPr>
              <w:t>检疫（</w:t>
            </w:r>
            <w:r>
              <w:rPr>
                <w:rFonts w:ascii="Times New Roman" w:hAnsi="Times New Roman" w:cs="Times New Roman" w:eastAsia="Times New Roman" w:hint="default"/>
                <w:spacing w:val="-2"/>
                <w:sz w:val="18"/>
                <w:szCs w:val="18"/>
              </w:rPr>
              <w:t>e-CIQ</w:t>
            </w:r>
            <w:r>
              <w:rPr>
                <w:rFonts w:ascii="宋体" w:hAnsi="宋体" w:cs="宋体" w:eastAsia="宋体" w:hint="default"/>
                <w:spacing w:val="-2"/>
                <w:sz w:val="18"/>
                <w:szCs w:val="18"/>
              </w:rPr>
              <w:t>）系统所产生的实时业务数据展示和统计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的可视化分析系统，包括业务监控、业务统计、工作 统计、业务报表、业务趋势分析和系统管理六大功能 模块，可供出入境检验检疫局领导和业务人员及时了 解掌握本局管辖的检验检疫业务情况，能够为领导决 策、业务统计、业务分析和工作汇报等提供帮助。</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2" w:right="197"/>
              <w:jc w:val="left"/>
              <w:rPr>
                <w:rFonts w:ascii="宋体" w:hAnsi="宋体" w:cs="宋体" w:eastAsia="宋体" w:hint="default"/>
                <w:sz w:val="18"/>
                <w:szCs w:val="18"/>
              </w:rPr>
            </w:pPr>
            <w:r>
              <w:rPr>
                <w:rFonts w:ascii="宋体" w:hAnsi="宋体" w:cs="宋体" w:eastAsia="宋体" w:hint="default"/>
                <w:sz w:val="18"/>
                <w:szCs w:val="18"/>
              </w:rPr>
              <w:t>榕基核与辐射环境安全监管 平台</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2,107,934.10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本项目通过核技术利用单位监管、移动放射源实时监 管等各类辐射监管业务，构建核与辐射环境监管全局 视图，实现辐射监管可视化、电子化和网络化，大幅 提升辐射环境监管的信息化水平，对建立较完善的核 </w:t>
            </w:r>
            <w:r>
              <w:rPr>
                <w:rFonts w:ascii="宋体" w:hAnsi="宋体" w:cs="宋体" w:eastAsia="宋体" w:hint="default"/>
                <w:spacing w:val="-3"/>
                <w:sz w:val="18"/>
                <w:szCs w:val="18"/>
              </w:rPr>
              <w:t>与辐射环境监管体系，实现核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提供了有力的保障。在技术上本项目采用主流的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J2EE </w:t>
            </w:r>
            <w:r>
              <w:rPr>
                <w:rFonts w:ascii="宋体" w:hAnsi="宋体" w:cs="宋体" w:eastAsia="宋体" w:hint="default"/>
                <w:sz w:val="18"/>
                <w:szCs w:val="18"/>
              </w:rPr>
              <w:t>技术架构，通过传感设备实现对监管对象生产数据的 整合，使用基于行业标准的技术和架构，保持系统的 向后兼容性、可集成性和可扩展性。</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干部信息综合管理系统</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617,693.29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本项目是一套基于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J2EE</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体系架构的应用服务平台，能</w:t>
            </w:r>
            <w:r>
              <w:rPr>
                <w:rFonts w:ascii="宋体" w:hAnsi="宋体" w:cs="宋体" w:eastAsia="宋体" w:hint="default"/>
                <w:sz w:val="18"/>
                <w:szCs w:val="18"/>
              </w:rPr>
              <w:t> 够成功部署于</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Tomcat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JBoss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IBM-WebSphere</w:t>
            </w:r>
            <w:r>
              <w:rPr>
                <w:rFonts w:ascii="宋体" w:hAnsi="宋体" w:cs="宋体" w:eastAsia="宋体" w:hint="default"/>
                <w:spacing w:val="-2"/>
                <w:sz w:val="18"/>
                <w:szCs w:val="18"/>
              </w:rPr>
              <w:t>、</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33.02002pt;margin-top:72.480003pt;width:101.85pt;height:142.450pt;mso-position-horizontal-relative:page;mso-position-vertical-relative:page;z-index:-1105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firstLine="358"/>
                    <w:jc w:val="left"/>
                  </w:pPr>
                  <w:r>
                    <w:rPr/>
                    <w:t>组件，</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干部监督、</w:t>
                  </w:r>
                </w:p>
              </w:txbxContent>
            </v:textbox>
            <w10:wrap type="none"/>
          </v:shape>
        </w:pict>
      </w:r>
      <w:r>
        <w:rPr/>
        <w:pict>
          <v:shape style="position:absolute;margin-left:451.02002pt;margin-top:215.399994pt;width:83.85pt;height:284.850pt;mso-position-horizontal-relative:page;mso-position-vertical-relative:page;z-index:-1105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firstLine="36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运行、</w:t>
                  </w:r>
                </w:p>
              </w:txbxContent>
            </v:textbox>
            <w10:wrap type="none"/>
          </v:shape>
        </w:pict>
      </w:r>
      <w:r>
        <w:rPr/>
        <w:pict>
          <v:shape style="position:absolute;margin-left:442.020905pt;margin-top:500.700012pt;width:92.85pt;height:191.25pt;mso-position-horizontal-relative:page;mso-position-vertical-relative:page;z-index:-1105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逻辑层、</w:t>
                  </w:r>
                </w:p>
              </w:txbxContent>
            </v:textbox>
            <w10:wrap type="none"/>
          </v:shape>
        </w:pict>
      </w:r>
      <w:r>
        <w:rPr/>
        <w:pict>
          <v:group style="position:absolute;margin-left:475.140015pt;margin-top:72.480003pt;width:59.7pt;height:619.450pt;mso-position-horizontal-relative:page;mso-position-vertical-relative:page;z-index:-1105432" coordorigin="9503,1450" coordsize="1194,12389">
            <v:group style="position:absolute;left:9503;top:1450;width:1194;height:2849" coordorigin="9503,1450" coordsize="1194,2849">
              <v:shape style="position:absolute;left:9503;top:1450;width:1194;height:2849" coordorigin="9503,1450" coordsize="1194,2849" path="m9503,4298l10697,4298,10697,1450,9503,1450,9503,4298xe" filled="true" fillcolor="#ffffff" stroked="false">
                <v:path arrowok="t"/>
                <v:fill type="solid"/>
              </v:shape>
            </v:group>
            <v:group style="position:absolute;left:9503;top:4308;width:1194;height:5697" coordorigin="9503,4308" coordsize="1194,5697">
              <v:shape style="position:absolute;left:9503;top:4308;width:1194;height:5697" coordorigin="9503,4308" coordsize="1194,5697" path="m9503,10004l10697,10004,10697,4308,9503,4308,9503,10004xe" filled="true" fillcolor="#ffffff" stroked="false">
                <v:path arrowok="t"/>
                <v:fill type="solid"/>
              </v:shape>
            </v:group>
            <v:group style="position:absolute;left:9526;top:6960;width:1149;height:393" coordorigin="9526,6960" coordsize="1149,393">
              <v:shape style="position:absolute;left:9526;top:6960;width:1149;height:393" coordorigin="9526,6960" coordsize="1149,393" path="m9526,7352l10674,7352,10674,6960,9526,6960,9526,7352xe" filled="true" fillcolor="#ffffff" stroked="false">
                <v:path arrowok="t"/>
                <v:fill type="solid"/>
              </v:shape>
            </v:group>
            <v:group style="position:absolute;left:9503;top:10014;width:1194;height:3825" coordorigin="9503,10014" coordsize="1194,3825">
              <v:shape style="position:absolute;left:9503;top:10014;width:1194;height:3825" coordorigin="9503,10014" coordsize="1194,3825" path="m9503,13838l10697,13838,10697,10014,9503,10014,9503,13838xe" filled="true" fillcolor="#ffffff" stroked="false">
                <v:path arrowok="t"/>
                <v:fill type="solid"/>
              </v:shape>
            </v:group>
            <v:group style="position:absolute;left:9526;top:11730;width:1149;height:393" coordorigin="9526,11730" coordsize="1149,393">
              <v:shape style="position:absolute;left:9526;top:11730;width:1149;height:393" coordorigin="9526,11730" coordsize="1149,393" path="m9526,12122l10674,12122,10674,11730,9526,11730,9526,12122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322" w:hRule="exact"/>
        </w:trPr>
        <w:tc>
          <w:tcPr>
            <w:tcW w:w="2392" w:type="dxa"/>
            <w:vMerge w:val="restart"/>
            <w:tcBorders>
              <w:top w:val="single" w:sz="4" w:space="0" w:color="000000"/>
              <w:left w:val="single" w:sz="4" w:space="0" w:color="000000"/>
              <w:right w:val="single" w:sz="4" w:space="0" w:color="000000"/>
            </w:tcBorders>
          </w:tcPr>
          <w:p>
            <w:pPr/>
          </w:p>
        </w:tc>
        <w:tc>
          <w:tcPr>
            <w:tcW w:w="1720" w:type="dxa"/>
            <w:vMerge w:val="restart"/>
            <w:tcBorders>
              <w:top w:val="single" w:sz="4" w:space="0" w:color="000000"/>
              <w:left w:val="single" w:sz="4" w:space="0" w:color="000000"/>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WebLogic</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Resin</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等常用应用服务平台软件。单机版采</w:t>
            </w:r>
          </w:p>
        </w:tc>
        <w:tc>
          <w:tcPr>
            <w:tcW w:w="1204" w:type="dxa"/>
            <w:vMerge w:val="restart"/>
            <w:tcBorders>
              <w:top w:val="single" w:sz="4" w:space="0" w:color="000000"/>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N</w:t>
            </w:r>
            <w:r>
              <w:rPr>
                <w:rFonts w:ascii="Times New Roman" w:hAnsi="Times New Roman" w:cs="Times New Roman" w:eastAsia="Times New Roman" w:hint="default"/>
                <w:w w:val="100"/>
                <w:sz w:val="18"/>
                <w:szCs w:val="18"/>
              </w:rPr>
              <w:t>ET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r>
              <w:rPr>
                <w:rFonts w:ascii="宋体" w:hAnsi="宋体" w:cs="宋体" w:eastAsia="宋体" w:hint="default"/>
                <w:spacing w:val="-2"/>
                <w:sz w:val="18"/>
                <w:szCs w:val="18"/>
              </w:rPr>
              <w:t>框</w:t>
            </w:r>
            <w:r>
              <w:rPr>
                <w:rFonts w:ascii="宋体" w:hAnsi="宋体" w:cs="宋体" w:eastAsia="宋体" w:hint="default"/>
                <w:sz w:val="18"/>
                <w:szCs w:val="18"/>
              </w:rPr>
              <w:t>架</w:t>
            </w:r>
            <w:r>
              <w:rPr>
                <w:rFonts w:ascii="宋体" w:hAnsi="宋体" w:cs="宋体" w:eastAsia="宋体" w:hint="default"/>
                <w:spacing w:val="-90"/>
                <w:sz w:val="18"/>
                <w:szCs w:val="18"/>
              </w:rPr>
              <w:t>，</w:t>
            </w:r>
            <w:r>
              <w:rPr>
                <w:rFonts w:ascii="宋体" w:hAnsi="宋体" w:cs="宋体" w:eastAsia="宋体" w:hint="default"/>
                <w:sz w:val="18"/>
                <w:szCs w:val="18"/>
              </w:rPr>
              <w:t>前端</w:t>
            </w:r>
            <w:r>
              <w:rPr>
                <w:rFonts w:ascii="宋体" w:hAnsi="宋体" w:cs="宋体" w:eastAsia="宋体" w:hint="default"/>
                <w:spacing w:val="-46"/>
                <w:sz w:val="18"/>
                <w:szCs w:val="18"/>
              </w:rPr>
              <w:t> </w:t>
            </w:r>
            <w:r>
              <w:rPr>
                <w:rFonts w:ascii="Times New Roman" w:hAnsi="Times New Roman" w:cs="Times New Roman" w:eastAsia="Times New Roman" w:hint="default"/>
                <w:spacing w:val="-1"/>
                <w:w w:val="99"/>
                <w:sz w:val="18"/>
                <w:szCs w:val="18"/>
              </w:rPr>
              <w:t>U</w:t>
            </w:r>
            <w:r>
              <w:rPr>
                <w:rFonts w:ascii="Times New Roman" w:hAnsi="Times New Roman" w:cs="Times New Roman" w:eastAsia="Times New Roman" w:hint="default"/>
                <w:w w:val="99"/>
                <w:sz w:val="18"/>
                <w:szCs w:val="18"/>
              </w:rPr>
              <w:t>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界面采用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DevExpress</w:t>
            </w:r>
          </w:p>
        </w:tc>
        <w:tc>
          <w:tcPr>
            <w:tcW w:w="1204" w:type="dxa"/>
            <w:vMerge/>
            <w:tcBorders>
              <w:left w:val="single" w:sz="4" w:space="0" w:color="000000"/>
              <w:right w:val="single" w:sz="4" w:space="0" w:color="000000"/>
            </w:tcBorders>
          </w:tcPr>
          <w:p>
            <w:pPr/>
          </w:p>
        </w:tc>
      </w:tr>
      <w:tr>
        <w:trPr>
          <w:trHeight w:val="307"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具有较好的用户体验。系统使用了动态表单技术，用</w:t>
            </w:r>
          </w:p>
        </w:tc>
        <w:tc>
          <w:tcPr>
            <w:tcW w:w="1204"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户能自己定义相应的信息集信息项。任免表、花名册</w:t>
            </w:r>
          </w:p>
        </w:tc>
        <w:tc>
          <w:tcPr>
            <w:tcW w:w="1204"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能根据信息集自动生成，其它各种表单输出用户可定</w:t>
            </w:r>
          </w:p>
        </w:tc>
        <w:tc>
          <w:tcPr>
            <w:tcW w:w="1204"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制。系统遵循中组部相关标准，以干部信息和机构信</w:t>
            </w:r>
          </w:p>
        </w:tc>
        <w:tc>
          <w:tcPr>
            <w:tcW w:w="1204"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息管理为基础，围绕干部培养、干部任免、</w:t>
            </w:r>
          </w:p>
        </w:tc>
        <w:tc>
          <w:tcPr>
            <w:tcW w:w="1204"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720" w:type="dxa"/>
            <w:vMerge/>
            <w:tcBorders>
              <w:left w:val="single" w:sz="4" w:space="0" w:color="000000"/>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干部培训等全流程的干部综合管理系统，能较好满足</w:t>
            </w:r>
          </w:p>
        </w:tc>
        <w:tc>
          <w:tcPr>
            <w:tcW w:w="1204" w:type="dxa"/>
            <w:vMerge/>
            <w:tcBorders>
              <w:left w:val="single" w:sz="4" w:space="0" w:color="000000"/>
              <w:right w:val="single" w:sz="4" w:space="0" w:color="000000"/>
            </w:tcBorders>
          </w:tcPr>
          <w:p>
            <w:pPr/>
          </w:p>
        </w:tc>
      </w:tr>
      <w:tr>
        <w:trPr>
          <w:trHeight w:val="357" w:hRule="exact"/>
        </w:trPr>
        <w:tc>
          <w:tcPr>
            <w:tcW w:w="2392" w:type="dxa"/>
            <w:vMerge/>
            <w:tcBorders>
              <w:left w:val="single" w:sz="4" w:space="0" w:color="000000"/>
              <w:bottom w:val="single" w:sz="4" w:space="0" w:color="000000"/>
              <w:right w:val="single" w:sz="4" w:space="0" w:color="000000"/>
            </w:tcBorders>
          </w:tcPr>
          <w:p>
            <w:pPr/>
          </w:p>
        </w:tc>
        <w:tc>
          <w:tcPr>
            <w:tcW w:w="1720" w:type="dxa"/>
            <w:vMerge/>
            <w:tcBorders>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各级组织部日常干部管理工作。</w:t>
            </w:r>
          </w:p>
        </w:tc>
        <w:tc>
          <w:tcPr>
            <w:tcW w:w="1204" w:type="dxa"/>
            <w:vMerge/>
            <w:tcBorders>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本项目通过认真分析国内政务信息化技术和应用发展</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情况，按照中办、国办关于安全可靠政务办公系统建</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设要求，遵循国家电子政务、涉密信息系统分级保护</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标准规范，以党政机关办公信息化领域的业务需求为</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导向，研究基于国产基础软硬件设备的系统集成、应</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用迁移和优化技术，按照统筹规划、统一规范、有序</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实施、平滑迁移和互动协作的原则，采用</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SOA</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J2EE</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大数据、信息安全等先进成熟的信息技术，建设安全</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榕基安全可靠电子政务应用 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1,244,666.55</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可靠、自主可控电子政务应用平台，形成全国同行领 先的基于国产软硬件设备的电子政务应用平台的应用</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示范，推动国产基础软硬件产品的技术水平和技术成</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熟度的提高以及产业化发展。榕基安全可靠电子政务</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应用平台在国产基础软硬件基础上，构建了统一用户</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管理平台，为各业务系统的接入提供统一的认证与授</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权服务；构建了流程引擎平台，为流程的建模、</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监控、绩效提供全生命周期服务；构建了搜索引擎平</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台，为信息元的组织、加工、处理、检索、展现提供</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全面服务。</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本项目应用系统及相关平台应采用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JavaEE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RDB</w:t>
            </w:r>
            <w:r>
              <w:rPr>
                <w:rFonts w:ascii="宋体" w:hAnsi="宋体" w:cs="宋体" w:eastAsia="宋体" w:hint="default"/>
                <w:sz w:val="18"/>
                <w:szCs w:val="18"/>
              </w:rPr>
              <w:t>（关</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系性数据库）</w:t>
            </w:r>
            <w:r>
              <w:rPr>
                <w:rFonts w:ascii="Times New Roman" w:hAnsi="Times New Roman" w:cs="Times New Roman" w:eastAsia="Times New Roman" w:hint="default"/>
                <w:sz w:val="18"/>
                <w:szCs w:val="18"/>
              </w:rPr>
              <w:t>+ SOA</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服务总线集成架构相结合的技术</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路线。运用前沿流行技术框架、公用模块组件进行构</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件化设计，并采用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MVC</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设计模式，将表示层、</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控制层分开。采用对象池、数据库连接池、缓存机制</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中小企业公共服务平台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350,632.01</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等多种技术，为系统提供高可用性能，同时又具有良 好的错误处理机制、事务处理机制和大量用户并发访</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问的能力，完全跨平台和多数据库支持，提供二次开</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发及多种类型的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z w:val="18"/>
                <w:szCs w:val="18"/>
              </w:rPr>
              <w:t> Service</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应用服务接口，保证系统</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的可集成性和高可扩展性。采用模块化、接口化的设</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计方式，基于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的标准，打造一个为中小企业服务</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的综合性的服务平台。</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基于国产基础软硬件平台采用先进的多层体系结构，</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安全可靠政务信息采编系统</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1,646.00</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采用</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J2EE+SOA+</w:t>
            </w:r>
            <w:r>
              <w:rPr>
                <w:rFonts w:ascii="宋体" w:hAnsi="宋体" w:cs="宋体" w:eastAsia="宋体" w:hint="default"/>
                <w:sz w:val="18"/>
                <w:szCs w:val="18"/>
              </w:rPr>
              <w:t>云计算相结合的技术路线，实现政务 信息的全方位、全过程管理。进一步提高政务信息采</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8"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编的规范性、安全性、可靠性和权威性，推动国产基</w:t>
            </w:r>
          </w:p>
        </w:tc>
        <w:tc>
          <w:tcPr>
            <w:tcW w:w="12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32.959717pt;margin-top:106.199997pt;width:101.9pt;height:82.05pt;mso-position-horizontal-relative:page;mso-position-vertical-relative:page;z-index:-110540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网为载体、</w:t>
                  </w:r>
                </w:p>
              </w:txbxContent>
            </v:textbox>
            <w10:wrap type="none"/>
          </v:shape>
        </w:pict>
      </w:r>
      <w:r>
        <w:rPr/>
        <w:pict>
          <v:group style="position:absolute;margin-left:475.140015pt;margin-top:106.199997pt;width:59.7pt;height:82.05pt;mso-position-horizontal-relative:page;mso-position-vertical-relative:page;z-index:-1105384" coordorigin="9503,2124" coordsize="1194,1641">
            <v:group style="position:absolute;left:9503;top:2124;width:1194;height:1641" coordorigin="9503,2124" coordsize="1194,1641">
              <v:shape style="position:absolute;left:9503;top:2124;width:1194;height:1641" coordorigin="9503,2124" coordsize="1194,1641" path="m9503,3764l10697,3764,10697,2124,9503,2124,9503,3764xe" filled="true" fillcolor="#ffffff" stroked="false">
                <v:path arrowok="t"/>
                <v:fill type="solid"/>
              </v:shape>
            </v:group>
            <v:group style="position:absolute;left:9526;top:2748;width:1149;height:393" coordorigin="9526,2748" coordsize="1149,393">
              <v:shape style="position:absolute;left:9526;top:2748;width:1149;height:393" coordorigin="9526,2748" coordsize="1149,393" path="m9526,3140l10674,3140,10674,2748,9526,2748,9526,3140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础软硬件产品的技术水平和技术成熟度的提高以及产 业化发展。</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星榕基中小企业信息化公共服务平台软件通过针对中</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星榕基中小企业信息化公共 服务平台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265,347.51</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小企业客户群的以应用为驱动、以移动互联 聚合多种工作应用的标准信息化产品，实现中小企业 基础生产管理的信息化、数字化、协同化、平台化、</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移动化、智能化、集中化。</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星榕基家校互动移动应用软件通过已建成的平安校园</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物联网云平台提供支撑，集移动应用技术、网络技术</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与无线通信技术于一体，实现家庭与学校的互动、快</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捷、实时沟通的教育网络信息平台。是一套可以通过</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7"/>
              <w:jc w:val="left"/>
              <w:rPr>
                <w:rFonts w:ascii="宋体" w:hAnsi="宋体" w:cs="宋体" w:eastAsia="宋体" w:hint="default"/>
                <w:sz w:val="18"/>
                <w:szCs w:val="18"/>
              </w:rPr>
            </w:pPr>
            <w:r>
              <w:rPr>
                <w:rFonts w:ascii="宋体" w:hAnsi="宋体" w:cs="宋体" w:eastAsia="宋体" w:hint="default"/>
                <w:sz w:val="18"/>
                <w:szCs w:val="18"/>
              </w:rPr>
              <w:t>星榕基家校互动移动应用软 件</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178,622.56</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手机短信互动查询的方式，有效解决老师和家长之间 沟通，帮助孩子健康成长。利用学校现有资源优势，</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提高学校班级管理的信息化水平，进一步加强未成年</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人思想道德建设，提高学校德育的时效性，实现和谐</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校园构建。通过系统测试确认软件实现的功能完备、</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正确，符合需求。</w:t>
            </w:r>
          </w:p>
        </w:tc>
        <w:tc>
          <w:tcPr>
            <w:tcW w:w="120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0"/>
        <w:ind w:left="514" w:right="2239"/>
        <w:jc w:val="left"/>
      </w:pPr>
      <w:r>
        <w:rPr/>
        <w:t>具体研发项目的资本化条件： </w:t>
      </w:r>
    </w:p>
    <w:p>
      <w:pPr>
        <w:pStyle w:val="BodyText"/>
        <w:spacing w:line="316" w:lineRule="auto" w:before="76"/>
        <w:ind w:right="1120" w:firstLine="360"/>
        <w:jc w:val="left"/>
      </w:pPr>
      <w:r>
        <w:rPr/>
        <w:t>（1）公司目前资本化的研发支出项目中，项目均在研发测试阶段，公司完成该无形资产以使其能够使用或者出售在技 术上具有可行性； </w:t>
      </w:r>
    </w:p>
    <w:p>
      <w:pPr>
        <w:pStyle w:val="BodyText"/>
        <w:spacing w:line="316" w:lineRule="auto" w:before="19"/>
        <w:ind w:right="1120" w:firstLine="360"/>
        <w:jc w:val="left"/>
      </w:pPr>
      <w:r>
        <w:rPr/>
        <w:t>（2）公司所有研发支出项目均是针对特定市场需求进行相关开发，以备将来出售，具有完成该无形资产并使用或出售 的意图； </w:t>
      </w:r>
    </w:p>
    <w:p>
      <w:pPr>
        <w:pStyle w:val="BodyText"/>
        <w:spacing w:line="316" w:lineRule="auto" w:before="19"/>
        <w:ind w:right="1120" w:firstLine="360"/>
        <w:jc w:val="left"/>
      </w:pPr>
      <w:r>
        <w:rPr/>
        <w:t>（3）公司所有研发支出资本化项目均会形成测试版软件，表明公司运用该无形资产生产的产品存在市场或无形资产自 身存在市场； </w:t>
      </w:r>
    </w:p>
    <w:p>
      <w:pPr>
        <w:pStyle w:val="BodyText"/>
        <w:spacing w:line="316" w:lineRule="auto" w:before="19"/>
        <w:ind w:right="1120" w:firstLine="360"/>
        <w:jc w:val="left"/>
      </w:pPr>
      <w:r>
        <w:rPr/>
        <w:t>（4）公司掌握研发支出资本化项目的核心技术，有能力完成相关无形资产的研发，表明公司有足够的技术、财务资源 和其他资源支持，以完成该无形资产的开发，并有能力出售该无形资产； </w:t>
      </w:r>
    </w:p>
    <w:p>
      <w:pPr>
        <w:pStyle w:val="BodyText"/>
        <w:spacing w:line="240" w:lineRule="auto" w:before="19"/>
        <w:ind w:left="514" w:right="0"/>
        <w:jc w:val="left"/>
      </w:pPr>
      <w:r>
        <w:rPr/>
        <w:t>（5）公司资本化研发支出分部门按项目统计相关支出，归属于该无形资产开发阶段的支出能够可靠地计量。 </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828,349,046.53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844,774,276.81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-1.94%</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801,953,783.50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755,138,474.57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6.20%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26,395,263.03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89,635,802.24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-70.55%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2,430,975,983.39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1,222,329,971.29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98.88%</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2,216,607,049.61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2,010,827,042.50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10.23%</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214,368,933.78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-788,497,071.21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127.19%</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617,450,000.00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-30.36%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523,096,167.92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303,102,849.08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72.58%</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-93,096,167.92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314,347,150.92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-129.62%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152,185,265.17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-389,886,143.44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39.03%</w:t>
            </w:r>
            <w:r>
              <w:rPr>
                <w:rFonts w:ascii="Times New Roman"/>
                <w:sz w:val="18"/>
              </w:rPr>
            </w:r>
          </w:p>
        </w:tc>
      </w:tr>
    </w:tbl>
    <w:p>
      <w:pPr>
        <w:pStyle w:val="BodyText"/>
        <w:spacing w:line="240" w:lineRule="auto" w:before="51"/>
        <w:ind w:right="2239"/>
        <w:jc w:val="left"/>
      </w:pPr>
      <w:r>
        <w:rPr/>
        <w:t>相关数据同比发生重大变动的主要影响因素说明</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7" w:firstLine="360"/>
        <w:jc w:val="left"/>
      </w:pPr>
      <w:r>
        <w:rPr>
          <w:spacing w:val="-1"/>
        </w:rPr>
        <w:t>（</w:t>
      </w:r>
      <w:r>
        <w:rPr>
          <w:rFonts w:ascii="Times New Roman" w:hAnsi="Times New Roman" w:cs="Times New Roman" w:eastAsia="Times New Roman" w:hint="default"/>
          <w:spacing w:val="-1"/>
        </w:rPr>
        <w:t>1</w:t>
      </w:r>
      <w:r>
        <w:rPr>
          <w:spacing w:val="-1"/>
        </w:rPr>
        <w:t>）经营活动产生的现金流量净额较上年同期减少</w:t>
      </w:r>
      <w:r>
        <w:rPr>
          <w:rFonts w:ascii="Times New Roman" w:hAnsi="Times New Roman" w:cs="Times New Roman" w:eastAsia="Times New Roman" w:hint="default"/>
          <w:spacing w:val="-1"/>
        </w:rPr>
        <w:t>70.55%</w:t>
      </w:r>
      <w:r>
        <w:rPr>
          <w:spacing w:val="-1"/>
        </w:rPr>
        <w:t>，主要是报告期销售商品收到的现金减少及支付的职工薪酬</w:t>
      </w:r>
      <w:r>
        <w:rPr/>
        <w:t> 等增加所致。</w:t>
      </w:r>
    </w:p>
    <w:p>
      <w:pPr>
        <w:pStyle w:val="BodyText"/>
        <w:spacing w:line="240" w:lineRule="auto" w:before="72"/>
        <w:ind w:left="514" w:right="2239"/>
        <w:jc w:val="left"/>
      </w:pPr>
      <w:r>
        <w:rPr/>
        <w:t>（</w:t>
      </w:r>
      <w:r>
        <w:rPr>
          <w:rFonts w:ascii="Times New Roman" w:hAnsi="Times New Roman" w:cs="Times New Roman" w:eastAsia="Times New Roman" w:hint="default"/>
        </w:rPr>
        <w:t>2</w:t>
      </w:r>
      <w:r>
        <w:rPr/>
        <w:t>）投资活动现金流入小计较上年同期增加</w:t>
      </w:r>
      <w:r>
        <w:rPr>
          <w:rFonts w:ascii="Times New Roman" w:hAnsi="Times New Roman" w:cs="Times New Roman" w:eastAsia="Times New Roman" w:hint="default"/>
        </w:rPr>
        <w:t>98.88%</w:t>
      </w:r>
      <w:r>
        <w:rPr/>
        <w:t>，主要是报告期理财产品到期赎回金额减少所致。</w:t>
      </w:r>
    </w:p>
    <w:p>
      <w:pPr>
        <w:pStyle w:val="BodyText"/>
        <w:spacing w:line="240" w:lineRule="auto" w:before="102"/>
        <w:ind w:left="514" w:right="2239"/>
        <w:jc w:val="left"/>
      </w:pPr>
      <w:r>
        <w:rPr/>
        <w:t>（</w:t>
      </w:r>
      <w:r>
        <w:rPr>
          <w:rFonts w:ascii="Times New Roman" w:hAnsi="Times New Roman" w:cs="Times New Roman" w:eastAsia="Times New Roman" w:hint="default"/>
        </w:rPr>
        <w:t>3</w:t>
      </w:r>
      <w:r>
        <w:rPr/>
        <w:t>）投资活动产生的现金流量净额较上年同期增加</w:t>
      </w:r>
      <w:r>
        <w:rPr>
          <w:rFonts w:ascii="Times New Roman" w:hAnsi="Times New Roman" w:cs="Times New Roman" w:eastAsia="Times New Roman" w:hint="default"/>
        </w:rPr>
        <w:t>127.19%</w:t>
      </w:r>
      <w:r>
        <w:rPr/>
        <w:t>，主要是报告期理财产品净额减少所致。</w:t>
      </w:r>
    </w:p>
    <w:p>
      <w:pPr>
        <w:pStyle w:val="BodyText"/>
        <w:spacing w:line="240" w:lineRule="auto" w:before="102"/>
        <w:ind w:left="514" w:right="2239"/>
        <w:jc w:val="left"/>
      </w:pPr>
      <w:r>
        <w:rPr/>
        <w:t>（</w:t>
      </w:r>
      <w:r>
        <w:rPr>
          <w:rFonts w:ascii="Times New Roman" w:hAnsi="Times New Roman" w:cs="Times New Roman" w:eastAsia="Times New Roman" w:hint="default"/>
        </w:rPr>
        <w:t>4</w:t>
      </w:r>
      <w:r>
        <w:rPr/>
        <w:t>）筹资活动现金流入小计较上年同期减少</w:t>
      </w:r>
      <w:r>
        <w:rPr>
          <w:rFonts w:ascii="Times New Roman" w:hAnsi="Times New Roman" w:cs="Times New Roman" w:eastAsia="Times New Roman" w:hint="default"/>
        </w:rPr>
        <w:t>30.36%</w:t>
      </w:r>
      <w:r>
        <w:rPr/>
        <w:t>，主要是报告期借款减少所致。</w:t>
      </w:r>
    </w:p>
    <w:p>
      <w:pPr>
        <w:pStyle w:val="BodyText"/>
        <w:spacing w:line="240" w:lineRule="auto" w:before="103"/>
        <w:ind w:left="514" w:right="2239"/>
        <w:jc w:val="left"/>
      </w:pPr>
      <w:r>
        <w:rPr/>
        <w:t>（</w:t>
      </w:r>
      <w:r>
        <w:rPr>
          <w:rFonts w:ascii="Times New Roman" w:hAnsi="Times New Roman" w:cs="Times New Roman" w:eastAsia="Times New Roman" w:hint="default"/>
        </w:rPr>
        <w:t>5</w:t>
      </w:r>
      <w:r>
        <w:rPr/>
        <w:t>）筹资活动现金流出小计较上年同期增加</w:t>
      </w:r>
      <w:r>
        <w:rPr>
          <w:rFonts w:ascii="Times New Roman" w:hAnsi="Times New Roman" w:cs="Times New Roman" w:eastAsia="Times New Roman" w:hint="default"/>
        </w:rPr>
        <w:t>72.58%</w:t>
      </w:r>
      <w:r>
        <w:rPr/>
        <w:t>，主要是报告期偿还借款增加所致。</w:t>
      </w:r>
    </w:p>
    <w:p>
      <w:pPr>
        <w:pStyle w:val="BodyText"/>
        <w:spacing w:line="240" w:lineRule="auto" w:before="102"/>
        <w:ind w:left="514" w:right="2239"/>
        <w:jc w:val="left"/>
      </w:pPr>
      <w:r>
        <w:rPr/>
        <w:t>（</w:t>
      </w:r>
      <w:r>
        <w:rPr>
          <w:rFonts w:ascii="Times New Roman" w:hAnsi="Times New Roman" w:cs="Times New Roman" w:eastAsia="Times New Roman" w:hint="default"/>
        </w:rPr>
        <w:t>6</w:t>
      </w:r>
      <w:r>
        <w:rPr/>
        <w:t>）筹资活动产生的现金流量净额较上年同期减少</w:t>
      </w:r>
      <w:r>
        <w:rPr>
          <w:rFonts w:ascii="Times New Roman" w:hAnsi="Times New Roman" w:cs="Times New Roman" w:eastAsia="Times New Roman" w:hint="default"/>
        </w:rPr>
        <w:t>129.62%</w:t>
      </w:r>
      <w:r>
        <w:rPr/>
        <w:t>，主要是报告期借款减少所致。</w:t>
      </w:r>
    </w:p>
    <w:p>
      <w:pPr>
        <w:pStyle w:val="BodyText"/>
        <w:spacing w:line="340" w:lineRule="auto" w:before="102"/>
        <w:ind w:right="2725" w:firstLine="360"/>
        <w:jc w:val="left"/>
      </w:pPr>
      <w:r>
        <w:rPr/>
        <w:t>（</w:t>
      </w:r>
      <w:r>
        <w:rPr>
          <w:rFonts w:ascii="Times New Roman" w:hAnsi="Times New Roman" w:cs="Times New Roman" w:eastAsia="Times New Roman" w:hint="default"/>
        </w:rPr>
        <w:t>7</w:t>
      </w:r>
      <w:r>
        <w:rPr/>
        <w:t>）现金及现金等价物净增加额较上年同期增加</w:t>
      </w:r>
      <w:r>
        <w:rPr>
          <w:rFonts w:ascii="Times New Roman" w:hAnsi="Times New Roman" w:cs="Times New Roman" w:eastAsia="Times New Roman" w:hint="default"/>
        </w:rPr>
        <w:t>39.03%</w:t>
      </w:r>
      <w:r>
        <w:rPr/>
        <w:t>，主要是报告期理财产品净额减少所致。 报告期内公司经营活动产生的现金净流量与本年度净利润存在重大差异的原因说明</w:t>
      </w:r>
    </w:p>
    <w:p>
      <w:pPr>
        <w:pStyle w:val="BodyText"/>
        <w:spacing w:line="240" w:lineRule="auto" w:before="40"/>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24"/>
          <w:szCs w:val="24"/>
        </w:rPr>
      </w:pPr>
    </w:p>
    <w:p>
      <w:pPr>
        <w:pStyle w:val="Heading2"/>
        <w:spacing w:line="240" w:lineRule="auto"/>
        <w:ind w:right="2239"/>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32,797,084.65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97.68%</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9"/>
              <w:jc w:val="left"/>
              <w:rPr>
                <w:rFonts w:ascii="宋体" w:hAnsi="宋体" w:cs="宋体" w:eastAsia="宋体" w:hint="default"/>
                <w:sz w:val="18"/>
                <w:szCs w:val="18"/>
              </w:rPr>
            </w:pPr>
            <w:r>
              <w:rPr>
                <w:rFonts w:ascii="宋体" w:hAnsi="宋体" w:cs="宋体" w:eastAsia="宋体" w:hint="default"/>
                <w:sz w:val="18"/>
                <w:szCs w:val="18"/>
              </w:rPr>
              <w:t>理财收益、对联营企业的投 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理财收益不具有可持续</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3,273,383.60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9.75%</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9"/>
              <w:jc w:val="left"/>
              <w:rPr>
                <w:rFonts w:ascii="宋体" w:hAnsi="宋体" w:cs="宋体" w:eastAsia="宋体" w:hint="default"/>
                <w:sz w:val="18"/>
                <w:szCs w:val="18"/>
              </w:rPr>
            </w:pPr>
            <w:r>
              <w:rPr>
                <w:rFonts w:ascii="宋体" w:hAnsi="宋体" w:cs="宋体" w:eastAsia="宋体" w:hint="default"/>
                <w:sz w:val="18"/>
                <w:szCs w:val="18"/>
              </w:rPr>
              <w:t>主要是对应收及其他应收款 按账龄计提减值准备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29,692.70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1,709,069.10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主要是固定资产处置损失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56"/>
        <w:gridCol w:w="1012"/>
        <w:gridCol w:w="1277"/>
        <w:gridCol w:w="1033"/>
        <w:gridCol w:w="797"/>
        <w:gridCol w:w="2918"/>
      </w:tblGrid>
      <w:tr>
        <w:trPr>
          <w:trHeight w:val="382"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276" w:type="dxa"/>
            <w:vMerge/>
            <w:tcBorders>
              <w:left w:val="single" w:sz="4" w:space="0" w:color="000000"/>
              <w:right w:val="single" w:sz="4" w:space="0" w:color="000000"/>
            </w:tcBorders>
            <w:shd w:val="clear" w:color="auto" w:fill="D3D3D3"/>
          </w:tcPr>
          <w:p>
            <w:pPr/>
          </w:p>
        </w:tc>
        <w:tc>
          <w:tcPr>
            <w:tcW w:w="12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0"/>
              <w:ind w:left="410" w:right="4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0"/>
              <w:ind w:left="421" w:right="60"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56" w:type="dxa"/>
            <w:vMerge/>
            <w:tcBorders>
              <w:left w:val="single" w:sz="4" w:space="0" w:color="000000"/>
              <w:bottom w:val="single" w:sz="4" w:space="0" w:color="000000"/>
              <w:right w:val="single" w:sz="4" w:space="0" w:color="000000"/>
            </w:tcBorders>
            <w:shd w:val="clear" w:color="auto" w:fill="D3D3D3"/>
          </w:tcPr>
          <w:p>
            <w:pPr/>
          </w:p>
        </w:tc>
        <w:tc>
          <w:tcPr>
            <w:tcW w:w="101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033"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328,903,731.81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13.01%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207,736,984.65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82"/>
              <w:jc w:val="left"/>
              <w:rPr>
                <w:rFonts w:ascii="宋体" w:hAnsi="宋体" w:cs="宋体" w:eastAsia="宋体" w:hint="default"/>
                <w:sz w:val="18"/>
                <w:szCs w:val="18"/>
              </w:rPr>
            </w:pPr>
            <w:r>
              <w:rPr>
                <w:rFonts w:ascii="宋体" w:hAnsi="宋体" w:cs="宋体" w:eastAsia="宋体" w:hint="default"/>
                <w:sz w:val="18"/>
                <w:szCs w:val="18"/>
              </w:rPr>
              <w:t>主要是由于报告期赎回理财产品金 额增加</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56"/>
        <w:gridCol w:w="1012"/>
        <w:gridCol w:w="1277"/>
        <w:gridCol w:w="1033"/>
        <w:gridCol w:w="798"/>
        <w:gridCol w:w="2917"/>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176,359,422.88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6.98%</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119,355,006.60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82"/>
              <w:jc w:val="left"/>
              <w:rPr>
                <w:rFonts w:ascii="宋体" w:hAnsi="宋体" w:cs="宋体" w:eastAsia="宋体" w:hint="default"/>
                <w:sz w:val="18"/>
                <w:szCs w:val="18"/>
              </w:rPr>
            </w:pPr>
            <w:r>
              <w:rPr>
                <w:rFonts w:ascii="宋体" w:hAnsi="宋体" w:cs="宋体" w:eastAsia="宋体" w:hint="default"/>
                <w:sz w:val="18"/>
                <w:szCs w:val="18"/>
              </w:rPr>
              <w:t>主要是报告期按项目进度确认收入 的应收款项增加所致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726,307,455.54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772,316,481.37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6"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38,048,635.97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82"/>
              <w:jc w:val="left"/>
              <w:rPr>
                <w:rFonts w:ascii="宋体" w:hAnsi="宋体" w:cs="宋体" w:eastAsia="宋体" w:hint="default"/>
                <w:sz w:val="18"/>
                <w:szCs w:val="18"/>
              </w:rPr>
            </w:pPr>
            <w:r>
              <w:rPr>
                <w:rFonts w:ascii="宋体" w:hAnsi="宋体" w:cs="宋体" w:eastAsia="宋体" w:hint="default"/>
                <w:sz w:val="18"/>
                <w:szCs w:val="18"/>
              </w:rPr>
              <w:t>主要是报告期转入持有待售资产所 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117,136,960.65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4.63%</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114,685,687.77</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4.42%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0.21%</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20,211,068.83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36,571,761.90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1.41%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206,642,453.30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8.18%</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148,040,779.90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2.47%</w:t>
            </w:r>
            <w:r>
              <w:rPr>
                <w:rFonts w:ascii="Times New Roman"/>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82"/>
              <w:jc w:val="left"/>
              <w:rPr>
                <w:rFonts w:ascii="宋体" w:hAnsi="宋体" w:cs="宋体" w:eastAsia="宋体" w:hint="default"/>
                <w:sz w:val="18"/>
                <w:szCs w:val="18"/>
              </w:rPr>
            </w:pPr>
            <w:r>
              <w:rPr>
                <w:rFonts w:ascii="宋体" w:hAnsi="宋体" w:cs="宋体" w:eastAsia="宋体" w:hint="default"/>
                <w:sz w:val="18"/>
                <w:szCs w:val="18"/>
              </w:rPr>
              <w:t>主要是由于报告期上海园区建设投 入增加</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495,000,000.00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主要是报告期偿还借款所致。</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28"/>
        <w:gridCol w:w="3056"/>
        <w:gridCol w:w="3184"/>
      </w:tblGrid>
      <w:tr>
        <w:trPr>
          <w:trHeight w:val="415" w:hRule="exact"/>
        </w:trPr>
        <w:tc>
          <w:tcPr>
            <w:tcW w:w="3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left="98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9"/>
              <w:ind w:right="1"/>
              <w:jc w:val="right"/>
              <w:rPr>
                <w:rFonts w:ascii="Times New Roman" w:hAnsi="Times New Roman" w:cs="Times New Roman" w:eastAsia="Times New Roman" w:hint="default"/>
                <w:sz w:val="18"/>
                <w:szCs w:val="18"/>
              </w:rPr>
            </w:pPr>
            <w:r>
              <w:rPr>
                <w:rFonts w:ascii="Times New Roman"/>
                <w:spacing w:val="-1"/>
                <w:sz w:val="18"/>
              </w:rPr>
              <w:t>61,768,800.00</w:t>
            </w:r>
          </w:p>
        </w:tc>
        <w:tc>
          <w:tcPr>
            <w:tcW w:w="31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427" w:hRule="exact"/>
        </w:trPr>
        <w:tc>
          <w:tcPr>
            <w:tcW w:w="33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22,803,678.93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1,821,516.22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27" w:hRule="exact"/>
        </w:trPr>
        <w:tc>
          <w:tcPr>
            <w:tcW w:w="33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86,393,995.15</w:t>
            </w:r>
          </w:p>
        </w:tc>
        <w:tc>
          <w:tcPr>
            <w:tcW w:w="3184"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0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2" w:right="0"/>
              <w:jc w:val="left"/>
              <w:rPr>
                <w:rFonts w:ascii="Times New Roman" w:hAnsi="Times New Roman" w:cs="Times New Roman" w:eastAsia="Times New Roman" w:hint="default"/>
                <w:sz w:val="18"/>
                <w:szCs w:val="18"/>
              </w:rPr>
            </w:pPr>
            <w:r>
              <w:rPr>
                <w:rFonts w:ascii="Times New Roman"/>
                <w:sz w:val="18"/>
              </w:rPr>
              <w:t>-12,450,000.00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向社会公 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2,891.77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74,880.97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28,125.47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购买银行 理财产品</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left"/>
              <w:rPr>
                <w:rFonts w:ascii="宋体" w:hAnsi="宋体" w:cs="宋体" w:eastAsia="宋体" w:hint="default"/>
                <w:sz w:val="18"/>
                <w:szCs w:val="18"/>
              </w:rPr>
            </w:pPr>
            <w:r>
              <w:rPr>
                <w:rFonts w:ascii="宋体" w:hAnsi="宋体" w:cs="宋体" w:eastAsia="宋体" w:hint="default"/>
                <w:sz w:val="18"/>
                <w:szCs w:val="18"/>
              </w:rPr>
              <w:t>发行短期 融资券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2,891.77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79,880.97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28,125.47</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本公司实际募集资金净额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90,566.32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3,885.65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9,734.67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15,939.63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7,976.94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9,698.53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16,309.17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日募集资金累计投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74,880.97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28,125.47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万元（其中包含利息及理财收益净收入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12,440.12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40"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0"/>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、新一代电子政务应 用平台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8,224.43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8,224.43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200.55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7,035.61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85.55%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1,682.06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62pt;width:479.1pt;height:685.7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、信息安全风险综合 管理系统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93.35%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、质检三电工程企业 端软件运维服务平台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10,903.06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10,903.06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2,185.23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、协同管理软件平台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8,938.89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1,463.41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2"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、技术研发与创新中 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4,288.62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4,288.62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2,057.22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40,154.08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40,154.08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2,212.17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32,266.81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5,517.66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12,647.97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 w:right="0"/>
                          <w:jc w:val="center"/>
                          <w:rPr>
                            <w:rFonts w:ascii="Times New Roman" w:hAnsi="Times New Roman" w:cs="Times New Roman" w:eastAsia="Times New Roman" w:hint="default"/>
                            <w:sz w:val="18"/>
                            <w:szCs w:val="18"/>
                          </w:rPr>
                        </w:pPr>
                        <w:r>
                          <w:rPr>
                            <w:rFonts w:ascii="Times New Roman"/>
                            <w:sz w:val="18"/>
                          </w:rPr>
                          <w:t>68.37%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1,185.58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 w:right="0"/>
                          <w:jc w:val="center"/>
                          <w:rPr>
                            <w:rFonts w:ascii="Times New Roman" w:hAnsi="Times New Roman" w:cs="Times New Roman" w:eastAsia="Times New Roman" w:hint="default"/>
                            <w:sz w:val="18"/>
                            <w:szCs w:val="18"/>
                          </w:rPr>
                        </w:pPr>
                        <w:r>
                          <w:rPr>
                            <w:rFonts w:ascii="Times New Roman"/>
                            <w:sz w:val="18"/>
                          </w:rPr>
                          <w:t>33.87%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体验馆项目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1" w:right="0"/>
                          <w:jc w:val="center"/>
                          <w:rPr>
                            <w:rFonts w:ascii="Times New Roman" w:hAnsi="Times New Roman" w:cs="Times New Roman" w:eastAsia="Times New Roman" w:hint="default"/>
                            <w:sz w:val="18"/>
                            <w:szCs w:val="18"/>
                          </w:rPr>
                        </w:pPr>
                        <w:r>
                          <w:rPr>
                            <w:rFonts w:ascii="Times New Roman"/>
                            <w:sz w:val="18"/>
                          </w:rPr>
                          <w:t>52.04%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42,614.16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91,654.08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91,654.08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2,891.77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74,880.97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5,517.66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为了应对市场需求发生变化和技术发展需要，为了满足客户需求，公司继续加大研发投入促进产品 升级换代，适当延长研发期间；同时募集资金投资项目尚未整体达产，其规模效应还未充分发挥， </w:t>
                        </w:r>
                        <w:r>
                          <w:rPr>
                            <w:rFonts w:ascii="宋体" w:hAnsi="宋体" w:cs="宋体" w:eastAsia="宋体" w:hint="default"/>
                            <w:spacing w:val="-2"/>
                            <w:sz w:val="18"/>
                            <w:szCs w:val="18"/>
                          </w:rPr>
                          <w:t>虽然销售出现了一定程度增长，却未完全达到预期。基于上述原因，</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年度募集资金投资项目形</w:t>
                        </w:r>
                        <w:r>
                          <w:rPr>
                            <w:rFonts w:ascii="宋体" w:hAnsi="宋体" w:cs="宋体" w:eastAsia="宋体" w:hint="default"/>
                            <w:spacing w:val="-85"/>
                            <w:sz w:val="18"/>
                            <w:szCs w:val="18"/>
                          </w:rPr>
                          <w:t> </w:t>
                        </w:r>
                        <w:r>
                          <w:rPr>
                            <w:rFonts w:ascii="宋体" w:hAnsi="宋体" w:cs="宋体" w:eastAsia="宋体" w:hint="default"/>
                            <w:sz w:val="18"/>
                            <w:szCs w:val="18"/>
                          </w:rPr>
                          <w:t>成的现有效益未能完全达到招股说明书承诺的项目整体完成后的预期收益。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年，北京中榕基信息技术有限公司使用超募资金支付榕基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商务平台项目支出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69.13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 榕基五一（北京）信息技术有限公司使用超募资金支付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体验馆项目支出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0" w:right="1139"/>
        <w:jc w:val="right"/>
      </w:pPr>
      <w:r>
        <w:rPr/>
        <w:t>；</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5"/>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年，福建榕基软件股份有限公司使用闲置募集资金购买银行理财产品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万元，榕基五</w:t>
            </w:r>
          </w:p>
        </w:tc>
      </w:tr>
      <w:tr>
        <w:trPr>
          <w:trHeight w:val="937"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6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一（北京）信息技术有限公司使用闲置募集资金购买银行理财产品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万元，北京中榕基信息技术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w:t>
            </w:r>
            <w:r>
              <w:rPr>
                <w:rFonts w:ascii="宋体" w:hAnsi="宋体" w:cs="宋体" w:eastAsia="宋体" w:hint="default"/>
                <w:sz w:val="18"/>
                <w:szCs w:val="18"/>
              </w:rPr>
              <w:t>河南榕基信息技术有限公司使用闲置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募集资金购买银行理财产品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万元，福州榕易付网络科技有限公司使用闲置募集资金购买银</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5"/>
        <w:rPr>
          <w:rFonts w:ascii="宋体" w:hAnsi="宋体" w:cs="宋体" w:eastAsia="宋体" w:hint="default"/>
          <w:sz w:val="19"/>
          <w:szCs w:val="19"/>
        </w:rPr>
      </w:pPr>
    </w:p>
    <w:p>
      <w:pPr>
        <w:pStyle w:val="Heading2"/>
        <w:spacing w:line="240" w:lineRule="auto"/>
        <w:ind w:right="2239"/>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39"/>
        <w:jc w:val="left"/>
        <w:rPr>
          <w:b w:val="0"/>
          <w:bCs w:val="0"/>
        </w:rPr>
      </w:pPr>
      <w:r>
        <w:rPr/>
        <w:t>七、主要控股参股公司分析</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7"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电气自动化</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福州创华电 气自动化系 统有限公司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控制系统服 务、计算机 软件销售， 计算机网络</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5,000,000.00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373,129,549.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112,540,158.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6,133,321.34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2,823,567.77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2,758,692.11</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电子计算机</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软硬件领域</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内的技术开 发，技术转 让，技术咨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305,000,752.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86,400,939.2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37,460,502.6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4,858,224.76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5" w:right="0"/>
              <w:jc w:val="center"/>
              <w:rPr>
                <w:rFonts w:ascii="Times New Roman" w:hAnsi="Times New Roman" w:cs="Times New Roman" w:eastAsia="Times New Roman" w:hint="default"/>
                <w:sz w:val="18"/>
                <w:szCs w:val="18"/>
              </w:rPr>
            </w:pPr>
            <w:r>
              <w:rPr>
                <w:rFonts w:ascii="Times New Roman"/>
                <w:sz w:val="18"/>
              </w:rPr>
              <w:t>4,193,123.32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pacing w:val="-14"/>
                <w:sz w:val="18"/>
                <w:szCs w:val="18"/>
              </w:rPr>
              <w:t>榕基五一（北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京）信息技术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辅助设备、 机械设备、 电子产品、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244,632,060.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68" w:right="0"/>
              <w:jc w:val="left"/>
              <w:rPr>
                <w:rFonts w:ascii="Times New Roman" w:hAnsi="Times New Roman" w:cs="Times New Roman" w:eastAsia="Times New Roman" w:hint="default"/>
                <w:sz w:val="18"/>
                <w:szCs w:val="18"/>
              </w:rPr>
            </w:pPr>
            <w:r>
              <w:rPr>
                <w:rFonts w:ascii="Times New Roman"/>
                <w:sz w:val="18"/>
              </w:rPr>
              <w:t>2,286,130.15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116,693,008.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-5,429,367.0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-6,998,135.3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器件和元</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件、仪器仪</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务，软件开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平面设计，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河南榕基信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left"/>
              <w:rPr>
                <w:rFonts w:ascii="宋体" w:hAnsi="宋体" w:cs="宋体" w:eastAsia="宋体" w:hint="default"/>
                <w:sz w:val="18"/>
                <w:szCs w:val="18"/>
              </w:rPr>
            </w:pPr>
            <w:r>
              <w:rPr>
                <w:rFonts w:ascii="宋体" w:hAnsi="宋体" w:cs="宋体" w:eastAsia="宋体" w:hint="default"/>
                <w:sz w:val="18"/>
                <w:szCs w:val="18"/>
              </w:rPr>
              <w:t>硬件及耗 材、办公设 备租赁、销</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230,328,992.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57,765,954.5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15,835,579.1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-1,778,183.9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-3,632,756.8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售，网络技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务，办公自</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动化产品销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计算机维</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系统服务， 销售计算 机、软件及 辅助设备、</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124,641,132.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pacing w:val="-1"/>
                <w:sz w:val="18"/>
              </w:rPr>
              <w:t>27,948,536.0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15,009,433.9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886,656.34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center"/>
              <w:rPr>
                <w:rFonts w:ascii="Times New Roman" w:hAnsi="Times New Roman" w:cs="Times New Roman" w:eastAsia="Times New Roman" w:hint="default"/>
                <w:sz w:val="18"/>
                <w:szCs w:val="18"/>
              </w:rPr>
            </w:pPr>
            <w:r>
              <w:rPr>
                <w:rFonts w:ascii="Times New Roman"/>
                <w:sz w:val="18"/>
              </w:rPr>
              <w:t>1,616,764.94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口、货物进</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出口、代理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19699pt;margin-top:435.779999pt;width:84.9pt;height:144.450pt;mso-position-horizontal-relative:page;mso-position-vertical-relative:page;z-index:-1105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636" w:lineRule="auto" w:before="159"/>
                    <w:ind w:left="180" w:right="976" w:hanging="180"/>
                    <w:jc w:val="left"/>
                  </w:pPr>
                  <w:r>
                    <w:rPr/>
                    <w:t>制造业、 农业，</w:t>
                  </w:r>
                </w:p>
              </w:txbxContent>
            </v:textbox>
            <w10:wrap type="none"/>
          </v:shape>
        </w:pict>
      </w:r>
      <w:r>
        <w:rPr/>
        <w:pict>
          <v:shape style="position:absolute;margin-left:197.519699pt;margin-top:694.380005pt;width:75.9pt;height:64.45pt;mso-position-horizontal-relative:page;mso-position-vertical-relative:page;z-index:-1105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制造、</w:t>
                  </w:r>
                </w:p>
              </w:txbxContent>
            </v:textbox>
            <w10:wrap type="none"/>
          </v:shape>
        </w:pict>
      </w:r>
      <w:r>
        <w:rPr/>
        <w:pict>
          <v:group style="position:absolute;margin-left:221.699997pt;margin-top:435.779999pt;width:51.75pt;height:144.450pt;mso-position-horizontal-relative:page;mso-position-vertical-relative:page;z-index:-1105288" coordorigin="4434,8716" coordsize="1035,2889">
            <v:group style="position:absolute;left:4434;top:8716;width:1035;height:2889" coordorigin="4434,8716" coordsize="1035,2889">
              <v:shape style="position:absolute;left:4434;top:8716;width:1035;height:2889" coordorigin="4434,8716" coordsize="1035,2889" path="m4434,11604l5468,11604,5468,8716,4434,8716,4434,11604xe" filled="true" fillcolor="#ffffff" stroked="false">
                <v:path arrowok="t"/>
                <v:fill type="solid"/>
              </v:shape>
            </v:group>
            <v:group style="position:absolute;left:4457;top:9808;width:989;height:353" coordorigin="4457,9808" coordsize="989,353">
              <v:shape style="position:absolute;left:4457;top:9808;width:989;height:353" coordorigin="4457,9808" coordsize="989,353" path="m4457,10160l5446,10160,5446,9808,4457,9808,4457,10160xe" filled="true" fillcolor="#ffffff" stroked="false">
                <v:path arrowok="t"/>
                <v:fill type="solid"/>
              </v:shape>
            </v:group>
            <v:group style="position:absolute;left:4457;top:10160;width:989;height:352" coordorigin="4457,10160" coordsize="989,352">
              <v:shape style="position:absolute;left:4457;top:10160;width:989;height:352" coordorigin="4457,10160" coordsize="989,352" path="m4457,10512l5446,10512,5446,10160,4457,10160,4457,10512xe" filled="true" fillcolor="#ffffff" stroked="false">
                <v:path arrowok="t"/>
                <v:fill type="solid"/>
              </v:shape>
            </v:group>
            <w10:wrap type="none"/>
          </v:group>
        </w:pict>
      </w:r>
      <w:r>
        <w:rPr/>
        <w:pict>
          <v:group style="position:absolute;margin-left:221.699997pt;margin-top:694.380005pt;width:51.75pt;height:64.45pt;mso-position-horizontal-relative:page;mso-position-vertical-relative:page;z-index:-1105264" coordorigin="4434,13888" coordsize="1035,1289">
            <v:group style="position:absolute;left:4434;top:13888;width:1035;height:1289" coordorigin="4434,13888" coordsize="1035,1289">
              <v:shape style="position:absolute;left:4434;top:13888;width:1035;height:1289" coordorigin="4434,13888" coordsize="1035,1289" path="m4434,15176l5468,15176,5468,13888,4434,13888,4434,15176xe" filled="true" fillcolor="#ffffff" stroked="false">
                <v:path arrowok="t"/>
                <v:fill type="solid"/>
              </v:shape>
            </v:group>
            <v:group style="position:absolute;left:4457;top:14180;width:989;height:352" coordorigin="4457,14180" coordsize="989,352">
              <v:shape style="position:absolute;left:4457;top:14180;width:989;height:352" coordorigin="4457,14180" coordsize="989,352" path="m4457,14532l5446,14532,5446,14180,4457,14180,4457,14532xe" filled="true" fillcolor="#ffffff" stroked="false">
                <v:path arrowok="t"/>
                <v:fill type="solid"/>
              </v:shape>
            </v:group>
            <v:group style="position:absolute;left:4457;top:14532;width:989;height:352" coordorigin="4457,14532" coordsize="989,352">
              <v:shape style="position:absolute;left:4457;top:14532;width:989;height:352" coordorigin="4457,14532" coordsize="989,352" path="m4457,14884l5446,14884,5446,14532,4457,14532,4457,14884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计算机网络</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软件研发与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计算机硬件</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成服务，电</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子计算机及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配件的批发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零售，建筑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智能化的设 计与施工服 务，安防工</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425,804,637.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190,124,077.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194,479,941.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16,196,261.0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15,976,444.1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程的设计与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自营和代理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各类商品和</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口，国家限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定公司经营</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或禁止进出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口的商品和</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技术除外</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对信息传</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输、计算机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服务和软件</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业、 服务业、教 育业，</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49,828,071.2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49,789,071.2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-1,842,999.1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工业、交通</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运输业的投</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信阳榕基信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0"/>
              <w:jc w:val="both"/>
              <w:rPr>
                <w:rFonts w:ascii="宋体" w:hAnsi="宋体" w:cs="宋体" w:eastAsia="宋体" w:hint="default"/>
                <w:sz w:val="18"/>
                <w:szCs w:val="18"/>
              </w:rPr>
            </w:pPr>
            <w:r>
              <w:rPr>
                <w:rFonts w:ascii="宋体" w:hAnsi="宋体" w:cs="宋体" w:eastAsia="宋体" w:hint="default"/>
                <w:sz w:val="18"/>
                <w:szCs w:val="18"/>
              </w:rPr>
              <w:t>机硬件技术 服务、产品 销售、技术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380,562,752.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-7,173,195.8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8,226,001.92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-3,938,430.4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服务、系统</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50"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2"/>
              <w:ind w:left="22" w:right="119"/>
              <w:jc w:val="both"/>
              <w:rPr>
                <w:rFonts w:ascii="宋体" w:hAnsi="宋体" w:cs="宋体" w:eastAsia="宋体" w:hint="default"/>
                <w:sz w:val="18"/>
                <w:szCs w:val="18"/>
              </w:rPr>
            </w:pPr>
            <w:r>
              <w:rPr>
                <w:rFonts w:ascii="宋体" w:hAnsi="宋体" w:cs="宋体" w:eastAsia="宋体" w:hint="default"/>
                <w:sz w:val="18"/>
                <w:szCs w:val="18"/>
              </w:rPr>
              <w:t>福建星榕基 信息科技有 限责任公司</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319" w:lineRule="auto" w:before="50"/>
              <w:ind w:left="22" w:right="110"/>
              <w:jc w:val="left"/>
              <w:rPr>
                <w:rFonts w:ascii="宋体" w:hAnsi="宋体" w:cs="宋体" w:eastAsia="宋体" w:hint="default"/>
                <w:sz w:val="18"/>
                <w:szCs w:val="18"/>
              </w:rPr>
            </w:pPr>
            <w:r>
              <w:rPr>
                <w:rFonts w:ascii="宋体" w:hAnsi="宋体" w:cs="宋体" w:eastAsia="宋体" w:hint="default"/>
                <w:sz w:val="18"/>
                <w:szCs w:val="18"/>
              </w:rPr>
              <w:t>电子产品的 研发、 销售；计算</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63,623,528.4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48,784,255.1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2,002,332.80</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-9,713,832.0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-9,968,413.5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249"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机、软件及</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19699pt;margin-top:72.480003pt;width:75.9pt;height:111.25pt;mso-position-horizontal-relative:page;mso-position-vertical-relative:page;z-index:-1105240" type="#_x0000_t202" filled="false" stroked="false">
            <v:textbox inset="0,0,0,0">
              <w:txbxContent>
                <w:p>
                  <w:pPr>
                    <w:spacing w:line="240" w:lineRule="auto" w:before="8"/>
                    <w:rPr>
                      <w:rFonts w:ascii="宋体" w:hAnsi="宋体" w:cs="宋体" w:eastAsia="宋体" w:hint="default"/>
                      <w:sz w:val="24"/>
                      <w:szCs w:val="24"/>
                    </w:rPr>
                  </w:pPr>
                </w:p>
                <w:p>
                  <w:pPr>
                    <w:pStyle w:val="BodyText"/>
                    <w:spacing w:line="240" w:lineRule="auto"/>
                    <w:ind w:left="0" w:right="0"/>
                    <w:jc w:val="left"/>
                  </w:pPr>
                  <w:r>
                    <w:rPr/>
                    <w:t>零售；</w:t>
                  </w:r>
                </w:p>
              </w:txbxContent>
            </v:textbox>
            <w10:wrap type="none"/>
          </v:shape>
        </w:pict>
      </w:r>
      <w:r>
        <w:rPr/>
        <w:pict>
          <v:shape style="position:absolute;margin-left:197.519699pt;margin-top:184.199997pt;width:75.9pt;height:284.850pt;mso-position-horizontal-relative:page;mso-position-vertical-relative:page;z-index:-11052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咨询；</w:t>
                  </w:r>
                </w:p>
              </w:txbxContent>
            </v:textbox>
            <w10:wrap type="none"/>
          </v:shape>
        </w:pict>
      </w:r>
      <w:r>
        <w:rPr/>
        <w:pict>
          <v:group style="position:absolute;margin-left:221.699997pt;margin-top:72.480003pt;width:51.75pt;height:396.55pt;mso-position-horizontal-relative:page;mso-position-vertical-relative:page;z-index:-1105192" coordorigin="4434,1450" coordsize="1035,7931">
            <v:group style="position:absolute;left:4434;top:1450;width:1035;height:2225" coordorigin="4434,1450" coordsize="1035,2225">
              <v:shape style="position:absolute;left:4434;top:1450;width:1035;height:2225" coordorigin="4434,1450" coordsize="1035,2225" path="m4434,3674l5468,3674,5468,1450,4434,1450,4434,3674xe" filled="true" fillcolor="#ffffff" stroked="false">
                <v:path arrowok="t"/>
                <v:fill type="solid"/>
              </v:shape>
            </v:group>
            <v:group style="position:absolute;left:4434;top:3684;width:1035;height:5697" coordorigin="4434,3684" coordsize="1035,5697">
              <v:shape style="position:absolute;left:4434;top:3684;width:1035;height:5697" coordorigin="4434,3684" coordsize="1035,5697" path="m4434,9380l5468,9380,5468,3684,4434,3684,4434,9380xe" filled="true" fillcolor="#ffffff" stroked="false">
                <v:path arrowok="t"/>
                <v:fill type="solid"/>
              </v:shape>
            </v:group>
            <v:group style="position:absolute;left:4457;top:6336;width:989;height:393" coordorigin="4457,6336" coordsize="989,393">
              <v:shape style="position:absolute;left:4457;top:6336;width:989;height:393" coordorigin="4457,6336" coordsize="989,393" path="m4457,6728l5446,6728,5446,6336,4457,6336,4457,6728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辅助设备的</w:t>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国内贸易代</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理；信息技</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务；对外贸</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w:t>
            </w: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对房地产业</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的投资；房</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地产开发，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房地产中介</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服务；物业</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管理；室内</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马鞍山榕基 置业投资有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外装装饰工 程；园林绿 化工程；企 业管理咨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sz w:val="18"/>
              </w:rPr>
              <w:t>8,000,000.00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175,372,718.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-15,938,724.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4,148,165.71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-4,262,528.8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-4,542,858.6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询；企业形</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象策划；工</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程管理服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务；投资咨</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询服务；经</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济与 商务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电力行业协</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同办公系</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福建亿榕信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统、电力仪 器仪表、电 能计量设备 和电力信息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595,873,909.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200,645,546.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504,812,280.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7,120,006.75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74" w:right="0"/>
              <w:jc w:val="left"/>
              <w:rPr>
                <w:rFonts w:ascii="Times New Roman" w:hAnsi="Times New Roman" w:cs="Times New Roman" w:eastAsia="Times New Roman" w:hint="default"/>
                <w:sz w:val="18"/>
                <w:szCs w:val="18"/>
              </w:rPr>
            </w:pPr>
            <w:r>
              <w:rPr>
                <w:rFonts w:ascii="Times New Roman"/>
                <w:sz w:val="18"/>
              </w:rPr>
              <w:t>6,299,911.96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化建设咨询</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服务等</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报告期内取得和处置子公司的情况</w:t>
      </w:r>
    </w:p>
    <w:p>
      <w:pPr>
        <w:pStyle w:val="BodyText"/>
        <w:spacing w:line="338" w:lineRule="auto" w:before="116"/>
        <w:ind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240" w:lineRule="auto" w:before="42"/>
        <w:ind w:right="0"/>
        <w:jc w:val="left"/>
      </w:pPr>
      <w:r>
        <w:rPr/>
        <w:t>报告期内，参股公司福建亿榕信息技术有限公司进行业务改革及管理层部分人员更换，导致净利润出现较大波动。</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45" w:lineRule="auto"/>
        <w:ind w:left="513" w:right="6071"/>
        <w:jc w:val="left"/>
      </w:pPr>
      <w:r>
        <w:rPr>
          <w:rFonts w:ascii="Times New Roman" w:hAnsi="Times New Roman" w:cs="Times New Roman" w:eastAsia="Times New Roman" w:hint="default"/>
        </w:rPr>
        <w:t>1</w:t>
      </w:r>
      <w:r>
        <w:rPr/>
        <w:t>、行业竞争格局和发展趋势 公司所属行业为信息产业中的软件和信息技术服务业。</w:t>
      </w:r>
    </w:p>
    <w:p>
      <w:pPr>
        <w:pStyle w:val="BodyText"/>
        <w:spacing w:line="314" w:lineRule="auto" w:before="45"/>
        <w:ind w:right="1030" w:firstLine="360"/>
        <w:jc w:val="left"/>
      </w:pPr>
      <w:r>
        <w:rPr>
          <w:spacing w:val="-2"/>
        </w:rPr>
        <w:t>国内软件和信息技术服务业作为</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，受益于国家对新一代信息技术产业持续的政策和资金扶持，市场规</w:t>
      </w:r>
      <w:r>
        <w:rPr/>
        <w:t> </w:t>
      </w:r>
      <w:r>
        <w:rPr>
          <w:spacing w:val="-2"/>
        </w:rPr>
        <w:t>模持续扩大。同时，国民经济的发展和社会信息化的建设，引导社会各方面力量向软件产业领域持续投入，也将为软件产业</w:t>
      </w:r>
      <w:r>
        <w:rPr>
          <w:spacing w:val="-66"/>
        </w:rPr>
        <w:t> </w:t>
      </w:r>
      <w:r>
        <w:rPr>
          <w:spacing w:val="-66"/>
        </w:rPr>
      </w:r>
      <w:r>
        <w:rPr/>
        <w:t>的发展提供巨大的需求。未来，信息技术创新不断加快，信息领域新产品、新服务、新业态大量涌现，在云计算、大数据、 </w:t>
      </w:r>
      <w:r>
        <w:rPr>
          <w:spacing w:val="-2"/>
        </w:rPr>
        <w:t>物联网、移动互联网等新一代信息技术驱动下，将进一步加快软件业向服务化转型的步伐，使社会各领域信息化水平持续提</w:t>
      </w:r>
      <w:r>
        <w:rPr>
          <w:spacing w:val="-66"/>
        </w:rPr>
        <w:t> </w:t>
      </w:r>
      <w:r>
        <w:rPr>
          <w:spacing w:val="-66"/>
        </w:rPr>
      </w:r>
      <w:r>
        <w:rPr>
          <w:spacing w:val="-2"/>
        </w:rPr>
        <w:t>升。围绕着智慧城市建设、信息惠民工程建设，民生服务应用、政府信息化、信息基础设施建设等新的市场需求将不断被激</w:t>
      </w:r>
      <w:r>
        <w:rPr>
          <w:spacing w:val="-66"/>
        </w:rPr>
        <w:t> </w:t>
      </w:r>
      <w:r>
        <w:rPr>
          <w:spacing w:val="-66"/>
        </w:rPr>
      </w:r>
      <w:r>
        <w:rPr/>
        <w:t>发，为中国软件企业带来新的市场机遇和发展活力。</w:t>
      </w:r>
    </w:p>
    <w:p>
      <w:pPr>
        <w:pStyle w:val="BodyText"/>
        <w:spacing w:line="345" w:lineRule="auto" w:before="68"/>
        <w:ind w:left="514" w:right="0"/>
        <w:jc w:val="left"/>
      </w:pPr>
      <w:r>
        <w:rPr>
          <w:rFonts w:ascii="Times New Roman" w:hAnsi="Times New Roman" w:cs="Times New Roman" w:eastAsia="Times New Roman" w:hint="default"/>
        </w:rPr>
        <w:t>2</w:t>
      </w:r>
      <w:r>
        <w:rPr/>
        <w:t>、公司发展战略 </w:t>
      </w:r>
      <w:r>
        <w:rPr>
          <w:spacing w:val="-2"/>
        </w:rPr>
        <w:t>公司将紧抓软件服务行业云计算、物联网、移动互联网、大数据、智慧城市等新一代信息技术对传统行业信息化的升级</w:t>
      </w:r>
    </w:p>
    <w:p>
      <w:pPr>
        <w:pStyle w:val="BodyText"/>
        <w:spacing w:line="300" w:lineRule="auto"/>
        <w:ind w:right="0"/>
        <w:jc w:val="left"/>
      </w:pPr>
      <w:r>
        <w:rPr>
          <w:spacing w:val="-2"/>
        </w:rPr>
        <w:t>改造和迁移的发展趋势，继续推动</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发展战略，坚持技术创新，带动软件平台化和服务化商业模式</w:t>
      </w:r>
      <w:r>
        <w:rPr>
          <w:spacing w:val="-42"/>
        </w:rPr>
        <w:t> </w:t>
      </w:r>
      <w:r>
        <w:rPr>
          <w:spacing w:val="-42"/>
        </w:rPr>
      </w:r>
      <w:r>
        <w:rPr/>
        <w:t>创新，培育新的利润增长点，推动公司持续成长，实现规模化、跨越式发展。</w:t>
      </w:r>
    </w:p>
    <w:p>
      <w:pPr>
        <w:pStyle w:val="BodyText"/>
        <w:spacing w:line="240" w:lineRule="auto" w:before="79"/>
        <w:ind w:left="514" w:right="223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年经营计划</w:t>
      </w:r>
    </w:p>
    <w:p>
      <w:pPr>
        <w:pStyle w:val="BodyText"/>
        <w:spacing w:line="300" w:lineRule="auto" w:before="111"/>
        <w:ind w:right="1129" w:firstLine="360"/>
        <w:jc w:val="both"/>
      </w:pPr>
      <w:r>
        <w:rPr>
          <w:rFonts w:ascii="Times New Roman" w:hAnsi="Times New Roman" w:cs="Times New Roman" w:eastAsia="Times New Roman" w:hint="default"/>
          <w:spacing w:val="-2"/>
        </w:rPr>
        <w:t>2019</w:t>
      </w:r>
      <w:r>
        <w:rPr>
          <w:spacing w:val="-2"/>
        </w:rPr>
        <w:t>年，公司将努力扩大收入规模，提升细分业务领域的盈利水平。同时公司选择和公司当前业务、技术背景较为接近</w:t>
      </w:r>
      <w:r>
        <w:rPr/>
        <w:t> 且市场潜力较大的互联网</w:t>
      </w:r>
      <w:r>
        <w:rPr>
          <w:rFonts w:ascii="Times New Roman" w:hAnsi="Times New Roman" w:cs="Times New Roman" w:eastAsia="Times New Roman" w:hint="default"/>
        </w:rPr>
        <w:t>+</w:t>
      </w:r>
      <w:r>
        <w:rPr/>
        <w:t>政务、安全可靠、自主可控、金关工程、互联网</w:t>
      </w:r>
      <w:r>
        <w:rPr>
          <w:rFonts w:ascii="Times New Roman" w:hAnsi="Times New Roman" w:cs="Times New Roman" w:eastAsia="Times New Roman" w:hint="default"/>
        </w:rPr>
        <w:t>+</w:t>
      </w:r>
      <w:r>
        <w:rPr/>
        <w:t>党建、物联网平台、中小企业服务平台等作为</w:t>
      </w:r>
      <w:r>
        <w:rPr>
          <w:spacing w:val="-29"/>
        </w:rPr>
        <w:t> </w:t>
      </w:r>
      <w:r>
        <w:rPr>
          <w:spacing w:val="-29"/>
        </w:rPr>
      </w:r>
      <w:r>
        <w:rPr/>
        <w:t>新的突破方向，优化产业链布局，保持对关键业务和技术的投入力度，为未来发展奠定坚实基础。</w:t>
      </w:r>
    </w:p>
    <w:p>
      <w:pPr>
        <w:pStyle w:val="BodyText"/>
        <w:spacing w:line="300" w:lineRule="auto" w:before="79"/>
        <w:ind w:right="1128" w:firstLine="360"/>
        <w:jc w:val="both"/>
      </w:pPr>
      <w:r>
        <w:rPr/>
        <w:t>（</w:t>
      </w:r>
      <w:r>
        <w:rPr>
          <w:rFonts w:ascii="Times New Roman" w:hAnsi="Times New Roman" w:cs="Times New Roman" w:eastAsia="Times New Roman" w:hint="default"/>
        </w:rPr>
        <w:t>1</w:t>
      </w:r>
      <w:r>
        <w:rPr/>
        <w:t>）继续在重点发展行业巩固现有优势，加强顶层设计，以产品化和行业化思路强化行业布局；在持续跟进行业，以 持续创新的思路规划解决方案、产品和服务，逐步扩大核心业务比例。</w:t>
      </w:r>
    </w:p>
    <w:p>
      <w:pPr>
        <w:pStyle w:val="BodyText"/>
        <w:spacing w:line="309" w:lineRule="auto" w:before="79"/>
        <w:ind w:right="1128" w:firstLine="360"/>
        <w:jc w:val="both"/>
      </w:pPr>
      <w:r>
        <w:rPr/>
        <w:t>（</w:t>
      </w:r>
      <w:r>
        <w:rPr>
          <w:rFonts w:ascii="Times New Roman" w:hAnsi="Times New Roman" w:cs="Times New Roman" w:eastAsia="Times New Roman" w:hint="default"/>
        </w:rPr>
        <w:t>2</w:t>
      </w:r>
      <w:r>
        <w:rPr/>
        <w:t>）公司将进一步贯彻</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的经营战略创新，继续坚持以市场为导向、以企业技术中心为核心 </w:t>
      </w:r>
      <w:r>
        <w:rPr>
          <w:spacing w:val="-2"/>
        </w:rPr>
        <w:t>的自主创新体系，健全创新机制，加强人才队伍培养和引进，提升优势领域软件产品的研发和产业化速度，推动商业模式创</w:t>
      </w:r>
      <w:r>
        <w:rPr>
          <w:spacing w:val="-66"/>
        </w:rPr>
        <w:t> </w:t>
      </w:r>
      <w:r>
        <w:rPr>
          <w:spacing w:val="-66"/>
        </w:rPr>
      </w:r>
      <w:r>
        <w:rPr/>
        <w:t>新，推动逐步发展新的利润增长点。</w:t>
      </w:r>
    </w:p>
    <w:p>
      <w:pPr>
        <w:pStyle w:val="BodyText"/>
        <w:spacing w:line="300" w:lineRule="auto" w:before="72"/>
        <w:ind w:right="1040" w:firstLine="360"/>
        <w:jc w:val="both"/>
      </w:pPr>
      <w:r>
        <w:rPr>
          <w:spacing w:val="-2"/>
        </w:rPr>
        <w:t>（</w:t>
      </w:r>
      <w:r>
        <w:rPr>
          <w:rFonts w:ascii="Times New Roman" w:hAnsi="Times New Roman" w:cs="Times New Roman" w:eastAsia="Times New Roman" w:hint="default"/>
          <w:spacing w:val="-2"/>
        </w:rPr>
        <w:t>3</w:t>
      </w:r>
      <w:r>
        <w:rPr>
          <w:spacing w:val="-2"/>
        </w:rPr>
        <w:t>）公司坚持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的基本管理思想，建立科学、快速的利益响应机制，稳定公司核心骨干，引进中高层次人才，</w:t>
      </w:r>
      <w:r>
        <w:rPr/>
        <w:t> 优化人才结构，建立适合公司的激励机制。</w:t>
      </w:r>
    </w:p>
    <w:p>
      <w:pPr>
        <w:pStyle w:val="BodyText"/>
        <w:spacing w:line="300" w:lineRule="auto" w:before="79"/>
        <w:ind w:right="1128" w:firstLine="360"/>
        <w:jc w:val="both"/>
      </w:pPr>
      <w:r>
        <w:rPr/>
        <w:t>（</w:t>
      </w:r>
      <w:r>
        <w:rPr>
          <w:rFonts w:ascii="Times New Roman" w:hAnsi="Times New Roman" w:cs="Times New Roman" w:eastAsia="Times New Roman" w:hint="default"/>
        </w:rPr>
        <w:t>4</w:t>
      </w:r>
      <w:r>
        <w:rPr/>
        <w:t>）在技术创新方面，公司将加大在所处领域的核心产品和技术研发及产业化投入，不断增强技术实力，保持行业技 术领先水平，增强企业的核心竞争能力，为公司的成长提供产品和技术优势。</w:t>
      </w:r>
    </w:p>
    <w:p>
      <w:pPr>
        <w:pStyle w:val="BodyText"/>
        <w:spacing w:line="309" w:lineRule="auto" w:before="79"/>
        <w:ind w:right="1128" w:firstLine="360"/>
        <w:jc w:val="both"/>
      </w:pPr>
      <w:r>
        <w:rPr/>
        <w:t>（</w:t>
      </w:r>
      <w:r>
        <w:rPr>
          <w:rFonts w:ascii="Times New Roman" w:hAnsi="Times New Roman" w:cs="Times New Roman" w:eastAsia="Times New Roman" w:hint="default"/>
        </w:rPr>
        <w:t>5</w:t>
      </w:r>
      <w:r>
        <w:rPr/>
        <w:t>）在市场营销与服务体系建设方面，公司已初步建立以北京为指挥中心、遍布全国的营销和服务网络体系，公司将 </w:t>
      </w:r>
      <w:r>
        <w:rPr>
          <w:spacing w:val="-2"/>
        </w:rPr>
        <w:t>继续完善北京、上海、河南等区域中心体系建设，增强运维服务网点营销服务能力，继续完善产品代理体系，加大品牌宣传</w:t>
      </w:r>
      <w:r>
        <w:rPr>
          <w:spacing w:val="-66"/>
        </w:rPr>
        <w:t> </w:t>
      </w:r>
      <w:r>
        <w:rPr>
          <w:spacing w:val="-66"/>
        </w:rPr>
      </w:r>
      <w:r>
        <w:rPr/>
        <w:t>力度，促进公司规模化发展。</w:t>
      </w:r>
    </w:p>
    <w:p>
      <w:pPr>
        <w:pStyle w:val="BodyText"/>
        <w:spacing w:line="240" w:lineRule="auto" w:before="72"/>
        <w:ind w:left="514" w:right="2239"/>
        <w:jc w:val="left"/>
      </w:pPr>
      <w:r>
        <w:rPr>
          <w:rFonts w:ascii="Times New Roman" w:hAnsi="Times New Roman" w:cs="Times New Roman" w:eastAsia="Times New Roman" w:hint="default"/>
        </w:rPr>
        <w:t>4</w:t>
      </w:r>
      <w:r>
        <w:rPr/>
        <w:t>、未来面对的风险及应对措施</w:t>
      </w:r>
    </w:p>
    <w:p>
      <w:pPr>
        <w:pStyle w:val="BodyText"/>
        <w:spacing w:line="345" w:lineRule="auto" w:before="111"/>
        <w:ind w:left="514" w:right="0"/>
        <w:jc w:val="left"/>
      </w:pPr>
      <w:r>
        <w:rPr/>
        <w:t>（</w:t>
      </w:r>
      <w:r>
        <w:rPr>
          <w:rFonts w:ascii="Times New Roman" w:hAnsi="Times New Roman" w:cs="Times New Roman" w:eastAsia="Times New Roman" w:hint="default"/>
        </w:rPr>
        <w:t>1</w:t>
      </w:r>
      <w:r>
        <w:rPr/>
        <w:t>）人力资源风险 </w:t>
      </w:r>
      <w:r>
        <w:rPr>
          <w:spacing w:val="-2"/>
        </w:rPr>
        <w:t>公司规模的迅速扩张带来人才上的瓶颈，高端人才比较紧缺仍然是公司目前存在的主要困难，特别是研发人员扩张速度</w:t>
      </w:r>
    </w:p>
    <w:p>
      <w:pPr>
        <w:pStyle w:val="BodyText"/>
        <w:spacing w:line="233" w:lineRule="exact"/>
        <w:ind w:right="0"/>
        <w:jc w:val="left"/>
      </w:pPr>
      <w:r>
        <w:rPr/>
        <w:t>跟不上公司业务规模的扩张，导致公司潜在的新用户的需求得不到很好的满足，这可能会使公司失去一些市场机会。</w:t>
      </w:r>
    </w:p>
    <w:p>
      <w:pPr>
        <w:pStyle w:val="BodyText"/>
        <w:spacing w:line="309" w:lineRule="auto" w:before="116"/>
        <w:ind w:right="1128" w:firstLine="360"/>
        <w:jc w:val="both"/>
      </w:pPr>
      <w:r>
        <w:rPr>
          <w:rFonts w:ascii="Times New Roman" w:hAnsi="Times New Roman" w:cs="Times New Roman" w:eastAsia="Times New Roman" w:hint="default"/>
          <w:spacing w:val="-2"/>
        </w:rPr>
        <w:t>2019</w:t>
      </w:r>
      <w:r>
        <w:rPr>
          <w:spacing w:val="-2"/>
        </w:rPr>
        <w:t>年度公司将继续从人才培养和激励机制两方面来完善公司人才建设，建立多层次培训体系、薪酬体系和有效的激励</w:t>
      </w:r>
      <w:r>
        <w:rPr/>
        <w:t> </w:t>
      </w:r>
      <w:r>
        <w:rPr>
          <w:spacing w:val="-2"/>
        </w:rPr>
        <w:t>措施，满足研发技术类的人才需求；加强企业文化建设，把</w:t>
      </w:r>
      <w:r>
        <w:rPr>
          <w:rFonts w:ascii="Times New Roman" w:hAnsi="Times New Roman" w:cs="Times New Roman" w:eastAsia="Times New Roman" w:hint="default"/>
          <w:spacing w:val="-2"/>
        </w:rPr>
        <w:t>“</w:t>
      </w:r>
      <w:r>
        <w:rPr>
          <w:spacing w:val="-2"/>
        </w:rPr>
        <w:t>服务于社会以促进企业发展，贡献于企业以追求个人进步</w:t>
      </w:r>
      <w:r>
        <w:rPr>
          <w:rFonts w:ascii="Times New Roman" w:hAnsi="Times New Roman" w:cs="Times New Roman" w:eastAsia="Times New Roman" w:hint="default"/>
          <w:spacing w:val="-2"/>
        </w:rPr>
        <w:t>”</w:t>
      </w:r>
      <w:r>
        <w:rPr>
          <w:spacing w:val="-2"/>
        </w:rPr>
        <w:t>作为</w:t>
      </w:r>
      <w:r>
        <w:rPr>
          <w:spacing w:val="-44"/>
        </w:rPr>
        <w:t> </w:t>
      </w:r>
      <w:r>
        <w:rPr>
          <w:spacing w:val="-2"/>
        </w:rPr>
        <w:t>核心价值观，努力培育团结、创新、开拓、务实的企业文化精神，争取广大员工的认可；将投入更多资源改善工作环境和工</w:t>
      </w:r>
      <w:r>
        <w:rPr>
          <w:spacing w:val="-67"/>
        </w:rPr>
        <w:t> </w:t>
      </w:r>
      <w:r>
        <w:rPr>
          <w:spacing w:val="-67"/>
        </w:rPr>
      </w:r>
      <w:r>
        <w:rPr>
          <w:spacing w:val="-2"/>
        </w:rPr>
        <w:t>作条件，增强公司对高素质人才的吸引力和归属感。公司将在河南、上海设立区域研发中心，未来还将根据发展需要在其他</w:t>
      </w:r>
      <w:r>
        <w:rPr>
          <w:spacing w:val="-66"/>
        </w:rPr>
        <w:t> </w:t>
      </w:r>
      <w:r>
        <w:rPr>
          <w:spacing w:val="-66"/>
        </w:rPr>
      </w:r>
      <w:r>
        <w:rPr/>
        <w:t>地区设立区域研发中心。</w:t>
      </w:r>
    </w:p>
    <w:p>
      <w:pPr>
        <w:pStyle w:val="BodyText"/>
        <w:spacing w:line="345" w:lineRule="auto" w:before="73"/>
        <w:ind w:left="514" w:right="0"/>
        <w:jc w:val="left"/>
      </w:pPr>
      <w:r>
        <w:rPr/>
        <w:t>（</w:t>
      </w:r>
      <w:r>
        <w:rPr>
          <w:rFonts w:ascii="Times New Roman" w:hAnsi="Times New Roman" w:cs="Times New Roman" w:eastAsia="Times New Roman" w:hint="default"/>
        </w:rPr>
        <w:t>2</w:t>
      </w:r>
      <w:r>
        <w:rPr/>
        <w:t>）行业技术风险 </w:t>
      </w:r>
      <w:r>
        <w:rPr>
          <w:spacing w:val="-2"/>
        </w:rPr>
        <w:t>软件行业技术进步快、产品更新快、市场需求变化快的特点以及公司规模化扩张对公司保持持续的技术领先提出了更高</w:t>
      </w:r>
    </w:p>
    <w:p>
      <w:pPr>
        <w:pStyle w:val="BodyText"/>
        <w:spacing w:line="233" w:lineRule="exact"/>
        <w:ind w:right="0"/>
        <w:jc w:val="left"/>
      </w:pPr>
      <w:r>
        <w:rPr/>
        <w:t>的要求。公司将继续跟踪、学习和应用新的技术，准确把握国际信息技术发展趋势，继续积极开发具有自有知识产权的新产</w:t>
      </w:r>
    </w:p>
    <w:p>
      <w:pPr>
        <w:spacing w:after="0" w:line="233" w:lineRule="exact"/>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2239"/>
        <w:jc w:val="left"/>
      </w:pPr>
      <w:r>
        <w:rPr/>
        <w:t>品，开发出功能和性能更加完善的新产品，以满足客户更加多样化、个性化的需求。</w:t>
      </w:r>
    </w:p>
    <w:p>
      <w:pPr>
        <w:pStyle w:val="BodyText"/>
        <w:spacing w:line="345" w:lineRule="auto" w:before="124"/>
        <w:ind w:left="513" w:right="0"/>
        <w:jc w:val="left"/>
      </w:pPr>
      <w:r>
        <w:rPr/>
        <w:t>（</w:t>
      </w:r>
      <w:r>
        <w:rPr>
          <w:rFonts w:ascii="Times New Roman" w:hAnsi="Times New Roman" w:cs="Times New Roman" w:eastAsia="Times New Roman" w:hint="default"/>
        </w:rPr>
        <w:t>3</w:t>
      </w:r>
      <w:r>
        <w:rPr/>
        <w:t>）公司管理能力风险 </w:t>
      </w:r>
      <w:r>
        <w:rPr>
          <w:spacing w:val="-2"/>
        </w:rPr>
        <w:t>随着公司业务规模的扩大，人员的增长，对运营管控能力提出更高的要求。如果公司管理能力不能跟上规模和人员发展</w:t>
      </w:r>
    </w:p>
    <w:p>
      <w:pPr>
        <w:pStyle w:val="BodyText"/>
        <w:spacing w:line="367" w:lineRule="auto"/>
        <w:ind w:left="513" w:right="0" w:hanging="360"/>
        <w:jc w:val="left"/>
      </w:pPr>
      <w:r>
        <w:rPr/>
        <w:t>的要求，将会对公司业绩产生影响。 </w:t>
      </w:r>
      <w:r>
        <w:rPr>
          <w:spacing w:val="-2"/>
        </w:rPr>
        <w:t>公司将通过进一步完善法人治理结构，建立健全的内部组织结构，细化内控的具体执行办法，完成对相关人员的业务和</w:t>
      </w:r>
    </w:p>
    <w:p>
      <w:pPr>
        <w:pStyle w:val="BodyText"/>
        <w:spacing w:line="217" w:lineRule="exact"/>
        <w:ind w:left="153" w:right="0"/>
        <w:jc w:val="left"/>
      </w:pPr>
      <w:r>
        <w:rPr/>
        <w:t>风险防范培训、考核、监督与评价工作等方式从而避免在公司管理能力出现的风险，积极应对公司规模扩张带来的挑战。</w:t>
      </w:r>
    </w:p>
    <w:p>
      <w:pPr>
        <w:pStyle w:val="BodyText"/>
        <w:spacing w:line="345" w:lineRule="auto" w:before="124"/>
        <w:ind w:left="513" w:right="1031"/>
        <w:jc w:val="left"/>
      </w:pPr>
      <w:r>
        <w:rPr/>
        <w:t>（</w:t>
      </w:r>
      <w:r>
        <w:rPr>
          <w:rFonts w:ascii="Times New Roman" w:hAnsi="Times New Roman" w:cs="Times New Roman" w:eastAsia="Times New Roman" w:hint="default"/>
        </w:rPr>
        <w:t>4</w:t>
      </w:r>
      <w:r>
        <w:rPr/>
        <w:t>）新业务投入风险 公司依照发展战略及面临的市场形势，</w:t>
      </w:r>
      <w:r>
        <w:rPr>
          <w:rFonts w:ascii="Times New Roman" w:hAnsi="Times New Roman" w:cs="Times New Roman" w:eastAsia="Times New Roman" w:hint="default"/>
        </w:rPr>
        <w:t>2019</w:t>
      </w:r>
      <w:r>
        <w:rPr/>
        <w:t>年将继续保持新业务的投入力度。新业务的投入会相应增加公司经营成本，</w:t>
      </w:r>
    </w:p>
    <w:p>
      <w:pPr>
        <w:pStyle w:val="BodyText"/>
        <w:spacing w:line="211" w:lineRule="exact"/>
        <w:ind w:left="153" w:right="2239"/>
        <w:jc w:val="left"/>
      </w:pPr>
      <w:r>
        <w:rPr/>
        <w:t>如遭遇重大市场环境变化，有可能达不到预期的投资目标。</w:t>
      </w:r>
    </w:p>
    <w:p>
      <w:pPr>
        <w:pStyle w:val="BodyText"/>
        <w:spacing w:line="316" w:lineRule="auto" w:before="124"/>
        <w:ind w:left="153" w:right="0" w:firstLine="360"/>
        <w:jc w:val="left"/>
      </w:pPr>
      <w:r>
        <w:rPr>
          <w:spacing w:val="-4"/>
        </w:rPr>
        <w:t>公司将通过跟踪新业务市场发展趋势，定期进行新业务研讨、严格审核大额新业务投入等措施提高新业务开展的预见性，</w:t>
      </w:r>
      <w:r>
        <w:rPr/>
        <w:t> 降低由此带来的经营风险。</w:t>
      </w:r>
    </w:p>
    <w:p>
      <w:pPr>
        <w:spacing w:line="240" w:lineRule="auto" w:before="10"/>
        <w:rPr>
          <w:rFonts w:ascii="宋体" w:hAnsi="宋体" w:cs="宋体" w:eastAsia="宋体" w:hint="default"/>
          <w:sz w:val="20"/>
          <w:szCs w:val="20"/>
        </w:rPr>
      </w:pPr>
    </w:p>
    <w:p>
      <w:pPr>
        <w:pStyle w:val="Heading2"/>
        <w:spacing w:line="240" w:lineRule="auto"/>
        <w:ind w:right="2239"/>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69"/>
              <w:jc w:val="both"/>
              <w:rPr>
                <w:rFonts w:ascii="Times New Roman" w:hAnsi="Times New Roman" w:cs="Times New Roman" w:eastAsia="Times New Roman" w:hint="default"/>
                <w:sz w:val="18"/>
                <w:szCs w:val="18"/>
              </w:rPr>
            </w:pPr>
            <w:hyperlink r:id="rId15">
              <w:r>
                <w:rPr>
                  <w:rFonts w:ascii="Times New Roman"/>
                  <w:spacing w:val="-1"/>
                  <w:sz w:val="18"/>
                </w:rPr>
                <w:t>http://www.cninfo.com.cn/new/disclosur</w:t>
              </w:r>
            </w:hyperlink>
            <w:r>
              <w:rPr>
                <w:rFonts w:ascii="Times New Roman"/>
                <w:spacing w:val="-24"/>
                <w:sz w:val="18"/>
              </w:rPr>
              <w:t> </w:t>
            </w:r>
            <w:r>
              <w:rPr>
                <w:rFonts w:ascii="Times New Roman"/>
                <w:spacing w:val="-24"/>
                <w:sz w:val="18"/>
              </w:rPr>
            </w:r>
            <w:r>
              <w:rPr>
                <w:rFonts w:ascii="Times New Roman"/>
                <w:sz w:val="18"/>
              </w:rPr>
              <w:t>e/detail?plate=szse&amp;stockCode=002474</w:t>
            </w:r>
            <w:r>
              <w:rPr>
                <w:rFonts w:ascii="Times New Roman"/>
                <w:spacing w:val="-1"/>
                <w:w w:val="100"/>
                <w:sz w:val="18"/>
              </w:rPr>
              <w:t> </w:t>
            </w:r>
            <w:r>
              <w:rPr>
                <w:rFonts w:ascii="Times New Roman"/>
                <w:sz w:val="18"/>
              </w:rPr>
              <w:t>&amp;announcementId=1204626107&amp;annou</w:t>
            </w:r>
            <w:r>
              <w:rPr>
                <w:rFonts w:ascii="Times New Roman"/>
                <w:w w:val="100"/>
                <w:sz w:val="18"/>
              </w:rPr>
              <w:t> </w:t>
            </w:r>
            <w:r>
              <w:rPr>
                <w:rFonts w:ascii="Times New Roman"/>
                <w:sz w:val="18"/>
              </w:rPr>
              <w:t>ncementTime=2018-04-13%2020:44</w:t>
            </w:r>
          </w:p>
        </w:tc>
      </w:tr>
    </w:tbl>
    <w:p>
      <w:pPr>
        <w:spacing w:after="0" w:line="362" w:lineRule="auto"/>
        <w:jc w:val="both"/>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1471"/>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239"/>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报告期内普通股利润分配政策，特别是现金分红政策的制定、执行或调整情况</w:t>
      </w:r>
    </w:p>
    <w:p>
      <w:pPr>
        <w:pStyle w:val="BodyText"/>
        <w:spacing w:line="240" w:lineRule="auto" w:before="117"/>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239"/>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40" w:lineRule="auto" w:before="102"/>
        <w:ind w:left="514" w:right="0" w:hanging="36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年度权益分派方案： </w:t>
      </w:r>
      <w:r>
        <w:rPr>
          <w:spacing w:val="-1"/>
        </w:rPr>
        <w:t>以</w:t>
      </w:r>
      <w:r>
        <w:rPr>
          <w:rFonts w:ascii="Times New Roman" w:hAnsi="Times New Roman" w:cs="Times New Roman" w:eastAsia="Times New Roman" w:hint="default"/>
          <w:spacing w:val="-1"/>
        </w:rPr>
        <w:t>2016</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0.10</w:t>
      </w:r>
      <w:r>
        <w:rPr>
          <w:spacing w:val="-1"/>
        </w:rPr>
        <w:t>元（含税），共派发股利</w:t>
      </w:r>
      <w:r>
        <w:rPr>
          <w:rFonts w:ascii="Times New Roman" w:hAnsi="Times New Roman" w:cs="Times New Roman" w:eastAsia="Times New Roman" w:hint="default"/>
          <w:spacing w:val="-1"/>
        </w:rPr>
        <w:t>6,222,000</w:t>
      </w:r>
      <w:r>
        <w:rPr>
          <w:spacing w:val="-1"/>
        </w:rPr>
        <w:t>元，剩余未</w:t>
      </w:r>
    </w:p>
    <w:p>
      <w:pPr>
        <w:pStyle w:val="BodyText"/>
        <w:spacing w:line="228" w:lineRule="exact"/>
        <w:ind w:right="2239"/>
        <w:jc w:val="left"/>
      </w:pPr>
      <w:r>
        <w:rPr/>
        <w:t>分配利润</w:t>
      </w:r>
      <w:r>
        <w:rPr>
          <w:rFonts w:ascii="Times New Roman" w:hAnsi="Times New Roman" w:cs="Times New Roman" w:eastAsia="Times New Roman" w:hint="default"/>
        </w:rPr>
        <w:t>367,591,797.59</w:t>
      </w:r>
      <w:r>
        <w:rPr/>
        <w:t>元结转下一年度，</w:t>
      </w:r>
      <w:r>
        <w:rPr>
          <w:rFonts w:ascii="Times New Roman" w:hAnsi="Times New Roman" w:cs="Times New Roman" w:eastAsia="Times New Roman" w:hint="default"/>
        </w:rPr>
        <w:t>2016</w:t>
      </w:r>
      <w:r>
        <w:rPr/>
        <w:t>年度公司不进行资本公积金转增股本。</w:t>
      </w:r>
    </w:p>
    <w:p>
      <w:pPr>
        <w:pStyle w:val="BodyText"/>
        <w:spacing w:line="338" w:lineRule="auto" w:before="102"/>
        <w:ind w:left="514" w:right="0" w:hanging="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年度权益分派方案： </w:t>
      </w:r>
      <w:r>
        <w:rPr>
          <w:spacing w:val="-1"/>
        </w:rPr>
        <w:t>以</w:t>
      </w:r>
      <w:r>
        <w:rPr>
          <w:rFonts w:ascii="Times New Roman" w:hAnsi="Times New Roman" w:cs="Times New Roman" w:eastAsia="Times New Roman" w:hint="default"/>
          <w:spacing w:val="-1"/>
        </w:rPr>
        <w:t>2017</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0.10</w:t>
      </w:r>
      <w:r>
        <w:rPr>
          <w:spacing w:val="-1"/>
        </w:rPr>
        <w:t>元（含税），共派发股利</w:t>
      </w:r>
      <w:r>
        <w:rPr>
          <w:rFonts w:ascii="Times New Roman" w:hAnsi="Times New Roman" w:cs="Times New Roman" w:eastAsia="Times New Roman" w:hint="default"/>
          <w:spacing w:val="-1"/>
        </w:rPr>
        <w:t>6,222,000</w:t>
      </w:r>
      <w:r>
        <w:rPr>
          <w:spacing w:val="-1"/>
        </w:rPr>
        <w:t>元，剩余未</w:t>
      </w:r>
    </w:p>
    <w:p>
      <w:pPr>
        <w:pStyle w:val="BodyText"/>
        <w:spacing w:line="230" w:lineRule="exact"/>
        <w:ind w:right="2239"/>
        <w:jc w:val="left"/>
      </w:pPr>
      <w:r>
        <w:rPr/>
        <w:t>分配利润</w:t>
      </w:r>
      <w:r>
        <w:rPr>
          <w:rFonts w:ascii="Times New Roman" w:hAnsi="Times New Roman" w:cs="Times New Roman" w:eastAsia="Times New Roman" w:hint="default"/>
        </w:rPr>
        <w:t>402,596,388.57</w:t>
      </w:r>
      <w:r>
        <w:rPr/>
        <w:t>元结转下一年度，</w:t>
      </w:r>
      <w:r>
        <w:rPr>
          <w:rFonts w:ascii="Times New Roman" w:hAnsi="Times New Roman" w:cs="Times New Roman" w:eastAsia="Times New Roman" w:hint="default"/>
        </w:rPr>
        <w:t>2017</w:t>
      </w:r>
      <w:r>
        <w:rPr/>
        <w:t>年度公司不进行资本公积金转增股本。</w:t>
      </w:r>
    </w:p>
    <w:p>
      <w:pPr>
        <w:pStyle w:val="BodyText"/>
        <w:spacing w:line="338" w:lineRule="auto" w:before="103"/>
        <w:ind w:left="443" w:right="0" w:hanging="29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年度权益分派预案： 以</w:t>
      </w:r>
      <w:r>
        <w:rPr>
          <w:rFonts w:ascii="Times New Roman" w:hAnsi="Times New Roman" w:cs="Times New Roman" w:eastAsia="Times New Roman" w:hint="default"/>
        </w:rPr>
        <w:t>2018</w:t>
      </w:r>
      <w:r>
        <w:rPr/>
        <w:t>年年末总股本</w:t>
      </w:r>
      <w:r>
        <w:rPr>
          <w:rFonts w:ascii="Times New Roman" w:hAnsi="Times New Roman" w:cs="Times New Roman" w:eastAsia="Times New Roman" w:hint="default"/>
        </w:rPr>
        <w:t>622,200,000</w:t>
      </w:r>
      <w:r>
        <w:rPr/>
        <w:t>股为基数，向全体股东每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0.10</w:t>
      </w:r>
      <w:r>
        <w:rPr/>
        <w:t>元（含税），共派发股利</w:t>
      </w:r>
      <w:r>
        <w:rPr>
          <w:rFonts w:ascii="Times New Roman" w:hAnsi="Times New Roman" w:cs="Times New Roman" w:eastAsia="Times New Roman" w:hint="default"/>
        </w:rPr>
        <w:t>6,222,000</w:t>
      </w:r>
      <w:r>
        <w:rPr/>
        <w:t>元，剩余未</w:t>
      </w:r>
    </w:p>
    <w:p>
      <w:pPr>
        <w:pStyle w:val="BodyText"/>
        <w:spacing w:line="230" w:lineRule="exact"/>
        <w:ind w:right="2239"/>
        <w:jc w:val="left"/>
      </w:pPr>
      <w:r>
        <w:rPr/>
        <w:t>分配利润</w:t>
      </w:r>
      <w:r>
        <w:rPr>
          <w:rFonts w:ascii="Times New Roman" w:hAnsi="Times New Roman" w:cs="Times New Roman" w:eastAsia="Times New Roman" w:hint="default"/>
        </w:rPr>
        <w:t>441,615,996.47</w:t>
      </w:r>
      <w:r>
        <w:rPr/>
        <w:t>元结转下一年度，</w:t>
      </w:r>
      <w:r>
        <w:rPr>
          <w:rFonts w:ascii="Times New Roman" w:hAnsi="Times New Roman" w:cs="Times New Roman" w:eastAsia="Times New Roman" w:hint="default"/>
        </w:rPr>
        <w:t>2018</w:t>
      </w:r>
      <w:r>
        <w:rPr/>
        <w:t>年度公司不进行资本公积金转增股本。</w:t>
      </w:r>
    </w:p>
    <w:p>
      <w:pPr>
        <w:pStyle w:val="BodyText"/>
        <w:spacing w:line="240" w:lineRule="auto" w:before="102"/>
        <w:ind w:right="2239"/>
        <w:jc w:val="left"/>
      </w:pPr>
      <w:r>
        <w:rPr/>
        <w:t>公司近三年（包括本报告期）普通股现金分红情况表</w:t>
      </w:r>
    </w:p>
    <w:p>
      <w:pPr>
        <w:pStyle w:val="BodyText"/>
        <w:spacing w:line="240" w:lineRule="auto" w:before="117"/>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227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7"/>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53"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34,864,137.25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17.85%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32,763,224.88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18.99%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24,845,319.23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25.04%</w:t>
            </w:r>
          </w:p>
        </w:tc>
      </w:tr>
    </w:tbl>
    <w:p>
      <w:pPr>
        <w:pStyle w:val="BodyText"/>
        <w:spacing w:line="240" w:lineRule="auto" w:before="51"/>
        <w:ind w:right="2239"/>
        <w:jc w:val="left"/>
      </w:pPr>
      <w:r>
        <w:rPr/>
        <w:t>公司报告期内盈利且母公司可供普通股股东分配利润为正但未提出普通股现金红利分配预案</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二、本报告期利润分配及资本公积金转增股本预案情况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95"/>
        <w:gridCol w:w="5773"/>
      </w:tblGrid>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622,200,000</w:t>
            </w:r>
          </w:p>
        </w:tc>
      </w:tr>
      <w:tr>
        <w:trPr>
          <w:trHeight w:val="403" w:hRule="exact"/>
        </w:trPr>
        <w:tc>
          <w:tcPr>
            <w:tcW w:w="3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6,222,000.00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138"/>
        <w:jc w:val="right"/>
      </w:pPr>
      <w:r>
        <w:rPr/>
        <w:pict>
          <v:shape style="position:absolute;margin-left:56.459999pt;margin-top:-174.948044pt;width:479.1pt;height:208.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447,837,996.47</w:t>
                        </w:r>
                      </w:p>
                    </w:tc>
                  </w:tr>
                  <w:tr>
                    <w:trPr>
                      <w:trHeight w:val="714"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日召开的第四届董事会第十六次会议审议通过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年年末总股本</w:t>
                        </w:r>
                      </w:p>
                      <w:p>
                        <w:pPr>
                          <w:pStyle w:val="TableParagraph"/>
                          <w:spacing w:line="300" w:lineRule="auto" w:before="64"/>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622,200,000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股为基数，向全体股东每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元（含税），共派发现金股利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6,222,000.00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元（含税），送红股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 </w:t>
                        </w:r>
                        <w:r>
                          <w:rPr>
                            <w:rFonts w:ascii="宋体" w:hAnsi="宋体" w:cs="宋体" w:eastAsia="宋体" w:hint="default"/>
                            <w:sz w:val="18"/>
                            <w:szCs w:val="18"/>
                          </w:rPr>
                          <w:t>不以公积金转增股本。</w:t>
                        </w:r>
                      </w:p>
                    </w:tc>
                  </w:tr>
                </w:tbl>
                <w:p>
                  <w:pPr/>
                </w:p>
              </w:txbxContent>
            </v:textbox>
            <w10:wrap type="none"/>
          </v:shape>
        </w:pict>
      </w:r>
      <w:r>
        <w:rPr>
          <w:spacing w:val="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2239"/>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851"/>
        <w:gridCol w:w="2836"/>
        <w:gridCol w:w="850"/>
        <w:gridCol w:w="992"/>
        <w:gridCol w:w="1062"/>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88"/>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8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在本公司任董事、高级管理人员的 股东鲁峰、侯伟承诺：在其任职期 间每年转让的股份不得超过其所持 有本公司股份总数的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半年内，不转让其所持有的本公司 股份；申报离职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个月后的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 内通过证券交易所挂牌交易出售的 发行人股票数量占其所持有发行人 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2" w:right="59"/>
              <w:jc w:val="both"/>
              <w:rPr>
                <w:rFonts w:ascii="宋体" w:hAnsi="宋体" w:cs="宋体" w:eastAsia="宋体" w:hint="default"/>
                <w:sz w:val="18"/>
                <w:szCs w:val="18"/>
              </w:rPr>
            </w:pPr>
            <w:r>
              <w:rPr>
                <w:rFonts w:ascii="宋体" w:hAnsi="宋体" w:cs="宋体" w:eastAsia="宋体" w:hint="default"/>
                <w:sz w:val="18"/>
                <w:szCs w:val="18"/>
              </w:rPr>
              <w:t>在职期间以 及申报离职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p>
          <w:p>
            <w:pPr>
              <w:pStyle w:val="TableParagraph"/>
              <w:spacing w:line="246"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2546"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为了避免将来发生同业竞争，公司 控股股东鲁峰和股东侯伟出具了</w:t>
            </w:r>
          </w:p>
          <w:p>
            <w:pPr>
              <w:pStyle w:val="TableParagraph"/>
              <w:spacing w:line="316" w:lineRule="auto" w:before="17"/>
              <w:ind w:left="22" w:right="32"/>
              <w:jc w:val="left"/>
              <w:rPr>
                <w:rFonts w:ascii="宋体" w:hAnsi="宋体" w:cs="宋体" w:eastAsia="宋体" w:hint="default"/>
                <w:sz w:val="18"/>
                <w:szCs w:val="18"/>
              </w:rPr>
            </w:pPr>
            <w:r>
              <w:rPr>
                <w:rFonts w:ascii="宋体" w:hAnsi="宋体" w:cs="宋体" w:eastAsia="宋体" w:hint="default"/>
                <w:spacing w:val="-7"/>
                <w:sz w:val="18"/>
                <w:szCs w:val="18"/>
              </w:rPr>
              <w:t>《放弃竞争与利益冲突承诺函》，承</w:t>
            </w:r>
            <w:r>
              <w:rPr>
                <w:rFonts w:ascii="宋体" w:hAnsi="宋体" w:cs="宋体" w:eastAsia="宋体" w:hint="default"/>
                <w:spacing w:val="-11"/>
                <w:sz w:val="18"/>
                <w:szCs w:val="18"/>
              </w:rPr>
              <w:t> </w:t>
            </w:r>
            <w:r>
              <w:rPr>
                <w:rFonts w:ascii="宋体" w:hAnsi="宋体" w:cs="宋体" w:eastAsia="宋体" w:hint="default"/>
                <w:sz w:val="18"/>
                <w:szCs w:val="18"/>
              </w:rPr>
              <w:t>诺不生产、开发任何与股份公司及</w:t>
            </w:r>
            <w:r>
              <w:rPr>
                <w:rFonts w:ascii="宋体" w:hAnsi="宋体" w:cs="宋体" w:eastAsia="宋体" w:hint="default"/>
                <w:sz w:val="18"/>
                <w:szCs w:val="18"/>
              </w:rPr>
              <w:t> 其下属子公司生产的产品构成竞争 或可能构成竞争的产品，不直接或 间接经营任何与股份公司及其下属 子公司经营的业务构成竞争或可能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66.940002pt;margin-top:540.900024pt;width:165.2pt;height:220.4pt;mso-position-horizontal-relative:page;mso-position-vertical-relative:page;z-index:-1105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firstLine="900"/>
                    <w:jc w:val="left"/>
                  </w:pPr>
                  <w:r>
                    <w:rPr/>
                    <w:t>股东大会负责审批。</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636" w:lineRule="auto"/>
                    <w:ind w:left="180" w:right="781" w:hanging="180"/>
                    <w:jc w:val="left"/>
                  </w:pPr>
                  <w:r>
                    <w:rPr/>
                    <w:t>董事会应当作出现金分红预案。 应当在定期报告中披露原因，</w:t>
                  </w:r>
                </w:p>
              </w:txbxContent>
            </v:textbox>
            <w10:wrap type="none"/>
          </v:shape>
        </w:pict>
      </w:r>
      <w:r>
        <w:rPr/>
        <w:pict>
          <v:group style="position:absolute;margin-left:390.119995pt;margin-top:540.900024pt;width:42pt;height:220.4pt;mso-position-horizontal-relative:page;mso-position-vertical-relative:page;z-index:-1105120" coordorigin="7802,10818" coordsize="840,4408">
            <v:group style="position:absolute;left:7802;top:10818;width:840;height:4408" coordorigin="7802,10818" coordsize="840,4408">
              <v:shape style="position:absolute;left:7802;top:10818;width:840;height:4408" coordorigin="7802,10818" coordsize="840,4408" path="m7802,15226l8642,15226,8642,10818,7802,10818,7802,15226xe" filled="true" fillcolor="#ffffff" stroked="false">
                <v:path arrowok="t"/>
                <v:fill type="solid"/>
              </v:shape>
            </v:group>
            <v:group style="position:absolute;left:7825;top:12670;width:794;height:353" coordorigin="7825,12670" coordsize="794,353">
              <v:shape style="position:absolute;left:7825;top:12670;width:794;height:353" coordorigin="7825,12670" coordsize="794,353" path="m7825,13022l8618,13022,8618,12670,7825,12670,7825,13022xe" filled="true" fillcolor="#ffffff" stroked="false">
                <v:path arrowok="t"/>
                <v:fill type="solid"/>
              </v:shape>
            </v:group>
            <v:group style="position:absolute;left:7825;top:13022;width:794;height:352" coordorigin="7825,13022" coordsize="794,352">
              <v:shape style="position:absolute;left:7825;top:13022;width:794;height:352" coordorigin="7825,13022" coordsize="794,352" path="m7825,13374l8618,13374,8618,13022,7825,13022,7825,13374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851"/>
        <w:gridCol w:w="2836"/>
        <w:gridCol w:w="850"/>
        <w:gridCol w:w="992"/>
        <w:gridCol w:w="1062"/>
      </w:tblGrid>
      <w:tr>
        <w:trPr>
          <w:trHeight w:val="317"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构成竞争的业务，也不参与投资任</w:t>
            </w: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何与股份公司及其下属子公司生产</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的产品或经营的业务构成竞争或可</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能构成竞争的其他企业；从第三方</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获得的商业机会如果属于股份公司</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主营业务范围之内的，将尽可能地</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协助股份公司取得该等商业机会。</w:t>
            </w: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公司属于高新技术企业，行业内技</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术人员流动性较大，为了保护公司</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的知识产权和保持核心人员的稳 定，公司已与高级管理人员和核心 技术人员签订劳动合同，上述人员</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同时对公司出具了《保密义务、技</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术成果归属承诺书</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公司所有募集资金将存放于专户管</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96"/>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理，并用于公司新一代电子政务应 用平台、信息安全风险综合管理系 统、质检三电工程企业端软件运维 服务平台、协同管理软件平台、技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术研发与创新中心等主营业务。</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、公司最近十二个月未进行风险投</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资，未为控股子公司以外的对象提</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供财务资助；</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、公司承诺补充流动</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73"/>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资金后十二个月内不进行风险投资 及为控股子公司以外的对象提供财 </w:t>
            </w:r>
            <w:r>
              <w:rPr>
                <w:rFonts w:ascii="宋体" w:hAnsi="宋体" w:cs="宋体" w:eastAsia="宋体" w:hint="default"/>
                <w:spacing w:val="-1"/>
                <w:sz w:val="18"/>
                <w:szCs w:val="18"/>
              </w:rPr>
              <w:t>务资助；</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、公司本次是按照实际需</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30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求补充流动资金，且每十二个月内</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累计金额不超过超募资金总额的</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公司章程第一百六十五条规定：</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（一）公司董事会负责制定公司的</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股利分配预案，</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在公司当年度盈利且提取法定公积</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金及弥补以前年度亏损后仍有剩余</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分红承诺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时， 公司董事会未做出现金利润分配预 案的， 公司独立董事应当对此发表独立意</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w:t>
            </w:r>
            <w:r>
              <w:rPr>
                <w:rFonts w:ascii="宋体" w:hAnsi="宋体" w:cs="宋体" w:eastAsia="宋体" w:hint="default"/>
                <w:spacing w:val="-96"/>
                <w:sz w:val="18"/>
                <w:szCs w:val="18"/>
              </w:rPr>
              <w:t>。</w:t>
            </w:r>
            <w:r>
              <w:rPr>
                <w:rFonts w:ascii="宋体" w:hAnsi="宋体" w:cs="宋体" w:eastAsia="宋体" w:hint="default"/>
                <w:sz w:val="18"/>
                <w:szCs w:val="18"/>
              </w:rPr>
              <w:t>（二</w:t>
            </w:r>
            <w:r>
              <w:rPr>
                <w:rFonts w:ascii="宋体" w:hAnsi="宋体" w:cs="宋体" w:eastAsia="宋体" w:hint="default"/>
                <w:spacing w:val="-6"/>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每年以现金方式分配</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的利润应当不少于当年可分配利润</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；公司上市后连续三年以现</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3" w:type="dxa"/>
            <w:vMerge/>
            <w:tcBorders>
              <w:left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金方式累计分配的利润应不少于该</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连续三年实现的年均可分配利润的</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66.940002pt;margin-top:72.480003pt;width:165.2pt;height:329.65pt;mso-position-horizontal-relative:page;mso-position-vertical-relative:page;z-index:-1105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制订周期内股东分红回报规划。</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851"/>
        <w:gridCol w:w="2836"/>
        <w:gridCol w:w="850"/>
        <w:gridCol w:w="992"/>
        <w:gridCol w:w="1062"/>
      </w:tblGrid>
      <w:tr>
        <w:trPr>
          <w:trHeight w:val="322" w:hRule="exact"/>
        </w:trPr>
        <w:tc>
          <w:tcPr>
            <w:tcW w:w="184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；在进行现金分配的同时，公司</w:t>
            </w:r>
          </w:p>
        </w:tc>
        <w:tc>
          <w:tcPr>
            <w:tcW w:w="850" w:type="dxa"/>
            <w:vMerge w:val="restart"/>
            <w:tcBorders>
              <w:top w:val="single" w:sz="4" w:space="0" w:color="000000"/>
              <w:left w:val="single" w:sz="4" w:space="0" w:color="000000"/>
              <w:right w:val="single" w:sz="4" w:space="0" w:color="000000"/>
            </w:tcBorders>
          </w:tcPr>
          <w:p>
            <w:pPr>
              <w:pStyle w:val="TableParagraph"/>
              <w:spacing w:line="659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42pt;height:329.65pt;mso-position-horizontal-relative:char;mso-position-vertical-relative:line" coordorigin="0,0" coordsize="840,6593">
                  <v:group style="position:absolute;left:0;top:0;width:840;height:6593" coordorigin="0,0" coordsize="840,6593">
                    <v:shape style="position:absolute;left:0;top:0;width:840;height:6593" coordorigin="0,0" coordsize="840,6593" path="m0,6593l840,6593,840,0,0,0,0,6593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99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07"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可以进行股票股利的分配</w:t>
            </w:r>
            <w:r>
              <w:rPr>
                <w:rFonts w:ascii="宋体" w:hAnsi="宋体" w:cs="宋体" w:eastAsia="宋体" w:hint="default"/>
                <w:spacing w:val="-96"/>
                <w:sz w:val="18"/>
                <w:szCs w:val="18"/>
              </w:rPr>
              <w:t>。</w:t>
            </w:r>
            <w:r>
              <w:rPr>
                <w:rFonts w:ascii="宋体" w:hAnsi="宋体" w:cs="宋体" w:eastAsia="宋体" w:hint="default"/>
                <w:sz w:val="18"/>
                <w:szCs w:val="18"/>
              </w:rPr>
              <w:t>（三</w:t>
            </w:r>
            <w:r>
              <w:rPr>
                <w:rFonts w:ascii="宋体" w:hAnsi="宋体" w:cs="宋体" w:eastAsia="宋体" w:hint="default"/>
                <w:spacing w:val="-6"/>
                <w:sz w:val="18"/>
                <w:szCs w:val="18"/>
              </w:rPr>
              <w:t>）</w:t>
            </w:r>
            <w:r>
              <w:rPr>
                <w:rFonts w:ascii="宋体" w:hAnsi="宋体" w:cs="宋体" w:eastAsia="宋体" w:hint="default"/>
                <w:sz w:val="18"/>
                <w:szCs w:val="18"/>
              </w:rPr>
              <w:t>公</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司的利润分配应重视对投资者的合</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理投资回报；在有条件的情况下，</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公司可以进行中期分配</w:t>
            </w:r>
            <w:r>
              <w:rPr>
                <w:rFonts w:ascii="宋体" w:hAnsi="宋体" w:cs="宋体" w:eastAsia="宋体" w:hint="default"/>
                <w:spacing w:val="-96"/>
                <w:sz w:val="18"/>
                <w:szCs w:val="18"/>
              </w:rPr>
              <w:t>。</w:t>
            </w:r>
            <w:r>
              <w:rPr>
                <w:rFonts w:ascii="宋体" w:hAnsi="宋体" w:cs="宋体" w:eastAsia="宋体" w:hint="default"/>
                <w:sz w:val="18"/>
                <w:szCs w:val="18"/>
              </w:rPr>
              <w:t>（四</w:t>
            </w:r>
            <w:r>
              <w:rPr>
                <w:rFonts w:ascii="宋体" w:hAnsi="宋体" w:cs="宋体" w:eastAsia="宋体" w:hint="default"/>
                <w:spacing w:val="-6"/>
                <w:sz w:val="18"/>
                <w:szCs w:val="18"/>
              </w:rPr>
              <w:t>）</w:t>
            </w:r>
            <w:r>
              <w:rPr>
                <w:rFonts w:ascii="宋体" w:hAnsi="宋体" w:cs="宋体" w:eastAsia="宋体" w:hint="default"/>
                <w:sz w:val="18"/>
                <w:szCs w:val="18"/>
              </w:rPr>
              <w:t>存在</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股东违规占用公司资金情况的，公</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司应当扣减该股东所分配的现金红</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
                <w:sz w:val="18"/>
                <w:szCs w:val="18"/>
              </w:rPr>
              <w:t>，</w:t>
            </w:r>
            <w:r>
              <w:rPr>
                <w:rFonts w:ascii="宋体" w:hAnsi="宋体" w:cs="宋体" w:eastAsia="宋体" w:hint="default"/>
                <w:sz w:val="18"/>
                <w:szCs w:val="18"/>
              </w:rPr>
              <w:t>以偿还其占用的资金</w:t>
            </w:r>
            <w:r>
              <w:rPr>
                <w:rFonts w:ascii="宋体" w:hAnsi="宋体" w:cs="宋体" w:eastAsia="宋体" w:hint="default"/>
                <w:spacing w:val="-94"/>
                <w:sz w:val="18"/>
                <w:szCs w:val="18"/>
              </w:rPr>
              <w:t>。</w:t>
            </w:r>
            <w:r>
              <w:rPr>
                <w:rFonts w:ascii="宋体" w:hAnsi="宋体" w:cs="宋体" w:eastAsia="宋体" w:hint="default"/>
                <w:sz w:val="18"/>
                <w:szCs w:val="18"/>
              </w:rPr>
              <w:t>（五</w:t>
            </w:r>
            <w:r>
              <w:rPr>
                <w:rFonts w:ascii="宋体" w:hAnsi="宋体" w:cs="宋体" w:eastAsia="宋体" w:hint="default"/>
                <w:spacing w:val="-4"/>
                <w:sz w:val="18"/>
                <w:szCs w:val="18"/>
              </w:rPr>
              <w:t>）</w:t>
            </w:r>
            <w:r>
              <w:rPr>
                <w:rFonts w:ascii="宋体" w:hAnsi="宋体" w:cs="宋体" w:eastAsia="宋体" w:hint="default"/>
                <w:sz w:val="18"/>
                <w:szCs w:val="18"/>
              </w:rPr>
              <w:t>公</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司根据生产经营情况、投资规划和</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长期发展的需要，确需调整利润分</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配政策的，调整后的利润分配政策</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不得违反中国证监会和证券交易所</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的有关规定。在对有关调整利润分</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配政策的议案进行表决时，由全体</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独立董事同意及监事会审议并经公</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司董事会审议后方可提交公司股东</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大会审议，公司控股股东应回避表</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决，公司可以采取提供网络投票等</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方式以方便股东参与股东大会表</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184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w:t>
            </w:r>
            <w:r>
              <w:rPr>
                <w:rFonts w:ascii="宋体" w:hAnsi="宋体" w:cs="宋体" w:eastAsia="宋体" w:hint="default"/>
                <w:spacing w:val="-96"/>
                <w:sz w:val="18"/>
                <w:szCs w:val="18"/>
              </w:rPr>
              <w:t>。</w:t>
            </w:r>
            <w:r>
              <w:rPr>
                <w:rFonts w:ascii="宋体" w:hAnsi="宋体" w:cs="宋体" w:eastAsia="宋体" w:hint="default"/>
                <w:sz w:val="18"/>
                <w:szCs w:val="18"/>
              </w:rPr>
              <w:t>（六</w:t>
            </w:r>
            <w:r>
              <w:rPr>
                <w:rFonts w:ascii="宋体" w:hAnsi="宋体" w:cs="宋体" w:eastAsia="宋体" w:hint="default"/>
                <w:spacing w:val="-6"/>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应以每三年为一个周</w:t>
            </w: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57" w:hRule="exact"/>
        </w:trPr>
        <w:tc>
          <w:tcPr>
            <w:tcW w:w="184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338"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公司部分董 事、高级管理 人员和核心 骨干</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1"/>
              <w:jc w:val="both"/>
              <w:rPr>
                <w:rFonts w:ascii="宋体" w:hAnsi="宋体" w:cs="宋体" w:eastAsia="宋体" w:hint="default"/>
                <w:sz w:val="18"/>
                <w:szCs w:val="18"/>
              </w:rPr>
            </w:pPr>
            <w:r>
              <w:rPr>
                <w:rFonts w:ascii="宋体" w:hAnsi="宋体" w:cs="宋体" w:eastAsia="宋体" w:hint="default"/>
                <w:sz w:val="18"/>
                <w:szCs w:val="18"/>
              </w:rPr>
              <w:t>在法定期限内不减持其所持有的本 公司股份；严格遵守有关规定，不 进行内幕交易及敏感期买卖股份、 短线交易。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36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2"/>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以上股东、副董事长、</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常务副总裁侯伟先生及副总裁李惠</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钦女士、万孝雄先生在公告之日起</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股东、部分董 事及高管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96"/>
              <w:jc w:val="left"/>
              <w:rPr>
                <w:rFonts w:ascii="宋体" w:hAnsi="宋体" w:cs="宋体" w:eastAsia="宋体" w:hint="default"/>
                <w:sz w:val="18"/>
                <w:szCs w:val="18"/>
              </w:rPr>
            </w:pPr>
            <w:r>
              <w:rPr>
                <w:rFonts w:ascii="宋体" w:hAnsi="宋体" w:cs="宋体" w:eastAsia="宋体" w:hint="default"/>
                <w:sz w:val="18"/>
                <w:szCs w:val="18"/>
              </w:rPr>
              <w:t>减持股份 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个月内以大宗交 易或者集中竞价交易方式减持公司 股份合计不超过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10,749,998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 公司总股本比例的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1.73%</w:t>
            </w:r>
            <w:r>
              <w:rPr>
                <w:rFonts w:ascii="宋体" w:hAnsi="宋体" w:cs="宋体" w:eastAsia="宋体" w:hint="default"/>
                <w:spacing w:val="-9"/>
                <w:sz w:val="18"/>
                <w:szCs w:val="18"/>
              </w:rPr>
              <w:t>），若此期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六个月内</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31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间有送股、资本公积金转增股份等</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股份变动事项，则对该数量进行相</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应调整。</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华融榕基软件</w:t>
            </w: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员工持股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第一期员工 持股计划</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过二级市场购入的方式累计购买公 司股票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1,867,900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股，占公司总股本 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，成交金额为 </w:t>
            </w:r>
            <w:r>
              <w:rPr>
                <w:rFonts w:ascii="Times New Roman" w:hAnsi="Times New Roman" w:cs="Times New Roman" w:eastAsia="Times New Roman" w:hint="default"/>
                <w:sz w:val="18"/>
                <w:szCs w:val="18"/>
              </w:rPr>
              <w:t>19,584,134.59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元，成交均价约为人</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0" w:lineRule="auto" w:before="64"/>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31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股。公司第一期员</w:t>
            </w: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工持股计划的存续期为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pacing w:val="-3"/>
                <w:sz w:val="18"/>
                <w:szCs w:val="18"/>
              </w:rPr>
              <w:t>个月，锁</w:t>
            </w: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0.119995pt;margin-top:458.399994pt;width:42pt;height:160.050pt;mso-position-horizontal-relative:page;mso-position-vertical-relative:page;z-index:-1105048" coordorigin="7802,9168" coordsize="840,3201">
            <v:group style="position:absolute;left:7802;top:9168;width:840;height:3201" coordorigin="7802,9168" coordsize="840,3201">
              <v:shape style="position:absolute;left:7802;top:9168;width:840;height:3201" coordorigin="7802,9168" coordsize="840,3201" path="m7802,12368l8642,12368,8642,9168,7802,9168,7802,12368xe" filled="true" fillcolor="#ffffff" stroked="false">
                <v:path arrowok="t"/>
                <v:fill type="solid"/>
              </v:shape>
            </v:group>
            <v:group style="position:absolute;left:7825;top:10416;width:794;height:352" coordorigin="7825,10416" coordsize="794,352">
              <v:shape style="position:absolute;left:7825;top:10416;width:794;height:352" coordorigin="7825,10416" coordsize="794,352" path="m7825,10768l8618,10768,8618,10416,7825,10416,7825,10768xe" filled="true" fillcolor="#ffffff" stroked="false">
                <v:path arrowok="t"/>
                <v:fill type="solid"/>
              </v:shape>
            </v:group>
            <v:group style="position:absolute;left:7825;top:10768;width:794;height:353" coordorigin="7825,10768" coordsize="794,353">
              <v:shape style="position:absolute;left:7825;top:10768;width:794;height:353" coordorigin="7825,10768" coordsize="794,353" path="m7825,11120l8618,11120,8618,10768,7825,10768,7825,11120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3"/>
        <w:gridCol w:w="1134"/>
        <w:gridCol w:w="851"/>
        <w:gridCol w:w="2836"/>
        <w:gridCol w:w="850"/>
        <w:gridCol w:w="992"/>
        <w:gridCol w:w="1062"/>
      </w:tblGrid>
      <w:tr>
        <w:trPr>
          <w:trHeight w:val="674"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第二期员工 持股计划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日，华融榕基软件</w:t>
            </w:r>
          </w:p>
          <w:p>
            <w:pPr>
              <w:pStyle w:val="TableParagraph"/>
              <w:spacing w:line="30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员工持股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号定向资产管理计划（第</w:t>
            </w:r>
            <w:r>
              <w:rPr>
                <w:rFonts w:ascii="宋体" w:hAnsi="宋体" w:cs="宋体" w:eastAsia="宋体" w:hint="default"/>
                <w:sz w:val="18"/>
                <w:szCs w:val="18"/>
              </w:rPr>
              <w:t> 二期）已通过二级市场购入的方式 累计购买公司股票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2,629,101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股，占</w:t>
            </w:r>
            <w:r>
              <w:rPr>
                <w:rFonts w:ascii="宋体" w:hAnsi="宋体" w:cs="宋体" w:eastAsia="宋体" w:hint="default"/>
                <w:sz w:val="18"/>
                <w:szCs w:val="18"/>
              </w:rPr>
              <w:t> 公司总股本约为</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0.42%</w:t>
            </w:r>
            <w:r>
              <w:rPr>
                <w:rFonts w:ascii="宋体" w:hAnsi="宋体" w:cs="宋体" w:eastAsia="宋体" w:hint="default"/>
                <w:spacing w:val="-7"/>
                <w:sz w:val="18"/>
                <w:szCs w:val="18"/>
              </w:rPr>
              <w:t>，成交金额为</w:t>
            </w:r>
            <w:r>
              <w:rPr>
                <w:rFonts w:ascii="宋体" w:hAnsi="宋体" w:cs="宋体" w:eastAsia="宋体" w:hint="default"/>
                <w:sz w:val="18"/>
                <w:szCs w:val="18"/>
              </w:rPr>
              <w:t> </w:t>
            </w:r>
            <w:r>
              <w:rPr>
                <w:rFonts w:ascii="Times New Roman" w:hAnsi="Times New Roman" w:cs="Times New Roman" w:eastAsia="Times New Roman" w:hint="default"/>
                <w:sz w:val="18"/>
                <w:szCs w:val="18"/>
              </w:rPr>
              <w:t>24,419,002.20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元，成交均价约为人</w:t>
            </w:r>
          </w:p>
          <w:p>
            <w:pPr>
              <w:pStyle w:val="TableParagraph"/>
              <w:spacing w:line="309" w:lineRule="auto" w:before="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股，公司已完成本期员 工持股计划标的股票的购买。公司 第二期员工持股计划的存续期为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个月，锁定期为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3522"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第三期员工 持股计划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日，华融榕基软件员</w:t>
            </w:r>
          </w:p>
          <w:p>
            <w:pPr>
              <w:pStyle w:val="TableParagraph"/>
              <w:spacing w:line="304"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号定向资产管理计划（第 三期）已通过二级市场购入的方式 累计购买公司股票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7,856,200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股，占</w:t>
            </w:r>
            <w:r>
              <w:rPr>
                <w:rFonts w:ascii="宋体" w:hAnsi="宋体" w:cs="宋体" w:eastAsia="宋体" w:hint="default"/>
                <w:sz w:val="18"/>
                <w:szCs w:val="18"/>
              </w:rPr>
              <w:t> 公司总股本约为</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1.26%</w:t>
            </w:r>
            <w:r>
              <w:rPr>
                <w:rFonts w:ascii="宋体" w:hAnsi="宋体" w:cs="宋体" w:eastAsia="宋体" w:hint="default"/>
                <w:spacing w:val="-7"/>
                <w:sz w:val="18"/>
                <w:szCs w:val="18"/>
              </w:rPr>
              <w:t>，成交金额为</w:t>
            </w:r>
            <w:r>
              <w:rPr>
                <w:rFonts w:ascii="宋体" w:hAnsi="宋体" w:cs="宋体" w:eastAsia="宋体" w:hint="default"/>
                <w:sz w:val="18"/>
                <w:szCs w:val="18"/>
              </w:rPr>
              <w:t> </w:t>
            </w:r>
            <w:r>
              <w:rPr>
                <w:rFonts w:ascii="Times New Roman" w:hAnsi="Times New Roman" w:cs="Times New Roman" w:eastAsia="Times New Roman" w:hint="default"/>
                <w:sz w:val="18"/>
                <w:szCs w:val="18"/>
              </w:rPr>
              <w:t>58,225,118.51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元，成交均价约为人</w:t>
            </w:r>
          </w:p>
          <w:p>
            <w:pPr>
              <w:pStyle w:val="TableParagraph"/>
              <w:spacing w:line="309" w:lineRule="auto" w:before="9"/>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股，公司已完成本期员 工持股计划标的股票的购买。公司 第三期员工持股计划的存续期为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3210" w:hRule="exact"/>
        </w:trPr>
        <w:tc>
          <w:tcPr>
            <w:tcW w:w="1843" w:type="dxa"/>
            <w:vMerge/>
            <w:tcBorders>
              <w:left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自公告之日起六个月内（</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2" w:right="-3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 司控股股东、实际控制人、董事长 兼总裁鲁峰先生通过深圳证券交易 所证券交易系统增持公司股票：基 于对公司未来发展前景的信心以及 对公司价值的认可，结合对公司股 票价值的合理判断，在符合有关法 律法规的前提下</w:t>
            </w:r>
            <w:r>
              <w:rPr>
                <w:rFonts w:ascii="Times New Roman" w:hAnsi="Times New Roman" w:cs="Times New Roman" w:eastAsia="Times New Roman" w:hint="default"/>
                <w:sz w:val="18"/>
                <w:szCs w:val="18"/>
              </w:rPr>
              <w:t>, </w:t>
            </w:r>
            <w:r>
              <w:rPr>
                <w:rFonts w:ascii="宋体" w:hAnsi="宋体" w:cs="宋体" w:eastAsia="宋体" w:hint="default"/>
                <w:sz w:val="18"/>
                <w:szCs w:val="18"/>
              </w:rPr>
              <w:t>增持不低于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股、不高于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1338"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96"/>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101"/>
              <w:jc w:val="both"/>
              <w:rPr>
                <w:rFonts w:ascii="宋体" w:hAnsi="宋体" w:cs="宋体" w:eastAsia="宋体" w:hint="default"/>
                <w:sz w:val="18"/>
                <w:szCs w:val="18"/>
              </w:rPr>
            </w:pPr>
            <w:r>
              <w:rPr>
                <w:rFonts w:ascii="宋体" w:hAnsi="宋体" w:cs="宋体" w:eastAsia="宋体" w:hint="default"/>
                <w:sz w:val="18"/>
                <w:szCs w:val="18"/>
              </w:rPr>
              <w:t>本次股份增持计划将严格遵守有关 法律法规的规定，在本次增持计划 实施期间及增持完成后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减持其所持有的公司股份。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13"/>
                <w:sz w:val="18"/>
                <w:szCs w:val="18"/>
              </w:rPr>
              <w:t>内，按承诺持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续履行中</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w:t>
            </w:r>
          </w:p>
        </w:tc>
        <w:tc>
          <w:tcPr>
            <w:tcW w:w="77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381"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35pt;height:19.1pt;mso-position-horizontal-relative:char;mso-position-vertical-relative:line" coordorigin="0,0" coordsize="9587,382">
            <v:group style="position:absolute;left:1824;top:14;width:24;height:353" coordorigin="1824,14" coordsize="24,353">
              <v:shape style="position:absolute;left:1824;top:14;width:24;height:353" coordorigin="1824,14" coordsize="24,353" path="m1824,367l1848,367,1848,14,1824,14,1824,367xe" filled="true" fillcolor="#d3d3d3" stroked="false">
                <v:path arrowok="t"/>
                <v:fill type="solid"/>
              </v:shape>
            </v:group>
            <v:group style="position:absolute;left:14;top:14;width:23;height:353" coordorigin="14,14" coordsize="23,353">
              <v:shape style="position:absolute;left:14;top:14;width:23;height:353" coordorigin="14,14" coordsize="23,353" path="m14,367l37,367,37,14,14,14,14,367xe" filled="true" fillcolor="#d3d3d3" stroked="false">
                <v:path arrowok="t"/>
                <v:fill type="solid"/>
              </v:shape>
            </v:group>
            <v:group style="position:absolute;left:37;top:14;width:1787;height:353" coordorigin="37,14" coordsize="1787,353">
              <v:shape style="position:absolute;left:37;top:14;width:1787;height:353" coordorigin="37,14" coordsize="1787,353" path="m37,367l1824,367,1824,14,37,14,37,36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1844;height:2" coordorigin="5,372" coordsize="1844,2">
              <v:shape style="position:absolute;left:5;top:372;width:1844;height:2" coordorigin="5,372" coordsize="1844,0" path="m5,372l1848,372e" filled="false" stroked="true" strokeweight=".48004pt" strokecolor="#000000">
                <v:path arrowok="t"/>
              </v:shape>
            </v:group>
            <v:group style="position:absolute;left:1853;top:14;width:2;height:363" coordorigin="1853,14" coordsize="2,363">
              <v:shape style="position:absolute;left:1853;top:14;width:2;height:363" coordorigin="1853,14" coordsize="0,363" path="m1853,14l1853,377e" filled="false" stroked="true" strokeweight=".48001pt" strokecolor="#000000">
                <v:path arrowok="t"/>
              </v:shape>
            </v:group>
            <v:group style="position:absolute;left:1858;top:372;width:7715;height:2" coordorigin="1858,372" coordsize="7715,2">
              <v:shape style="position:absolute;left:1858;top:372;width:7715;height:2" coordorigin="1858,372" coordsize="7715,0" path="m1858,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10;top:10;width:1844;height:36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及下一步的工作计划</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7"/>
        <w:jc w:val="left"/>
      </w:pPr>
      <w:r>
        <w:rPr>
          <w:rFonts w:ascii="Times New Roman" w:hAnsi="Times New Roman" w:cs="Times New Roman" w:eastAsia="Times New Roman" w:hint="default"/>
          <w:spacing w:val="-3"/>
        </w:rPr>
        <w:t>1</w:t>
      </w:r>
      <w:r>
        <w:rPr>
          <w:spacing w:val="-3"/>
        </w:rPr>
        <w:t>、根据财政部《关于修订印发</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4"/>
        </w:rPr>
        <w:t>年度一般企业财务报表格式的通知》（财会</w:t>
      </w:r>
      <w:r>
        <w:rPr>
          <w:rFonts w:ascii="Times New Roman" w:hAnsi="Times New Roman" w:cs="Times New Roman" w:eastAsia="Times New Roman" w:hint="default"/>
          <w:spacing w:val="-4"/>
        </w:rPr>
        <w:t>[2018]15</w:t>
      </w:r>
      <w:r>
        <w:rPr>
          <w:rFonts w:ascii="Times New Roman" w:hAnsi="Times New Roman" w:cs="Times New Roman" w:eastAsia="Times New Roman" w:hint="default"/>
          <w:spacing w:val="4"/>
        </w:rPr>
        <w:t> </w:t>
      </w:r>
      <w:r>
        <w:rPr>
          <w:spacing w:val="-7"/>
        </w:rPr>
        <w:t>号），经第四届董事会第十六次会议</w:t>
      </w:r>
      <w:r>
        <w:rPr/>
        <w:t> 决议通过，本集团对财务报表格式进行了以下修订：</w:t>
      </w:r>
    </w:p>
    <w:p>
      <w:pPr>
        <w:pStyle w:val="BodyText"/>
        <w:spacing w:line="338" w:lineRule="auto" w:before="71"/>
        <w:ind w:right="5051"/>
        <w:jc w:val="left"/>
      </w:pPr>
      <w:r>
        <w:rPr/>
        <w:t>（</w:t>
      </w:r>
      <w:r>
        <w:rPr>
          <w:rFonts w:ascii="Times New Roman" w:hAnsi="Times New Roman" w:cs="Times New Roman" w:eastAsia="Times New Roman" w:hint="default"/>
        </w:rPr>
        <w:t>1</w:t>
      </w:r>
      <w:r>
        <w:rPr/>
        <w:t>）资产负债表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38" w:lineRule="auto" w:before="20"/>
        <w:ind w:right="7730"/>
        <w:jc w:val="left"/>
      </w:pPr>
      <w:r>
        <w:rPr/>
        <w:t>（</w:t>
      </w:r>
      <w:r>
        <w:rPr>
          <w:rFonts w:ascii="Times New Roman" w:hAnsi="Times New Roman" w:cs="Times New Roman" w:eastAsia="Times New Roman" w:hint="default"/>
        </w:rPr>
        <w:t>2</w:t>
      </w:r>
      <w:r>
        <w:rPr/>
        <w:t>）利润表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22"/>
        <w:ind w:right="2239"/>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319" w:lineRule="auto" w:before="102"/>
        <w:ind w:right="1170"/>
        <w:jc w:val="left"/>
      </w:pPr>
      <w:r>
        <w:rPr/>
        <w:t>（</w:t>
      </w:r>
      <w:r>
        <w:rPr>
          <w:rFonts w:ascii="Times New Roman" w:hAnsi="Times New Roman" w:cs="Times New Roman" w:eastAsia="Times New Roman" w:hint="default"/>
        </w:rPr>
        <w:t>3</w:t>
      </w:r>
      <w:r>
        <w:rPr/>
        <w:t>）股东权益变动表 在</w:t>
      </w:r>
      <w:r>
        <w:rPr>
          <w:rFonts w:ascii="Times New Roman" w:hAnsi="Times New Roman" w:cs="Times New Roman" w:eastAsia="Times New Roman" w:hint="default"/>
        </w:rPr>
        <w:t>“</w:t>
      </w:r>
      <w:r>
        <w:rPr/>
        <w:t>股东权益内部结转</w:t>
      </w:r>
      <w:r>
        <w:rPr>
          <w:rFonts w:ascii="Times New Roman" w:hAnsi="Times New Roman" w:cs="Times New Roman" w:eastAsia="Times New Roman" w:hint="default"/>
        </w:rPr>
        <w:t>”</w:t>
      </w:r>
      <w:r>
        <w:rPr/>
        <w:t>行项目下，将原</w:t>
      </w:r>
      <w:r>
        <w:rPr>
          <w:rFonts w:ascii="Times New Roman" w:hAnsi="Times New Roman" w:cs="Times New Roman" w:eastAsia="Times New Roman" w:hint="default"/>
        </w:rPr>
        <w:t>“</w:t>
      </w:r>
      <w:r>
        <w:rPr/>
        <w:t>结转重新计量设定受益计划净负债或净资产所产生的变动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设定受益计划变动 额结转留存收益</w:t>
      </w:r>
      <w:r>
        <w:rPr>
          <w:rFonts w:ascii="Times New Roman" w:hAnsi="Times New Roman" w:cs="Times New Roman" w:eastAsia="Times New Roman" w:hint="default"/>
        </w:rPr>
        <w:t>”</w:t>
      </w:r>
      <w:r>
        <w:rPr/>
        <w:t>。</w:t>
      </w:r>
    </w:p>
    <w:p>
      <w:pPr>
        <w:pStyle w:val="BodyText"/>
        <w:spacing w:line="338" w:lineRule="auto" w:before="38"/>
        <w:ind w:right="3730"/>
        <w:jc w:val="left"/>
      </w:pPr>
      <w:r>
        <w:rPr/>
        <w:t>本集团对可比期间的比较数据按照财会</w:t>
      </w:r>
      <w:r>
        <w:rPr>
          <w:rFonts w:ascii="Times New Roman" w:hAnsi="Times New Roman" w:cs="Times New Roman" w:eastAsia="Times New Roman" w:hint="default"/>
        </w:rPr>
        <w:t>[2018]15</w:t>
      </w:r>
      <w:r>
        <w:rPr>
          <w:rFonts w:ascii="Times New Roman" w:hAnsi="Times New Roman" w:cs="Times New Roman" w:eastAsia="Times New Roman" w:hint="default"/>
          <w:spacing w:val="-1"/>
        </w:rPr>
        <w:t> </w:t>
      </w:r>
      <w:r>
        <w:rPr/>
        <w:t>号文进行调整。 财务报表格式的修订对本集团的资产总额、负债总额、净利润、其他综合收益等无影响。</w:t>
      </w:r>
    </w:p>
    <w:p>
      <w:pPr>
        <w:pStyle w:val="BodyText"/>
        <w:spacing w:line="319" w:lineRule="auto" w:before="42"/>
        <w:ind w:right="0"/>
        <w:jc w:val="left"/>
      </w:pPr>
      <w:r>
        <w:rPr>
          <w:rFonts w:ascii="Times New Roman" w:hAnsi="Times New Roman" w:cs="Times New Roman" w:eastAsia="Times New Roman" w:hint="default"/>
        </w:rPr>
        <w:t>2</w:t>
      </w:r>
      <w:r>
        <w:rPr/>
        <w:t>、根据财政部《关于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spacing w:val="-3"/>
        </w:rPr>
        <w:t>年度一般企业财务报表格式有关问题的解读》，本集团作为个人所得税的扣缴义务人，根据《中</w:t>
      </w:r>
      <w:r>
        <w:rPr>
          <w:spacing w:val="-70"/>
        </w:rPr>
        <w:t> </w:t>
      </w:r>
      <w:r>
        <w:rPr>
          <w:spacing w:val="-70"/>
        </w:rPr>
      </w:r>
      <w:r>
        <w:rPr/>
        <w:t>华人民共和国个人所得税法》收到的扣缴税款手续费在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中填列，对可比期间的比较数据进行调整。 </w:t>
      </w:r>
      <w:r>
        <w:rPr>
          <w:spacing w:val="-4"/>
        </w:rPr>
        <w:t>本集团实际收到的政府补助，无论是与资产相关还是与收益相关，在编制现金流量表时均作为经营活动产生的现金流量列报，</w:t>
      </w:r>
      <w:r>
        <w:rPr>
          <w:spacing w:val="-44"/>
        </w:rPr>
        <w:t> </w:t>
      </w:r>
      <w:r>
        <w:rPr>
          <w:spacing w:val="-44"/>
        </w:rPr>
      </w:r>
      <w:r>
        <w:rPr/>
        <w:t>对可比期间的比较数据进行调整，调增</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年度经营活动现金流量</w:t>
      </w:r>
      <w:r>
        <w:rPr>
          <w:spacing w:val="-46"/>
        </w:rPr>
        <w:t> </w:t>
      </w:r>
      <w:r>
        <w:rPr>
          <w:rFonts w:ascii="Times New Roman" w:hAnsi="Times New Roman" w:cs="Times New Roman" w:eastAsia="Times New Roman" w:hint="default"/>
        </w:rPr>
        <w:t>3,670,000.00</w:t>
      </w:r>
      <w:r>
        <w:rPr>
          <w:rFonts w:ascii="Times New Roman" w:hAnsi="Times New Roman" w:cs="Times New Roman" w:eastAsia="Times New Roman" w:hint="default"/>
          <w:spacing w:val="-1"/>
        </w:rPr>
        <w:t> </w:t>
      </w:r>
      <w:r>
        <w:rPr/>
        <w:t>元，调减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年度筹资活动现金流量</w:t>
      </w:r>
    </w:p>
    <w:p>
      <w:pPr>
        <w:pStyle w:val="BodyText"/>
        <w:spacing w:line="246" w:lineRule="exact"/>
        <w:ind w:right="2239"/>
        <w:jc w:val="left"/>
      </w:pPr>
      <w:r>
        <w:rPr>
          <w:rFonts w:ascii="Times New Roman" w:hAnsi="Times New Roman" w:cs="Times New Roman" w:eastAsia="Times New Roman" w:hint="default"/>
        </w:rPr>
        <w:t>3,670,000.00</w:t>
      </w:r>
      <w:r>
        <w:rPr>
          <w:rFonts w:ascii="Times New Roman" w:hAnsi="Times New Roman" w:cs="Times New Roman" w:eastAsia="Times New Roman" w:hint="default"/>
          <w:spacing w:val="-3"/>
        </w:rPr>
        <w:t> </w:t>
      </w:r>
      <w:r>
        <w:rPr/>
        <w:t>元。</w:t>
      </w:r>
    </w:p>
    <w:p>
      <w:pPr>
        <w:spacing w:after="0" w:line="246" w:lineRule="exact"/>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2239"/>
        <w:jc w:val="left"/>
        <w:rPr>
          <w:b w:val="0"/>
          <w:bCs w:val="0"/>
        </w:rPr>
      </w:pPr>
      <w:r>
        <w:rPr/>
        <w:t>八、与上年度财务报告相比，合并报表范围发生变化的情况说明</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5"/>
        <w:rPr>
          <w:rFonts w:ascii="宋体" w:hAnsi="宋体" w:cs="宋体" w:eastAsia="宋体" w:hint="default"/>
          <w:sz w:val="19"/>
          <w:szCs w:val="19"/>
        </w:rPr>
      </w:pPr>
    </w:p>
    <w:p>
      <w:pPr>
        <w:pStyle w:val="Heading2"/>
        <w:spacing w:line="240" w:lineRule="auto"/>
        <w:ind w:right="2239"/>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林庆瑜、杨莹</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2239"/>
        <w:jc w:val="left"/>
      </w:pPr>
      <w:r>
        <w:rPr/>
        <w:t>当期是否改聘会计师事务所</w:t>
      </w:r>
    </w:p>
    <w:p>
      <w:pPr>
        <w:pStyle w:val="BodyText"/>
        <w:spacing w:line="340" w:lineRule="auto" w:before="115"/>
        <w:ind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2239"/>
        <w:jc w:val="left"/>
        <w:rPr>
          <w:b w:val="0"/>
          <w:bCs w:val="0"/>
        </w:rPr>
      </w:pPr>
      <w:r>
        <w:rPr/>
        <w:t>十二、重大诉讼、仲裁事项</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5"/>
        <w:rPr>
          <w:rFonts w:ascii="宋体" w:hAnsi="宋体" w:cs="宋体" w:eastAsia="宋体" w:hint="default"/>
          <w:sz w:val="19"/>
          <w:szCs w:val="19"/>
        </w:rPr>
      </w:pPr>
    </w:p>
    <w:p>
      <w:pPr>
        <w:pStyle w:val="Heading2"/>
        <w:spacing w:line="240" w:lineRule="auto"/>
        <w:ind w:right="2239"/>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5" w:lineRule="auto"/>
        <w:ind w:left="514" w:right="111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报告期内，公司共启动并完成了榕基软件三期员工持股计划的购买，截至本报告披露日，三期员工持股计划已全部完成</w:t>
      </w:r>
    </w:p>
    <w:p>
      <w:pPr>
        <w:pStyle w:val="BodyText"/>
        <w:spacing w:line="233" w:lineRule="exact"/>
        <w:ind w:right="2239"/>
        <w:jc w:val="left"/>
      </w:pPr>
      <w:r>
        <w:rPr/>
        <w:t>购买，具体情况如下：</w:t>
      </w:r>
    </w:p>
    <w:p>
      <w:pPr>
        <w:pStyle w:val="BodyText"/>
        <w:spacing w:line="240" w:lineRule="auto" w:before="124"/>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华融榕基软件员工持股</w:t>
      </w:r>
      <w:r>
        <w:rPr>
          <w:rFonts w:ascii="Times New Roman" w:hAnsi="Times New Roman" w:cs="Times New Roman" w:eastAsia="Times New Roman" w:hint="default"/>
        </w:rPr>
        <w:t>1</w:t>
      </w:r>
      <w:r>
        <w:rPr/>
        <w:t>号定向资产管理计划</w:t>
      </w:r>
      <w:r>
        <w:rPr>
          <w:rFonts w:ascii="Times New Roman" w:hAnsi="Times New Roman" w:cs="Times New Roman" w:eastAsia="Times New Roman" w:hint="default"/>
        </w:rPr>
        <w:t>”</w:t>
      </w:r>
      <w:r>
        <w:rPr/>
        <w:t>通过二级市场购入的方式累计购买公司股票</w:t>
      </w:r>
      <w:r>
        <w:rPr>
          <w:rFonts w:ascii="Times New Roman" w:hAnsi="Times New Roman" w:cs="Times New Roman" w:eastAsia="Times New Roman" w:hint="default"/>
        </w:rPr>
        <w:t>1,867,900</w:t>
      </w:r>
    </w:p>
    <w:p>
      <w:pPr>
        <w:pStyle w:val="BodyText"/>
        <w:spacing w:line="240" w:lineRule="auto" w:before="63"/>
        <w:ind w:right="2239"/>
        <w:jc w:val="left"/>
      </w:pPr>
      <w:r>
        <w:rPr/>
        <w:t>股，占公司总股本约为</w:t>
      </w:r>
      <w:r>
        <w:rPr>
          <w:rFonts w:ascii="Times New Roman" w:hAnsi="Times New Roman" w:cs="Times New Roman" w:eastAsia="Times New Roman" w:hint="default"/>
        </w:rPr>
        <w:t>0.30%</w:t>
      </w:r>
      <w:r>
        <w:rPr/>
        <w:t>，成交金额为</w:t>
      </w:r>
      <w:r>
        <w:rPr>
          <w:rFonts w:ascii="Times New Roman" w:hAnsi="Times New Roman" w:cs="Times New Roman" w:eastAsia="Times New Roman" w:hint="default"/>
        </w:rPr>
        <w:t>19,584,134.59</w:t>
      </w:r>
      <w:r>
        <w:rPr/>
        <w:t>元，成交均价约为人民币</w:t>
      </w:r>
      <w:r>
        <w:rPr>
          <w:rFonts w:ascii="Times New Roman" w:hAnsi="Times New Roman" w:cs="Times New Roman" w:eastAsia="Times New Roman" w:hint="default"/>
        </w:rPr>
        <w:t>10.4846</w:t>
      </w:r>
      <w:r>
        <w:rPr/>
        <w:t>元</w:t>
      </w:r>
      <w:r>
        <w:rPr>
          <w:rFonts w:ascii="Times New Roman" w:hAnsi="Times New Roman" w:cs="Times New Roman" w:eastAsia="Times New Roman" w:hint="default"/>
        </w:rPr>
        <w:t>/</w:t>
      </w:r>
      <w:r>
        <w:rPr/>
        <w:t>股。</w:t>
      </w:r>
    </w:p>
    <w:p>
      <w:pPr>
        <w:pStyle w:val="BodyText"/>
        <w:spacing w:line="300" w:lineRule="auto" w:before="111"/>
        <w:ind w:right="112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日，华融榕基软件员工持股</w:t>
      </w:r>
      <w:r>
        <w:rPr>
          <w:rFonts w:ascii="Times New Roman" w:hAnsi="Times New Roman" w:cs="Times New Roman" w:eastAsia="Times New Roman" w:hint="default"/>
        </w:rPr>
        <w:t>2</w:t>
      </w:r>
      <w:r>
        <w:rPr/>
        <w:t>号定向资产管理计划（第二期）已通过二级市场购入的方式累计购买公司股 票</w:t>
      </w:r>
      <w:r>
        <w:rPr>
          <w:rFonts w:ascii="Times New Roman" w:hAnsi="Times New Roman" w:cs="Times New Roman" w:eastAsia="Times New Roman" w:hint="default"/>
        </w:rPr>
        <w:t>2,629,101</w:t>
      </w:r>
      <w:r>
        <w:rPr/>
        <w:t>股，占公司总股本约为</w:t>
      </w:r>
      <w:r>
        <w:rPr>
          <w:rFonts w:ascii="Times New Roman" w:hAnsi="Times New Roman" w:cs="Times New Roman" w:eastAsia="Times New Roman" w:hint="default"/>
        </w:rPr>
        <w:t>0.42%</w:t>
      </w:r>
      <w:r>
        <w:rPr/>
        <w:t>，成交金额为</w:t>
      </w:r>
      <w:r>
        <w:rPr>
          <w:rFonts w:ascii="Times New Roman" w:hAnsi="Times New Roman" w:cs="Times New Roman" w:eastAsia="Times New Roman" w:hint="default"/>
        </w:rPr>
        <w:t>24,419,002.20</w:t>
      </w:r>
      <w:r>
        <w:rPr/>
        <w:t>元，成交均价约为人民币</w:t>
      </w:r>
      <w:r>
        <w:rPr>
          <w:rFonts w:ascii="Times New Roman" w:hAnsi="Times New Roman" w:cs="Times New Roman" w:eastAsia="Times New Roman" w:hint="default"/>
        </w:rPr>
        <w:t>9.29</w:t>
      </w:r>
      <w:r>
        <w:rPr/>
        <w:t>元</w:t>
      </w:r>
      <w:r>
        <w:rPr>
          <w:rFonts w:ascii="Times New Roman" w:hAnsi="Times New Roman" w:cs="Times New Roman" w:eastAsia="Times New Roman" w:hint="default"/>
        </w:rPr>
        <w:t>/</w:t>
      </w:r>
      <w:r>
        <w:rPr/>
        <w:t>股。</w:t>
      </w:r>
    </w:p>
    <w:p>
      <w:pPr>
        <w:pStyle w:val="BodyText"/>
        <w:spacing w:line="240" w:lineRule="auto" w:before="61"/>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日，华融榕基软件员工持股</w:t>
      </w:r>
      <w:r>
        <w:rPr>
          <w:rFonts w:ascii="Times New Roman" w:hAnsi="Times New Roman" w:cs="Times New Roman" w:eastAsia="Times New Roman" w:hint="default"/>
        </w:rPr>
        <w:t>3</w:t>
      </w:r>
      <w:r>
        <w:rPr/>
        <w:t>号定向资产管理计划（第三期）已通过二级市场购入的方式累计购买公司股票</w:t>
      </w:r>
    </w:p>
    <w:p>
      <w:pPr>
        <w:pStyle w:val="BodyText"/>
        <w:spacing w:line="345" w:lineRule="auto" w:before="63"/>
        <w:ind w:left="514" w:right="0" w:hanging="360"/>
        <w:jc w:val="left"/>
      </w:pPr>
      <w:r>
        <w:rPr>
          <w:rFonts w:ascii="Times New Roman" w:hAnsi="Times New Roman" w:cs="Times New Roman" w:eastAsia="Times New Roman" w:hint="default"/>
        </w:rPr>
        <w:t>7,856,200</w:t>
      </w:r>
      <w:r>
        <w:rPr/>
        <w:t>股，占公司总股本约为</w:t>
      </w:r>
      <w:r>
        <w:rPr>
          <w:rFonts w:ascii="Times New Roman" w:hAnsi="Times New Roman" w:cs="Times New Roman" w:eastAsia="Times New Roman" w:hint="default"/>
        </w:rPr>
        <w:t>1.26%</w:t>
      </w:r>
      <w:r>
        <w:rPr/>
        <w:t>，成交金额为</w:t>
      </w:r>
      <w:r>
        <w:rPr>
          <w:rFonts w:ascii="Times New Roman" w:hAnsi="Times New Roman" w:cs="Times New Roman" w:eastAsia="Times New Roman" w:hint="default"/>
        </w:rPr>
        <w:t>58,225,118.51</w:t>
      </w:r>
      <w:r>
        <w:rPr/>
        <w:t>元，成交均价约为人民币</w:t>
      </w:r>
      <w:r>
        <w:rPr>
          <w:rFonts w:ascii="Times New Roman" w:hAnsi="Times New Roman" w:cs="Times New Roman" w:eastAsia="Times New Roman" w:hint="default"/>
        </w:rPr>
        <w:t>7.41</w:t>
      </w:r>
      <w:r>
        <w:rPr/>
        <w:t>元</w:t>
      </w:r>
      <w:r>
        <w:rPr>
          <w:rFonts w:ascii="Times New Roman" w:hAnsi="Times New Roman" w:cs="Times New Roman" w:eastAsia="Times New Roman" w:hint="default"/>
        </w:rPr>
        <w:t>/</w:t>
      </w:r>
      <w:r>
        <w:rPr/>
        <w:t>股。</w:t>
      </w:r>
      <w:r>
        <w:rPr>
          <w:spacing w:val="-2"/>
        </w:rPr>
        <w:t> </w:t>
      </w:r>
      <w:r>
        <w:rPr/>
        <w:t>榕基软件员工持股</w:t>
      </w:r>
      <w:r>
        <w:rPr>
          <w:rFonts w:ascii="Times New Roman" w:hAnsi="Times New Roman" w:cs="Times New Roman" w:eastAsia="Times New Roman" w:hint="default"/>
        </w:rPr>
        <w:t>3</w:t>
      </w:r>
      <w:r>
        <w:rPr/>
        <w:t>期共计购买</w:t>
      </w:r>
      <w:r>
        <w:rPr>
          <w:rFonts w:ascii="Times New Roman" w:hAnsi="Times New Roman" w:cs="Times New Roman" w:eastAsia="Times New Roman" w:hint="default"/>
        </w:rPr>
        <w:t>12,353,201</w:t>
      </w:r>
      <w:r>
        <w:rPr/>
        <w:t>股，占公司总股本约为</w:t>
      </w:r>
      <w:r>
        <w:rPr>
          <w:rFonts w:ascii="Times New Roman" w:hAnsi="Times New Roman" w:cs="Times New Roman" w:eastAsia="Times New Roman" w:hint="default"/>
        </w:rPr>
        <w:t>1.99%</w:t>
      </w:r>
      <w:r>
        <w:rPr/>
        <w:t>。 </w:t>
      </w:r>
      <w:r>
        <w:rPr>
          <w:spacing w:val="-1"/>
        </w:rPr>
        <w:t>具体的审批程序及其相关实施情况已刊登在中国证监会指定信息披露媒体巨潮资讯网</w:t>
      </w:r>
      <w:hyperlink r:id="rId14">
        <w:r>
          <w:rPr>
            <w:rFonts w:ascii="Times New Roman" w:hAnsi="Times New Roman" w:cs="Times New Roman" w:eastAsia="Times New Roman" w:hint="default"/>
            <w:spacing w:val="-1"/>
          </w:rPr>
          <w:t>http://www.cninfo.com.cn</w:t>
        </w:r>
      </w:hyperlink>
      <w:r>
        <w:rPr>
          <w:spacing w:val="-1"/>
        </w:rPr>
        <w:t>，公告情</w:t>
      </w:r>
    </w:p>
    <w:p>
      <w:pPr>
        <w:pStyle w:val="BodyText"/>
        <w:spacing w:line="211" w:lineRule="exact"/>
        <w:ind w:right="2239"/>
        <w:jc w:val="left"/>
      </w:pPr>
      <w:r>
        <w:rPr/>
        <w:t>况如下：</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60"/>
        <w:gridCol w:w="1700"/>
        <w:gridCol w:w="549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54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公告索引</w:t>
            </w:r>
          </w:p>
        </w:tc>
      </w:tr>
      <w:tr>
        <w:trPr>
          <w:trHeight w:val="6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榕基软件：关于公司第一期员工持</w:t>
            </w:r>
            <w:r>
              <w:rPr>
                <w:rFonts w:ascii="宋体" w:hAnsi="宋体" w:cs="宋体" w:eastAsia="宋体" w:hint="default"/>
                <w:sz w:val="18"/>
                <w:szCs w:val="18"/>
              </w:rPr>
              <w:t> 股计划的进展公告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2017-05-13</w:t>
            </w:r>
            <w:r>
              <w:rPr>
                <w:rFonts w:ascii="Times New Roman"/>
                <w:sz w:val="18"/>
              </w:rPr>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3"/>
              <w:ind w:left="3" w:right="8"/>
              <w:jc w:val="left"/>
              <w:rPr>
                <w:rFonts w:ascii="Times New Roman" w:hAnsi="Times New Roman" w:cs="Times New Roman" w:eastAsia="Times New Roman" w:hint="default"/>
                <w:sz w:val="18"/>
                <w:szCs w:val="18"/>
              </w:rPr>
            </w:pPr>
            <w:hyperlink r:id="rId16">
              <w:r>
                <w:rPr>
                  <w:rFonts w:ascii="Times New Roman"/>
                  <w:sz w:val="18"/>
                </w:rPr>
                <w:t>http://www.cninfo.com.cn/cninfo-new/disclosure/szse_sme/bulletin_detail/t</w:t>
              </w:r>
            </w:hyperlink>
            <w:r>
              <w:rPr>
                <w:rFonts w:ascii="Times New Roman"/>
                <w:w w:val="100"/>
                <w:sz w:val="18"/>
              </w:rPr>
              <w:t> </w:t>
            </w:r>
            <w:r>
              <w:rPr>
                <w:rFonts w:ascii="Times New Roman"/>
                <w:sz w:val="18"/>
              </w:rPr>
              <w:t>rue/1203514217?announceTime=2017-05-13</w:t>
            </w:r>
          </w:p>
        </w:tc>
      </w:tr>
      <w:tr>
        <w:trPr>
          <w:trHeight w:val="66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榕基软件：关于公司第二期员工持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5"/>
                <w:sz w:val="18"/>
              </w:rPr>
              <w:t>2017-11-22</w:t>
            </w:r>
            <w:r>
              <w:rPr>
                <w:rFonts w:ascii="Times New Roman"/>
                <w:sz w:val="18"/>
              </w:rPr>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3"/>
              <w:ind w:left="3" w:right="8"/>
              <w:jc w:val="left"/>
              <w:rPr>
                <w:rFonts w:ascii="Times New Roman" w:hAnsi="Times New Roman" w:cs="Times New Roman" w:eastAsia="Times New Roman" w:hint="default"/>
                <w:sz w:val="18"/>
                <w:szCs w:val="18"/>
              </w:rPr>
            </w:pPr>
            <w:hyperlink r:id="rId16">
              <w:r>
                <w:rPr>
                  <w:rFonts w:ascii="Times New Roman"/>
                  <w:sz w:val="18"/>
                </w:rPr>
                <w:t>http://www.cninfo.com.cn/cninfo-new/disclosure/szse_sme/bulletin_detail/t</w:t>
              </w:r>
            </w:hyperlink>
            <w:r>
              <w:rPr>
                <w:rFonts w:ascii="Times New Roman"/>
                <w:w w:val="100"/>
                <w:sz w:val="18"/>
              </w:rPr>
              <w:t> </w:t>
            </w:r>
            <w:r>
              <w:rPr>
                <w:rFonts w:ascii="Times New Roman"/>
                <w:sz w:val="18"/>
              </w:rPr>
              <w:t>rue/1204155139?announceTime=2017-11-22</w:t>
            </w:r>
          </w:p>
        </w:tc>
      </w:tr>
      <w:tr>
        <w:trPr>
          <w:trHeight w:val="6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榕基软件：关于公司第三期员工持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2018-02-13</w:t>
            </w:r>
            <w:r>
              <w:rPr>
                <w:rFonts w:ascii="Times New Roman"/>
                <w:sz w:val="18"/>
              </w:rPr>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3" w:right="8"/>
              <w:jc w:val="left"/>
              <w:rPr>
                <w:rFonts w:ascii="Times New Roman" w:hAnsi="Times New Roman" w:cs="Times New Roman" w:eastAsia="Times New Roman" w:hint="default"/>
                <w:sz w:val="18"/>
                <w:szCs w:val="18"/>
              </w:rPr>
            </w:pPr>
            <w:hyperlink r:id="rId16">
              <w:r>
                <w:rPr>
                  <w:rFonts w:ascii="Times New Roman"/>
                  <w:sz w:val="18"/>
                </w:rPr>
                <w:t>http://www.cninfo.com.cn/cninfo-new/disclosure/szse_sme/bulletin_detail/t</w:t>
              </w:r>
            </w:hyperlink>
            <w:r>
              <w:rPr>
                <w:rFonts w:ascii="Times New Roman"/>
                <w:w w:val="100"/>
                <w:sz w:val="18"/>
              </w:rPr>
              <w:t> </w:t>
            </w:r>
            <w:r>
              <w:rPr>
                <w:rFonts w:ascii="Times New Roman"/>
                <w:sz w:val="18"/>
              </w:rPr>
              <w:t>rue/1204417137?announceTime=2018-02-13</w:t>
            </w:r>
          </w:p>
        </w:tc>
      </w:tr>
    </w:tbl>
    <w:p>
      <w:pPr>
        <w:pStyle w:val="BodyText"/>
        <w:spacing w:line="240" w:lineRule="auto" w:before="51"/>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4"/>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4"/>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2239"/>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4"/>
        <w:rPr>
          <w:rFonts w:ascii="宋体" w:hAnsi="宋体" w:cs="宋体" w:eastAsia="宋体" w:hint="default"/>
          <w:sz w:val="21"/>
          <w:szCs w:val="21"/>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4"/>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4"/>
            <w:col w:w="2191"/>
          </w:cols>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28,450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51,550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16,834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40,834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6"/>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4"/>
            <w:col w:w="219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2274"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9" w:right="10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99" w:right="101"/>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22" w:right="23"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4"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352.76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352.76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352.76</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2018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47.83</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07"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鼓楼</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东街</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201.44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201.44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201.44</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东街</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120.92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120.92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120.92</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384.43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384.43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384.43</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民生</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76"/>
              <w:jc w:val="left"/>
              <w:rPr>
                <w:rFonts w:ascii="宋体" w:hAnsi="宋体" w:cs="宋体" w:eastAsia="宋体" w:hint="default"/>
                <w:sz w:val="18"/>
                <w:szCs w:val="18"/>
              </w:rPr>
            </w:pPr>
            <w:r>
              <w:rPr>
                <w:rFonts w:ascii="宋体" w:hAnsi="宋体" w:cs="宋体" w:eastAsia="宋体" w:hint="default"/>
                <w:sz w:val="18"/>
                <w:szCs w:val="18"/>
              </w:rPr>
              <w:t>银行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199.17</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3"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76"/>
              <w:jc w:val="both"/>
              <w:rPr>
                <w:rFonts w:ascii="宋体" w:hAnsi="宋体" w:cs="宋体" w:eastAsia="宋体" w:hint="default"/>
                <w:sz w:val="18"/>
                <w:szCs w:val="18"/>
              </w:rPr>
            </w:pPr>
            <w:r>
              <w:rPr>
                <w:rFonts w:ascii="宋体" w:hAnsi="宋体" w:cs="宋体" w:eastAsia="宋体" w:hint="default"/>
                <w:sz w:val="18"/>
                <w:szCs w:val="18"/>
              </w:rPr>
              <w:t>厦门 国际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255.56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255.56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固定 收益</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4.75%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72.88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6"/>
              <w:ind w:left="347" w:right="0"/>
              <w:jc w:val="left"/>
              <w:rPr>
                <w:rFonts w:ascii="Times New Roman" w:hAnsi="Times New Roman" w:cs="Times New Roman" w:eastAsia="Times New Roman" w:hint="default"/>
                <w:sz w:val="18"/>
                <w:szCs w:val="18"/>
              </w:rPr>
            </w:pPr>
            <w:r>
              <w:rPr>
                <w:rFonts w:ascii="Times New Roman"/>
                <w:sz w:val="18"/>
              </w:rPr>
              <w:t>99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1,435.</w:t>
            </w:r>
          </w:p>
          <w:p>
            <w:pPr>
              <w:pStyle w:val="TableParagraph"/>
              <w:spacing w:line="240" w:lineRule="auto" w:before="106"/>
              <w:ind w:left="347" w:right="0"/>
              <w:jc w:val="left"/>
              <w:rPr>
                <w:rFonts w:ascii="Times New Roman" w:hAnsi="Times New Roman" w:cs="Times New Roman" w:eastAsia="Times New Roman" w:hint="default"/>
                <w:sz w:val="18"/>
                <w:szCs w:val="18"/>
              </w:rPr>
            </w:pPr>
            <w:r>
              <w:rPr>
                <w:rFonts w:ascii="Times New Roman"/>
                <w:sz w:val="18"/>
              </w:rPr>
              <w:t>82</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委托理财出现预期无法收回本金或存在其他可能导致减值的情形</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57" w:hRule="exact"/>
        </w:trPr>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2"/>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3"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2"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29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1887"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9" w:lineRule="auto" w:before="151"/>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中国电 子检验 检疫主 干系统 开发项 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8"/>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1,669.8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8"/>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58"/>
              <w:ind w:left="22" w:right="25"/>
              <w:jc w:val="left"/>
              <w:rPr>
                <w:rFonts w:ascii="Times New Roman" w:hAnsi="Times New Roman" w:cs="Times New Roman" w:eastAsia="Times New Roman" w:hint="default"/>
                <w:sz w:val="18"/>
                <w:szCs w:val="18"/>
              </w:rPr>
            </w:pPr>
            <w:r>
              <w:rPr>
                <w:rFonts w:ascii="Times New Roman"/>
                <w:sz w:val="18"/>
              </w:rPr>
              <w:t>m.cn/cn info-ne</w:t>
            </w:r>
            <w:r>
              <w:rPr>
                <w:rFonts w:ascii="Times New Roman"/>
                <w:w w:val="100"/>
                <w:sz w:val="18"/>
              </w:rPr>
              <w:t> </w:t>
            </w: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in_detai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l/true/6</w:t>
            </w:r>
          </w:p>
        </w:tc>
      </w:tr>
      <w:tr>
        <w:trPr>
          <w:trHeight w:val="30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131716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192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22" w:right="31"/>
              <w:jc w:val="both"/>
              <w:rPr>
                <w:rFonts w:ascii="Times New Roman" w:hAnsi="Times New Roman" w:cs="Times New Roman" w:eastAsia="Times New Roman" w:hint="default"/>
                <w:sz w:val="18"/>
                <w:szCs w:val="18"/>
              </w:rPr>
            </w:pPr>
            <w:r>
              <w:rPr>
                <w:rFonts w:ascii="Times New Roman"/>
                <w:sz w:val="18"/>
              </w:rPr>
              <w:t>2?anno</w:t>
            </w:r>
            <w:r>
              <w:rPr>
                <w:rFonts w:ascii="Times New Roman"/>
                <w:w w:val="100"/>
                <w:sz w:val="18"/>
              </w:rPr>
              <w:t> </w:t>
            </w:r>
            <w:r>
              <w:rPr>
                <w:rFonts w:ascii="Times New Roman"/>
                <w:sz w:val="18"/>
              </w:rPr>
              <w:t>unceTi</w:t>
            </w:r>
            <w:r>
              <w:rPr>
                <w:rFonts w:ascii="Times New Roman"/>
                <w:w w:val="100"/>
                <w:sz w:val="18"/>
              </w:rPr>
              <w:t> </w:t>
            </w:r>
            <w:r>
              <w:rPr>
                <w:rFonts w:ascii="Times New Roman"/>
                <w:sz w:val="18"/>
              </w:rPr>
              <w:t>me=20</w:t>
            </w:r>
            <w:r>
              <w:rPr>
                <w:rFonts w:ascii="Times New Roman"/>
                <w:w w:val="100"/>
                <w:sz w:val="18"/>
              </w:rPr>
              <w:t> </w:t>
            </w:r>
            <w:r>
              <w:rPr>
                <w:rFonts w:ascii="Times New Roman"/>
                <w:sz w:val="18"/>
              </w:rPr>
              <w:t>12-07-2</w:t>
            </w:r>
          </w:p>
          <w:p>
            <w:pPr>
              <w:pStyle w:val="TableParagraph"/>
              <w:spacing w:line="240" w:lineRule="auto" w:before="3"/>
              <w:ind w:left="22" w:right="0"/>
              <w:jc w:val="both"/>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5"/>
              <w:ind w:left="22" w:right="0"/>
              <w:jc w:val="both"/>
              <w:rPr>
                <w:rFonts w:ascii="Times New Roman" w:hAnsi="Times New Roman" w:cs="Times New Roman" w:eastAsia="Times New Roman" w:hint="default"/>
                <w:sz w:val="18"/>
                <w:szCs w:val="18"/>
              </w:rPr>
            </w:pPr>
            <w:r>
              <w:rPr>
                <w:rFonts w:ascii="Times New Roman"/>
                <w:sz w:val="18"/>
              </w:rPr>
              <w:t>6:30</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中国电</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2184"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子检验 检疫主 干系统 服务总 线开发 集成技 术开发</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z w:val="18"/>
              </w:rPr>
              <w:t>198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0"/>
              <w:jc w:val="left"/>
              <w:rPr>
                <w:rFonts w:ascii="Times New Roman" w:hAnsi="Times New Roman" w:cs="Times New Roman" w:eastAsia="Times New Roman" w:hint="default"/>
                <w:sz w:val="18"/>
                <w:szCs w:val="18"/>
              </w:rPr>
            </w:pP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l/true/6</w:t>
            </w:r>
            <w:r>
              <w:rPr>
                <w:rFonts w:ascii="Times New Roman"/>
                <w:w w:val="100"/>
                <w:sz w:val="18"/>
              </w:rPr>
              <w:t> </w:t>
            </w:r>
            <w:r>
              <w:rPr>
                <w:rFonts w:ascii="Times New Roman"/>
                <w:sz w:val="18"/>
              </w:rPr>
              <w:t>399706</w:t>
            </w: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1?anno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unceTi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me=20</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14-05-0</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1560"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河南省 中小企 业发展 服务中 心</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中小企 业公共 服务平 台网络 软件开</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0"/>
              <w:jc w:val="both"/>
              <w:rPr>
                <w:rFonts w:ascii="Times New Roman" w:hAnsi="Times New Roman" w:cs="Times New Roman" w:eastAsia="Times New Roman" w:hint="default"/>
                <w:sz w:val="18"/>
                <w:szCs w:val="18"/>
              </w:rPr>
            </w:pP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200331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564?an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014-10-</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5"/>
              <w:jc w:val="both"/>
              <w:rPr>
                <w:rFonts w:ascii="宋体" w:hAnsi="宋体" w:cs="宋体" w:eastAsia="宋体" w:hint="default"/>
                <w:sz w:val="18"/>
                <w:szCs w:val="18"/>
              </w:rPr>
            </w:pPr>
            <w:r>
              <w:rPr>
                <w:rFonts w:ascii="宋体" w:hAnsi="宋体" w:cs="宋体" w:eastAsia="宋体" w:hint="default"/>
                <w:sz w:val="18"/>
                <w:szCs w:val="18"/>
              </w:rPr>
              <w:t>国家质 检总局 电子检</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2"/>
              <w:ind w:left="22" w:right="40"/>
              <w:jc w:val="both"/>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p>
        </w:tc>
      </w:tr>
    </w:tbl>
    <w:p>
      <w:pPr>
        <w:spacing w:after="0" w:line="362" w:lineRule="auto"/>
        <w:jc w:val="both"/>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22" w:hRule="exact"/>
        </w:trPr>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疫总局</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验检疫</w:t>
            </w:r>
          </w:p>
        </w:tc>
        <w:tc>
          <w:tcPr>
            <w:tcW w:w="640"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通关业</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主干系</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统信息</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交换平</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osure/s</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台开发</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zse_sm</w:t>
            </w: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e/bullet</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in_detai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l/true/1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201009</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866?an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14</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2808"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国家质 检总局 电子检 验检疫 大通关 系统应 用运维 项目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1,485.3</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完成终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0"/>
              <w:jc w:val="left"/>
              <w:rPr>
                <w:rFonts w:ascii="Times New Roman" w:hAnsi="Times New Roman" w:cs="Times New Roman" w:eastAsia="Times New Roman" w:hint="default"/>
                <w:sz w:val="18"/>
                <w:szCs w:val="18"/>
              </w:rPr>
            </w:pPr>
            <w:r>
              <w:rPr>
                <w:rFonts w:ascii="Times New Roman"/>
                <w:sz w:val="18"/>
              </w:rPr>
              <w:t>info-ne</w:t>
            </w:r>
            <w:r>
              <w:rPr>
                <w:rFonts w:ascii="Times New Roman"/>
                <w:w w:val="100"/>
                <w:sz w:val="18"/>
              </w:rPr>
              <w:t> </w:t>
            </w: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r>
              <w:rPr>
                <w:rFonts w:ascii="Times New Roman"/>
                <w:w w:val="100"/>
                <w:sz w:val="18"/>
              </w:rPr>
              <w:t> </w:t>
            </w:r>
            <w:r>
              <w:rPr>
                <w:rFonts w:ascii="Times New Roman"/>
                <w:sz w:val="18"/>
              </w:rPr>
              <w:t>201009</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866?an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14</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7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甲方委</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托乙方</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上海榕</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上海金</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在上海</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1248"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74"/>
              <w:ind w:left="22" w:right="61"/>
              <w:jc w:val="both"/>
              <w:rPr>
                <w:rFonts w:ascii="宋体" w:hAnsi="宋体" w:cs="宋体" w:eastAsia="宋体" w:hint="default"/>
                <w:sz w:val="18"/>
                <w:szCs w:val="18"/>
              </w:rPr>
            </w:pPr>
            <w:r>
              <w:rPr>
                <w:rFonts w:ascii="宋体" w:hAnsi="宋体" w:cs="宋体" w:eastAsia="宋体" w:hint="default"/>
                <w:sz w:val="18"/>
                <w:szCs w:val="18"/>
              </w:rPr>
              <w:t>基软件 开发有 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（甲</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74"/>
              <w:ind w:left="22" w:right="65"/>
              <w:jc w:val="both"/>
              <w:rPr>
                <w:rFonts w:ascii="宋体" w:hAnsi="宋体" w:cs="宋体" w:eastAsia="宋体" w:hint="default"/>
                <w:sz w:val="18"/>
                <w:szCs w:val="18"/>
              </w:rPr>
            </w:pPr>
            <w:r>
              <w:rPr>
                <w:rFonts w:ascii="宋体" w:hAnsi="宋体" w:cs="宋体" w:eastAsia="宋体" w:hint="default"/>
                <w:sz w:val="18"/>
                <w:szCs w:val="18"/>
              </w:rPr>
              <w:t>洹工程 建设有 限公司</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（乙</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2" w:lineRule="exact" w:before="34"/>
              <w:ind w:left="22" w:right="65"/>
              <w:jc w:val="both"/>
              <w:rPr>
                <w:rFonts w:ascii="宋体" w:hAnsi="宋体" w:cs="宋体" w:eastAsia="宋体" w:hint="default"/>
                <w:sz w:val="18"/>
                <w:szCs w:val="18"/>
              </w:rPr>
            </w:pPr>
            <w:r>
              <w:rPr>
                <w:rFonts w:ascii="宋体" w:hAnsi="宋体" w:cs="宋体" w:eastAsia="宋体" w:hint="default"/>
                <w:sz w:val="18"/>
                <w:szCs w:val="18"/>
              </w:rPr>
              <w:t>松江建 设上海 榕基软 件研发</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both"/>
              <w:rPr>
                <w:rFonts w:ascii="Times New Roman" w:hAnsi="Times New Roman" w:cs="Times New Roman" w:eastAsia="Times New Roman" w:hint="default"/>
                <w:sz w:val="18"/>
                <w:szCs w:val="18"/>
              </w:rPr>
            </w:pPr>
            <w:r>
              <w:rPr>
                <w:rFonts w:ascii="Times New Roman"/>
                <w:sz w:val="18"/>
              </w:rPr>
              <w:t>info-ne</w:t>
            </w:r>
          </w:p>
          <w:p>
            <w:pPr>
              <w:pStyle w:val="TableParagraph"/>
              <w:spacing w:line="362" w:lineRule="auto" w:before="105"/>
              <w:ind w:left="22" w:right="71"/>
              <w:jc w:val="both"/>
              <w:rPr>
                <w:rFonts w:ascii="Times New Roman" w:hAnsi="Times New Roman" w:cs="Times New Roman" w:eastAsia="Times New Roman" w:hint="default"/>
                <w:sz w:val="18"/>
                <w:szCs w:val="18"/>
              </w:rPr>
            </w:pP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及人才</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e/bullet</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培训基</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in_detai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地</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l/true/1</w:t>
            </w:r>
          </w:p>
        </w:tc>
      </w:tr>
      <w:tr>
        <w:trPr>
          <w:trHeight w:val="24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22" w:right="0"/>
              <w:jc w:val="left"/>
              <w:rPr>
                <w:rFonts w:ascii="Times New Roman" w:hAnsi="Times New Roman" w:cs="Times New Roman" w:eastAsia="Times New Roman" w:hint="default"/>
                <w:sz w:val="18"/>
                <w:szCs w:val="18"/>
              </w:rPr>
            </w:pPr>
            <w:r>
              <w:rPr>
                <w:rFonts w:ascii="Times New Roman"/>
                <w:sz w:val="18"/>
              </w:rPr>
              <w:t>203854</w:t>
            </w:r>
          </w:p>
        </w:tc>
      </w:tr>
      <w:tr>
        <w:trPr>
          <w:trHeight w:val="30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496?an</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1298"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22" w:right="31"/>
              <w:jc w:val="both"/>
              <w:rPr>
                <w:rFonts w:ascii="Times New Roman" w:hAnsi="Times New Roman" w:cs="Times New Roman" w:eastAsia="Times New Roman" w:hint="default"/>
                <w:sz w:val="18"/>
                <w:szCs w:val="18"/>
              </w:rPr>
            </w:pPr>
            <w:r>
              <w:rPr>
                <w:rFonts w:ascii="Times New Roman"/>
                <w:sz w:val="18"/>
              </w:rPr>
              <w:t>nounce</w:t>
            </w:r>
            <w:r>
              <w:rPr>
                <w:rFonts w:ascii="Times New Roman"/>
                <w:w w:val="100"/>
                <w:sz w:val="18"/>
              </w:rPr>
              <w:t> </w:t>
            </w:r>
            <w:r>
              <w:rPr>
                <w:rFonts w:ascii="Times New Roman"/>
                <w:sz w:val="18"/>
              </w:rPr>
              <w:t>Time=2</w:t>
            </w:r>
            <w:r>
              <w:rPr>
                <w:rFonts w:ascii="Times New Roman"/>
                <w:w w:val="100"/>
                <w:sz w:val="18"/>
              </w:rPr>
              <w:t> </w:t>
            </w:r>
            <w:r>
              <w:rPr>
                <w:rFonts w:ascii="Times New Roman"/>
                <w:sz w:val="18"/>
              </w:rPr>
              <w:t>017-08-</w:t>
            </w:r>
          </w:p>
          <w:p>
            <w:pPr>
              <w:pStyle w:val="TableParagraph"/>
              <w:spacing w:line="240" w:lineRule="auto" w:before="3"/>
              <w:ind w:left="22" w:right="0"/>
              <w:jc w:val="both"/>
              <w:rPr>
                <w:rFonts w:ascii="Times New Roman" w:hAnsi="Times New Roman" w:cs="Times New Roman" w:eastAsia="Times New Roman" w:hint="default"/>
                <w:sz w:val="18"/>
                <w:szCs w:val="18"/>
              </w:rPr>
            </w:pPr>
            <w:r>
              <w:rPr>
                <w:rFonts w:ascii="Times New Roman"/>
                <w:sz w:val="18"/>
              </w:rPr>
              <w:t>24</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2189"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1"/>
              <w:jc w:val="both"/>
              <w:rPr>
                <w:rFonts w:ascii="宋体" w:hAnsi="宋体" w:cs="宋体" w:eastAsia="宋体" w:hint="default"/>
                <w:sz w:val="18"/>
                <w:szCs w:val="18"/>
              </w:rPr>
            </w:pPr>
            <w:r>
              <w:rPr>
                <w:rFonts w:ascii="宋体" w:hAnsi="宋体" w:cs="宋体" w:eastAsia="宋体" w:hint="default"/>
                <w:sz w:val="18"/>
                <w:szCs w:val="18"/>
              </w:rPr>
              <w:t>信阳榕 基信息 技术有 限公司</w:t>
            </w:r>
          </w:p>
          <w:p>
            <w:pPr>
              <w:pStyle w:val="TableParagraph"/>
              <w:spacing w:line="316" w:lineRule="auto" w:before="19"/>
              <w:ind w:left="22" w:right="241"/>
              <w:jc w:val="left"/>
              <w:rPr>
                <w:rFonts w:ascii="宋体" w:hAnsi="宋体" w:cs="宋体" w:eastAsia="宋体" w:hint="default"/>
                <w:sz w:val="18"/>
                <w:szCs w:val="18"/>
              </w:rPr>
            </w:pPr>
            <w:r>
              <w:rPr>
                <w:rFonts w:ascii="宋体" w:hAnsi="宋体" w:cs="宋体" w:eastAsia="宋体" w:hint="default"/>
                <w:sz w:val="18"/>
                <w:szCs w:val="18"/>
              </w:rPr>
              <w:t>（甲 方）</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65"/>
              <w:jc w:val="both"/>
              <w:rPr>
                <w:rFonts w:ascii="宋体" w:hAnsi="宋体" w:cs="宋体" w:eastAsia="宋体" w:hint="default"/>
                <w:sz w:val="18"/>
                <w:szCs w:val="18"/>
              </w:rPr>
            </w:pPr>
            <w:r>
              <w:rPr>
                <w:rFonts w:ascii="宋体" w:hAnsi="宋体" w:cs="宋体" w:eastAsia="宋体" w:hint="default"/>
                <w:sz w:val="18"/>
                <w:szCs w:val="18"/>
              </w:rPr>
              <w:t>中铁建 设集团 有限公 司（乙 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甲方委 托乙方 在信阳 建设信 阳榕基 软件园 区</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0"/>
              <w:jc w:val="left"/>
              <w:rPr>
                <w:rFonts w:ascii="Times New Roman" w:hAnsi="Times New Roman" w:cs="Times New Roman" w:eastAsia="Times New Roman" w:hint="default"/>
                <w:sz w:val="18"/>
                <w:szCs w:val="18"/>
              </w:rPr>
            </w:pPr>
            <w:r>
              <w:rPr>
                <w:rFonts w:ascii="Times New Roman"/>
                <w:sz w:val="18"/>
              </w:rPr>
              <w:t>w/discl</w:t>
            </w:r>
            <w:r>
              <w:rPr>
                <w:rFonts w:ascii="Times New Roman"/>
                <w:w w:val="100"/>
                <w:sz w:val="18"/>
              </w:rPr>
              <w:t> </w:t>
            </w:r>
            <w:r>
              <w:rPr>
                <w:rFonts w:ascii="Times New Roman"/>
                <w:sz w:val="18"/>
              </w:rPr>
              <w:t>osure/s</w:t>
            </w:r>
            <w:r>
              <w:rPr>
                <w:rFonts w:ascii="Times New Roman"/>
                <w:w w:val="99"/>
                <w:sz w:val="18"/>
              </w:rPr>
              <w:t> </w:t>
            </w:r>
            <w:r>
              <w:rPr>
                <w:rFonts w:ascii="Times New Roman"/>
                <w:sz w:val="18"/>
              </w:rPr>
              <w:t>zse_sm</w:t>
            </w:r>
            <w:r>
              <w:rPr>
                <w:rFonts w:ascii="Times New Roman"/>
                <w:w w:val="100"/>
                <w:sz w:val="18"/>
              </w:rPr>
              <w:t> </w:t>
            </w:r>
            <w:r>
              <w:rPr>
                <w:rFonts w:ascii="Times New Roman"/>
                <w:sz w:val="18"/>
              </w:rPr>
              <w:t>e/bullet</w:t>
            </w:r>
            <w:r>
              <w:rPr>
                <w:rFonts w:ascii="Times New Roman"/>
                <w:w w:val="100"/>
                <w:sz w:val="18"/>
              </w:rPr>
              <w:t> </w:t>
            </w:r>
            <w:r>
              <w:rPr>
                <w:rFonts w:ascii="Times New Roman"/>
                <w:sz w:val="18"/>
              </w:rPr>
              <w:t>in_detai</w:t>
            </w:r>
            <w:r>
              <w:rPr>
                <w:rFonts w:ascii="Times New Roman"/>
                <w:w w:val="100"/>
                <w:sz w:val="18"/>
              </w:rPr>
              <w:t> </w:t>
            </w:r>
            <w:r>
              <w:rPr>
                <w:rFonts w:ascii="Times New Roman"/>
                <w:sz w:val="18"/>
              </w:rPr>
              <w:t>l/true/1</w:t>
            </w:r>
            <w:r>
              <w:rPr>
                <w:rFonts w:ascii="Times New Roman"/>
                <w:w w:val="100"/>
                <w:sz w:val="18"/>
              </w:rPr>
              <w:t> </w:t>
            </w:r>
            <w:r>
              <w:rPr>
                <w:rFonts w:ascii="Times New Roman"/>
                <w:sz w:val="18"/>
              </w:rPr>
              <w:t>202707</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659?an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016-09-</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m.cn/ne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30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osure/d</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etail?pl</w:t>
            </w:r>
          </w:p>
        </w:tc>
      </w:tr>
      <w:tr>
        <w:trPr>
          <w:trHeight w:val="187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5"/>
              <w:jc w:val="both"/>
              <w:rPr>
                <w:rFonts w:ascii="宋体" w:hAnsi="宋体" w:cs="宋体" w:eastAsia="宋体" w:hint="default"/>
                <w:sz w:val="18"/>
                <w:szCs w:val="18"/>
              </w:rPr>
            </w:pPr>
            <w:r>
              <w:rPr>
                <w:rFonts w:ascii="宋体" w:hAnsi="宋体" w:cs="宋体" w:eastAsia="宋体" w:hint="default"/>
                <w:sz w:val="18"/>
                <w:szCs w:val="18"/>
              </w:rPr>
              <w:t>北京海 圣投资 基金管 理有限 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5"/>
              <w:jc w:val="both"/>
              <w:rPr>
                <w:rFonts w:ascii="宋体" w:hAnsi="宋体" w:cs="宋体" w:eastAsia="宋体" w:hint="default"/>
                <w:sz w:val="18"/>
                <w:szCs w:val="18"/>
              </w:rPr>
            </w:pPr>
            <w:r>
              <w:rPr>
                <w:rFonts w:ascii="宋体" w:hAnsi="宋体" w:cs="宋体" w:eastAsia="宋体" w:hint="default"/>
                <w:sz w:val="18"/>
                <w:szCs w:val="18"/>
              </w:rPr>
              <w:t>马鞍山 榕基软 件信息 科技有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65"/>
              <w:jc w:val="both"/>
              <w:rPr>
                <w:rFonts w:ascii="宋体" w:hAnsi="宋体" w:cs="宋体" w:eastAsia="宋体" w:hint="default"/>
                <w:sz w:val="18"/>
                <w:szCs w:val="18"/>
              </w:rPr>
            </w:pPr>
            <w:r>
              <w:rPr>
                <w:rFonts w:ascii="宋体" w:hAnsi="宋体" w:cs="宋体" w:eastAsia="宋体" w:hint="default"/>
                <w:sz w:val="18"/>
                <w:szCs w:val="18"/>
              </w:rPr>
              <w:t>大学资 产评估 土地房 地产估 价有限 责任公</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9,300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7"/>
              <w:ind w:left="22" w:right="29"/>
              <w:jc w:val="both"/>
              <w:rPr>
                <w:rFonts w:ascii="Times New Roman" w:hAnsi="Times New Roman" w:cs="Times New Roman" w:eastAsia="Times New Roman" w:hint="default"/>
                <w:sz w:val="18"/>
                <w:szCs w:val="18"/>
              </w:rPr>
            </w:pPr>
            <w:r>
              <w:rPr>
                <w:rFonts w:ascii="Times New Roman"/>
                <w:sz w:val="18"/>
              </w:rPr>
              <w:t>ate=szs</w:t>
            </w:r>
            <w:r>
              <w:rPr>
                <w:rFonts w:ascii="Times New Roman"/>
                <w:w w:val="99"/>
                <w:sz w:val="18"/>
              </w:rPr>
              <w:t> </w:t>
            </w:r>
            <w:r>
              <w:rPr>
                <w:rFonts w:ascii="Times New Roman"/>
                <w:sz w:val="18"/>
              </w:rPr>
              <w:t>e&amp;stoc</w:t>
            </w:r>
            <w:r>
              <w:rPr>
                <w:rFonts w:ascii="Times New Roman"/>
                <w:w w:val="100"/>
                <w:sz w:val="18"/>
              </w:rPr>
              <w:t> </w:t>
            </w:r>
            <w:r>
              <w:rPr>
                <w:rFonts w:ascii="Times New Roman"/>
                <w:sz w:val="18"/>
              </w:rPr>
              <w:t>kCode=</w:t>
            </w:r>
            <w:r>
              <w:rPr>
                <w:rFonts w:ascii="Times New Roman"/>
                <w:w w:val="100"/>
                <w:sz w:val="18"/>
              </w:rPr>
              <w:t> </w:t>
            </w:r>
            <w:r>
              <w:rPr>
                <w:rFonts w:ascii="Times New Roman"/>
                <w:sz w:val="18"/>
              </w:rPr>
              <w:t>002474</w:t>
            </w:r>
          </w:p>
          <w:p>
            <w:pPr>
              <w:pStyle w:val="TableParagraph"/>
              <w:spacing w:line="362" w:lineRule="auto" w:before="3"/>
              <w:ind w:left="22" w:right="20"/>
              <w:jc w:val="both"/>
              <w:rPr>
                <w:rFonts w:ascii="Times New Roman" w:hAnsi="Times New Roman" w:cs="Times New Roman" w:eastAsia="Times New Roman" w:hint="default"/>
                <w:sz w:val="18"/>
                <w:szCs w:val="18"/>
              </w:rPr>
            </w:pPr>
            <w:r>
              <w:rPr>
                <w:rFonts w:ascii="Times New Roman"/>
                <w:sz w:val="18"/>
              </w:rPr>
              <w:t>&amp;annou</w:t>
            </w:r>
            <w:r>
              <w:rPr>
                <w:rFonts w:ascii="Times New Roman"/>
                <w:w w:val="100"/>
                <w:sz w:val="18"/>
              </w:rPr>
              <w:t> </w:t>
            </w:r>
            <w:r>
              <w:rPr>
                <w:rFonts w:ascii="Times New Roman"/>
                <w:sz w:val="18"/>
              </w:rPr>
              <w:t>ncemen</w:t>
            </w: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tId=120</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520800</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2&amp;anno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ntTime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=2018-</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07-20</w:t>
            </w:r>
          </w:p>
        </w:tc>
      </w:tr>
      <w:tr>
        <w:trPr>
          <w:trHeight w:val="71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1"/>
              <w:jc w:val="left"/>
              <w:rPr>
                <w:rFonts w:ascii="宋体" w:hAnsi="宋体" w:cs="宋体" w:eastAsia="宋体" w:hint="default"/>
                <w:sz w:val="18"/>
                <w:szCs w:val="18"/>
              </w:rPr>
            </w:pPr>
            <w:r>
              <w:rPr>
                <w:rFonts w:ascii="宋体" w:hAnsi="宋体" w:cs="宋体" w:eastAsia="宋体" w:hint="default"/>
                <w:sz w:val="18"/>
                <w:szCs w:val="18"/>
              </w:rPr>
              <w:t>福建榕 基软件</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5"/>
              <w:jc w:val="left"/>
              <w:rPr>
                <w:rFonts w:ascii="宋体" w:hAnsi="宋体" w:cs="宋体" w:eastAsia="宋体" w:hint="default"/>
                <w:sz w:val="18"/>
                <w:szCs w:val="18"/>
              </w:rPr>
            </w:pPr>
            <w:r>
              <w:rPr>
                <w:rFonts w:ascii="宋体" w:hAnsi="宋体" w:cs="宋体" w:eastAsia="宋体" w:hint="default"/>
                <w:sz w:val="18"/>
                <w:szCs w:val="18"/>
              </w:rPr>
              <w:t>福建天 和建设</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65"/>
              <w:jc w:val="left"/>
              <w:rPr>
                <w:rFonts w:ascii="宋体" w:hAnsi="宋体" w:cs="宋体" w:eastAsia="宋体" w:hint="default"/>
                <w:sz w:val="18"/>
                <w:szCs w:val="18"/>
              </w:rPr>
            </w:pPr>
            <w:r>
              <w:rPr>
                <w:rFonts w:ascii="宋体" w:hAnsi="宋体" w:cs="宋体" w:eastAsia="宋体" w:hint="default"/>
                <w:sz w:val="18"/>
                <w:szCs w:val="18"/>
              </w:rPr>
              <w:t>甲方委 托乙方</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2"/>
              <w:ind w:left="22" w:right="40"/>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3"/>
                <w:sz w:val="18"/>
              </w:rPr>
              <w:t>ww.cni</w:t>
            </w:r>
            <w:r>
              <w:rPr>
                <w:rFonts w:ascii="Times New Roman"/>
                <w:sz w:val="18"/>
              </w:rPr>
            </w:r>
          </w:p>
        </w:tc>
      </w:tr>
    </w:tbl>
    <w:p>
      <w:pPr>
        <w:spacing w:after="0" w:line="362"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22" w:hRule="exact"/>
        </w:trPr>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工程有</w:t>
            </w: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工程有</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在福州</w:t>
            </w: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闽侯建</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m.cn/ne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（甲</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（乙</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设福建</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榕基软</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osure/d</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件工程</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etail?pl</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ate=szs</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司软件</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e&amp;stoc</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及服务</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kCode=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外包产</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002474</w:t>
            </w:r>
          </w:p>
        </w:tc>
      </w:tr>
      <w:tr>
        <w:trPr>
          <w:trHeight w:val="31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业基地</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&amp;annou</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ncemen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tId=120</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569873</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5&amp;anno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ntTime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=2018-</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12-29</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7">
              <w:r>
                <w:rPr>
                  <w:rFonts w:ascii="Times New Roman"/>
                  <w:sz w:val="18"/>
                </w:rPr>
                <w:t>http://w</w:t>
              </w:r>
            </w:hyperlink>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m.cn/ne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3120"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65"/>
              <w:jc w:val="both"/>
              <w:rPr>
                <w:rFonts w:ascii="宋体" w:hAnsi="宋体" w:cs="宋体" w:eastAsia="宋体" w:hint="default"/>
                <w:sz w:val="18"/>
                <w:szCs w:val="18"/>
              </w:rPr>
            </w:pPr>
            <w:r>
              <w:rPr>
                <w:rFonts w:ascii="宋体" w:hAnsi="宋体" w:cs="宋体" w:eastAsia="宋体" w:hint="default"/>
                <w:sz w:val="18"/>
                <w:szCs w:val="18"/>
              </w:rPr>
              <w:t>海关总 署物资 装备采 购中心</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海关总 署关检 业务融 合</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sz w:val="18"/>
              </w:rPr>
              <w:t>e-CIQ</w:t>
            </w:r>
          </w:p>
          <w:p>
            <w:pPr>
              <w:pStyle w:val="TableParagraph"/>
              <w:spacing w:line="316"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主干系 统改造 项目开 发合同</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3,676</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9"/>
              <w:jc w:val="both"/>
              <w:rPr>
                <w:rFonts w:ascii="Times New Roman" w:hAnsi="Times New Roman" w:cs="Times New Roman" w:eastAsia="Times New Roman" w:hint="default"/>
                <w:sz w:val="18"/>
                <w:szCs w:val="18"/>
              </w:rPr>
            </w:pPr>
            <w:r>
              <w:rPr>
                <w:rFonts w:ascii="Times New Roman"/>
                <w:sz w:val="18"/>
              </w:rPr>
              <w:t>osure/d</w:t>
            </w:r>
            <w:r>
              <w:rPr>
                <w:rFonts w:ascii="Times New Roman"/>
                <w:w w:val="100"/>
                <w:sz w:val="18"/>
              </w:rPr>
              <w:t> </w:t>
            </w:r>
            <w:r>
              <w:rPr>
                <w:rFonts w:ascii="Times New Roman"/>
                <w:sz w:val="18"/>
              </w:rPr>
              <w:t>etail?pl</w:t>
            </w:r>
            <w:r>
              <w:rPr>
                <w:rFonts w:ascii="Times New Roman"/>
                <w:w w:val="100"/>
                <w:sz w:val="18"/>
              </w:rPr>
              <w:t> </w:t>
            </w:r>
            <w:r>
              <w:rPr>
                <w:rFonts w:ascii="Times New Roman"/>
                <w:sz w:val="18"/>
              </w:rPr>
              <w:t>ate=szs</w:t>
            </w:r>
            <w:r>
              <w:rPr>
                <w:rFonts w:ascii="Times New Roman"/>
                <w:w w:val="99"/>
                <w:sz w:val="18"/>
              </w:rPr>
              <w:t> </w:t>
            </w:r>
            <w:r>
              <w:rPr>
                <w:rFonts w:ascii="Times New Roman"/>
                <w:sz w:val="18"/>
              </w:rPr>
              <w:t>e&amp;stoc</w:t>
            </w:r>
            <w:r>
              <w:rPr>
                <w:rFonts w:ascii="Times New Roman"/>
                <w:w w:val="100"/>
                <w:sz w:val="18"/>
              </w:rPr>
              <w:t> </w:t>
            </w:r>
            <w:r>
              <w:rPr>
                <w:rFonts w:ascii="Times New Roman"/>
                <w:sz w:val="18"/>
              </w:rPr>
              <w:t>kCode=</w:t>
            </w:r>
            <w:r>
              <w:rPr>
                <w:rFonts w:ascii="Times New Roman"/>
                <w:w w:val="100"/>
                <w:sz w:val="18"/>
              </w:rPr>
              <w:t> </w:t>
            </w:r>
            <w:r>
              <w:rPr>
                <w:rFonts w:ascii="Times New Roman"/>
                <w:sz w:val="18"/>
              </w:rPr>
              <w:t>002474</w:t>
            </w:r>
          </w:p>
          <w:p>
            <w:pPr>
              <w:pStyle w:val="TableParagraph"/>
              <w:spacing w:line="362" w:lineRule="auto" w:before="3"/>
              <w:ind w:left="22" w:right="20"/>
              <w:jc w:val="both"/>
              <w:rPr>
                <w:rFonts w:ascii="Times New Roman" w:hAnsi="Times New Roman" w:cs="Times New Roman" w:eastAsia="Times New Roman" w:hint="default"/>
                <w:sz w:val="18"/>
                <w:szCs w:val="18"/>
              </w:rPr>
            </w:pPr>
            <w:r>
              <w:rPr>
                <w:rFonts w:ascii="Times New Roman"/>
                <w:sz w:val="18"/>
              </w:rPr>
              <w:t>&amp;annou</w:t>
            </w:r>
            <w:r>
              <w:rPr>
                <w:rFonts w:ascii="Times New Roman"/>
                <w:w w:val="100"/>
                <w:sz w:val="18"/>
              </w:rPr>
              <w:t> </w:t>
            </w:r>
            <w:r>
              <w:rPr>
                <w:rFonts w:ascii="Times New Roman"/>
                <w:sz w:val="18"/>
              </w:rPr>
              <w:t>ncemen</w:t>
            </w:r>
            <w:r>
              <w:rPr>
                <w:rFonts w:ascii="Times New Roman"/>
                <w:w w:val="100"/>
                <w:sz w:val="18"/>
              </w:rPr>
              <w:t> </w:t>
            </w:r>
            <w:r>
              <w:rPr>
                <w:rFonts w:ascii="Times New Roman"/>
                <w:sz w:val="18"/>
              </w:rPr>
              <w:t>tId=120</w:t>
            </w:r>
            <w:r>
              <w:rPr>
                <w:rFonts w:ascii="Times New Roman"/>
                <w:w w:val="100"/>
                <w:sz w:val="18"/>
              </w:rPr>
              <w:t> </w:t>
            </w:r>
            <w:r>
              <w:rPr>
                <w:rFonts w:ascii="Times New Roman"/>
                <w:sz w:val="18"/>
              </w:rPr>
              <w:t>577225</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8&amp;anno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ntTime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=2019-</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01-16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2239"/>
        <w:jc w:val="left"/>
        <w:rPr>
          <w:b w:val="0"/>
          <w:bCs w:val="0"/>
        </w:rPr>
      </w:pP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（1）股东和债权人权益保护方面</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131" w:firstLine="360"/>
        <w:jc w:val="both"/>
      </w:pPr>
      <w:r>
        <w:rPr>
          <w:spacing w:val="-2"/>
        </w:rPr>
        <w:t>投资者是公司最重要的利益相关方之一，为公司提供重要资源，也激励公司优化管理流程、提高运营效率。公司通过充</w:t>
      </w:r>
      <w:r>
        <w:rPr/>
        <w:t> </w:t>
      </w:r>
      <w:r>
        <w:rPr>
          <w:spacing w:val="-2"/>
        </w:rPr>
        <w:t>分的信息披露与交流，加强与股东、债权人及潜在投资者之间的沟通，促进投资者对公司的了解和认同，不断提升公司治理</w:t>
      </w:r>
      <w:r>
        <w:rPr>
          <w:spacing w:val="-66"/>
        </w:rPr>
        <w:t> </w:t>
      </w:r>
      <w:r>
        <w:rPr>
          <w:spacing w:val="-66"/>
        </w:rPr>
      </w:r>
      <w:r>
        <w:rPr/>
        <w:t>水平，全力保障包括中小股民在内的所有投资人的合法权益。</w:t>
      </w:r>
    </w:p>
    <w:p>
      <w:pPr>
        <w:pStyle w:val="BodyText"/>
        <w:spacing w:line="316" w:lineRule="auto" w:before="67"/>
        <w:ind w:left="153" w:right="0" w:firstLine="360"/>
        <w:jc w:val="left"/>
      </w:pPr>
      <w:r>
        <w:rPr>
          <w:spacing w:val="-2"/>
        </w:rPr>
        <w:t>报告期内，公司进一步完善治理结构，公平对待所有股东和债权人，确保股东能够充分享有并行使法律、法规、规章所</w:t>
      </w:r>
      <w:r>
        <w:rPr/>
        <w:t> 规定的各项合法权益。</w:t>
      </w:r>
    </w:p>
    <w:p>
      <w:pPr>
        <w:pStyle w:val="BodyText"/>
        <w:spacing w:line="240" w:lineRule="auto" w:before="58"/>
        <w:ind w:left="513" w:right="2239"/>
        <w:jc w:val="left"/>
      </w:pPr>
      <w:r>
        <w:rPr/>
        <w:t>（</w:t>
      </w:r>
      <w:r>
        <w:rPr>
          <w:rFonts w:ascii="等线 Light" w:hAnsi="等线 Light" w:cs="等线 Light" w:eastAsia="等线 Light" w:hint="default"/>
          <w:b w:val="0"/>
          <w:bCs w:val="0"/>
        </w:rPr>
        <w:t>一</w:t>
      </w:r>
      <w:r>
        <w:rPr/>
        <w:t>）公司相关制度日益完善，法人治理水平不断提高；</w:t>
      </w:r>
    </w:p>
    <w:p>
      <w:pPr>
        <w:pStyle w:val="BodyText"/>
        <w:spacing w:line="240" w:lineRule="auto" w:before="108"/>
        <w:ind w:left="513" w:right="2239"/>
        <w:jc w:val="left"/>
      </w:pPr>
      <w:r>
        <w:rPr/>
        <w:t>（</w:t>
      </w:r>
      <w:r>
        <w:rPr>
          <w:rFonts w:ascii="等线 Light" w:hAnsi="等线 Light" w:cs="等线 Light" w:eastAsia="等线 Light" w:hint="default"/>
          <w:b w:val="0"/>
          <w:bCs w:val="0"/>
        </w:rPr>
        <w:t>二</w:t>
      </w:r>
      <w:r>
        <w:rPr/>
        <w:t>）公司运作合法合规，维护股东利益；</w:t>
      </w:r>
    </w:p>
    <w:p>
      <w:pPr>
        <w:pStyle w:val="BodyText"/>
        <w:spacing w:line="240" w:lineRule="auto" w:before="108"/>
        <w:ind w:left="513" w:right="2239"/>
        <w:jc w:val="left"/>
      </w:pPr>
      <w:r>
        <w:rPr/>
        <w:t>（</w:t>
      </w:r>
      <w:r>
        <w:rPr>
          <w:rFonts w:ascii="等线 Light" w:hAnsi="等线 Light" w:cs="等线 Light" w:eastAsia="等线 Light" w:hint="default"/>
          <w:b w:val="0"/>
          <w:bCs w:val="0"/>
        </w:rPr>
        <w:t>三</w:t>
      </w:r>
      <w:r>
        <w:rPr/>
        <w:t>）公司严格按照相关法律法规的规定履行信息披露义务、公平尽责的接待所有投资者；</w:t>
      </w:r>
    </w:p>
    <w:p>
      <w:pPr>
        <w:pStyle w:val="BodyText"/>
        <w:spacing w:line="240" w:lineRule="auto" w:before="108"/>
        <w:ind w:left="513" w:right="2239"/>
        <w:jc w:val="left"/>
      </w:pPr>
      <w:r>
        <w:rPr/>
        <w:t>（</w:t>
      </w:r>
      <w:r>
        <w:rPr>
          <w:rFonts w:ascii="等线 Light" w:hAnsi="等线 Light" w:cs="等线 Light" w:eastAsia="等线 Light" w:hint="default"/>
          <w:b w:val="0"/>
          <w:bCs w:val="0"/>
        </w:rPr>
        <w:t>四</w:t>
      </w:r>
      <w:r>
        <w:rPr/>
        <w:t>）建立内幕交易防控机制；</w:t>
      </w:r>
    </w:p>
    <w:p>
      <w:pPr>
        <w:pStyle w:val="BodyText"/>
        <w:spacing w:line="240" w:lineRule="auto" w:before="108"/>
        <w:ind w:left="513" w:right="2239"/>
        <w:jc w:val="left"/>
      </w:pPr>
      <w:r>
        <w:rPr/>
        <w:t>（</w:t>
      </w:r>
      <w:r>
        <w:rPr>
          <w:rFonts w:ascii="等线 Light" w:hAnsi="等线 Light" w:cs="等线 Light" w:eastAsia="等线 Light" w:hint="default"/>
          <w:b w:val="0"/>
          <w:bCs w:val="0"/>
        </w:rPr>
        <w:t>五</w:t>
      </w:r>
      <w:r>
        <w:rPr/>
        <w:t>）积极回报股东；</w:t>
      </w:r>
    </w:p>
    <w:p>
      <w:pPr>
        <w:pStyle w:val="BodyText"/>
        <w:spacing w:line="304" w:lineRule="auto" w:before="108"/>
        <w:ind w:left="153" w:right="0" w:firstLine="360"/>
        <w:jc w:val="left"/>
      </w:pPr>
      <w:r>
        <w:rPr>
          <w:spacing w:val="-2"/>
        </w:rPr>
        <w:t>（</w:t>
      </w:r>
      <w:r>
        <w:rPr>
          <w:rFonts w:ascii="等线 Light" w:hAnsi="等线 Light" w:cs="等线 Light" w:eastAsia="等线 Light" w:hint="default"/>
          <w:b w:val="0"/>
          <w:bCs w:val="0"/>
          <w:spacing w:val="-2"/>
        </w:rPr>
        <w:t>六</w:t>
      </w:r>
      <w:r>
        <w:rPr>
          <w:spacing w:val="-2"/>
        </w:rPr>
        <w:t>）公司证券部组织人员积极参加走进华福证券和兴业证券投教基地活动，深入了解投教基地的公益性、品牌性、开</w:t>
      </w:r>
      <w:r>
        <w:rPr/>
        <w:t> 放性，创建与投资者沟通平台；</w:t>
      </w:r>
    </w:p>
    <w:p>
      <w:pPr>
        <w:pStyle w:val="BodyText"/>
        <w:spacing w:line="304" w:lineRule="auto" w:before="67"/>
        <w:ind w:left="153" w:right="0" w:firstLine="360"/>
        <w:jc w:val="left"/>
      </w:pPr>
      <w:r>
        <w:rPr>
          <w:spacing w:val="-2"/>
        </w:rPr>
        <w:t>（</w:t>
      </w:r>
      <w:r>
        <w:rPr>
          <w:rFonts w:ascii="等线 Light" w:hAnsi="等线 Light" w:cs="等线 Light" w:eastAsia="等线 Light" w:hint="default"/>
          <w:b w:val="0"/>
          <w:bCs w:val="0"/>
          <w:spacing w:val="-2"/>
        </w:rPr>
        <w:t>七</w:t>
      </w:r>
      <w:r>
        <w:rPr>
          <w:spacing w:val="-2"/>
        </w:rPr>
        <w:t>）公司一贯奉行稳健诚信的经营策略，控制自身的经营风险，确保公司财务稳健，保障公司资产、资金安全，在追</w:t>
      </w:r>
      <w:r>
        <w:rPr/>
        <w:t> 求股东利益最大化的同时兼顾债权人的利益。</w:t>
      </w:r>
    </w:p>
    <w:p>
      <w:pPr>
        <w:pStyle w:val="BodyText"/>
        <w:spacing w:line="367" w:lineRule="auto" w:before="76"/>
        <w:ind w:left="513" w:right="0"/>
        <w:jc w:val="left"/>
      </w:pPr>
      <w:r>
        <w:rPr/>
        <w:t>（2）职工权益保护 </w:t>
      </w:r>
      <w:r>
        <w:rPr>
          <w:spacing w:val="-2"/>
        </w:rPr>
        <w:t>公司多年来始终执行</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的人才战略，维护和保障员工的利益。为此，公司建立了规范的人力资源管理体系，并</w:t>
      </w:r>
    </w:p>
    <w:p>
      <w:pPr>
        <w:pStyle w:val="BodyText"/>
        <w:spacing w:line="193" w:lineRule="exact"/>
        <w:ind w:right="2239"/>
        <w:jc w:val="left"/>
      </w:pPr>
      <w:r>
        <w:rPr/>
        <w:t>不断完善薪酬及激励机制，实现公司与员工的共同发展。</w:t>
      </w:r>
    </w:p>
    <w:p>
      <w:pPr>
        <w:pStyle w:val="BodyText"/>
        <w:spacing w:line="240" w:lineRule="auto" w:before="116"/>
        <w:ind w:left="514" w:right="2239"/>
        <w:jc w:val="left"/>
      </w:pPr>
      <w:r>
        <w:rPr/>
        <w:t>（</w:t>
      </w:r>
      <w:r>
        <w:rPr>
          <w:rFonts w:ascii="等线 Light" w:hAnsi="等线 Light" w:cs="等线 Light" w:eastAsia="等线 Light" w:hint="default"/>
          <w:b w:val="0"/>
          <w:bCs w:val="0"/>
        </w:rPr>
        <w:t>一</w:t>
      </w:r>
      <w:r>
        <w:rPr/>
        <w:t>）实施员工持股计划；</w:t>
      </w:r>
    </w:p>
    <w:p>
      <w:pPr>
        <w:pStyle w:val="BodyText"/>
        <w:spacing w:line="240" w:lineRule="auto" w:before="108"/>
        <w:ind w:left="514" w:right="2239"/>
        <w:jc w:val="left"/>
      </w:pPr>
      <w:r>
        <w:rPr/>
        <w:t>（</w:t>
      </w:r>
      <w:r>
        <w:rPr>
          <w:rFonts w:ascii="等线 Light" w:hAnsi="等线 Light" w:cs="等线 Light" w:eastAsia="等线 Light" w:hint="default"/>
          <w:b w:val="0"/>
          <w:bCs w:val="0"/>
        </w:rPr>
        <w:t>二</w:t>
      </w:r>
      <w:r>
        <w:rPr/>
        <w:t>）健全劳动制度和薪酬考核体系；</w:t>
      </w:r>
    </w:p>
    <w:p>
      <w:pPr>
        <w:pStyle w:val="BodyText"/>
        <w:spacing w:line="240" w:lineRule="auto" w:before="108"/>
        <w:ind w:left="514" w:right="2239"/>
        <w:jc w:val="left"/>
      </w:pPr>
      <w:r>
        <w:rPr/>
        <w:t>（</w:t>
      </w:r>
      <w:r>
        <w:rPr>
          <w:rFonts w:ascii="等线 Light" w:hAnsi="等线 Light" w:cs="等线 Light" w:eastAsia="等线 Light" w:hint="default"/>
          <w:b w:val="0"/>
          <w:bCs w:val="0"/>
        </w:rPr>
        <w:t>三</w:t>
      </w:r>
      <w:r>
        <w:rPr/>
        <w:t>）注重职工的生产安全和劳动保护；</w:t>
      </w:r>
    </w:p>
    <w:p>
      <w:pPr>
        <w:pStyle w:val="BodyText"/>
        <w:spacing w:line="240" w:lineRule="auto" w:before="108"/>
        <w:ind w:left="514" w:right="2239"/>
        <w:jc w:val="left"/>
      </w:pPr>
      <w:r>
        <w:rPr/>
        <w:t>（</w:t>
      </w:r>
      <w:r>
        <w:rPr>
          <w:rFonts w:ascii="等线 Light" w:hAnsi="等线 Light" w:cs="等线 Light" w:eastAsia="等线 Light" w:hint="default"/>
          <w:b w:val="0"/>
          <w:bCs w:val="0"/>
        </w:rPr>
        <w:t>四</w:t>
      </w:r>
      <w:r>
        <w:rPr/>
        <w:t>）重视职工培训；</w:t>
      </w:r>
    </w:p>
    <w:p>
      <w:pPr>
        <w:pStyle w:val="BodyText"/>
        <w:spacing w:line="240" w:lineRule="auto" w:before="108"/>
        <w:ind w:left="514" w:right="2239"/>
        <w:jc w:val="left"/>
      </w:pPr>
      <w:r>
        <w:rPr/>
        <w:t>（</w:t>
      </w:r>
      <w:r>
        <w:rPr>
          <w:rFonts w:ascii="等线 Light" w:hAnsi="等线 Light" w:cs="等线 Light" w:eastAsia="等线 Light" w:hint="default"/>
          <w:b w:val="0"/>
          <w:bCs w:val="0"/>
        </w:rPr>
        <w:t>五</w:t>
      </w:r>
      <w:r>
        <w:rPr/>
        <w:t>）关心职工的生活与健康；</w:t>
      </w:r>
    </w:p>
    <w:p>
      <w:pPr>
        <w:pStyle w:val="BodyText"/>
        <w:spacing w:line="240" w:lineRule="auto" w:before="116"/>
        <w:ind w:left="514" w:right="2239"/>
        <w:jc w:val="left"/>
      </w:pPr>
      <w:r>
        <w:rPr/>
        <w:t>（六）丰富职工业余文化生活； </w:t>
      </w:r>
    </w:p>
    <w:p>
      <w:pPr>
        <w:pStyle w:val="BodyText"/>
        <w:spacing w:line="240" w:lineRule="auto" w:before="76"/>
        <w:ind w:right="2239"/>
        <w:jc w:val="left"/>
      </w:pPr>
      <w:r>
        <w:rPr/>
        <w:t>    （七）鼓励员工创意和发明创造。 </w:t>
      </w:r>
    </w:p>
    <w:p>
      <w:pPr>
        <w:pStyle w:val="BodyText"/>
        <w:spacing w:line="240" w:lineRule="auto" w:before="124"/>
        <w:ind w:left="514" w:right="2239"/>
        <w:jc w:val="left"/>
      </w:pPr>
      <w:r>
        <w:rPr/>
        <w:t>（3）供应商、客户和消费者权益保护</w:t>
      </w:r>
    </w:p>
    <w:p>
      <w:pPr>
        <w:pStyle w:val="BodyText"/>
        <w:spacing w:line="240" w:lineRule="auto" w:before="116"/>
        <w:ind w:left="514" w:right="2239"/>
        <w:jc w:val="left"/>
      </w:pPr>
      <w:r>
        <w:rPr/>
        <w:t>（</w:t>
      </w:r>
      <w:r>
        <w:rPr>
          <w:rFonts w:ascii="等线 Light" w:hAnsi="等线 Light" w:cs="等线 Light" w:eastAsia="等线 Light" w:hint="default"/>
          <w:b w:val="0"/>
          <w:bCs w:val="0"/>
        </w:rPr>
        <w:t>一</w:t>
      </w:r>
      <w:r>
        <w:rPr/>
        <w:t>）保证产品质量，与供应商、客户和消费者互利共赢；</w:t>
      </w:r>
    </w:p>
    <w:p>
      <w:pPr>
        <w:pStyle w:val="BodyText"/>
        <w:spacing w:line="240" w:lineRule="auto" w:before="108"/>
        <w:ind w:left="514" w:right="2239"/>
        <w:jc w:val="left"/>
      </w:pPr>
      <w:r>
        <w:rPr/>
        <w:t>（</w:t>
      </w:r>
      <w:r>
        <w:rPr>
          <w:rFonts w:ascii="等线 Light" w:hAnsi="等线 Light" w:cs="等线 Light" w:eastAsia="等线 Light" w:hint="default"/>
          <w:b w:val="0"/>
          <w:bCs w:val="0"/>
        </w:rPr>
        <w:t>二</w:t>
      </w:r>
      <w:r>
        <w:rPr/>
        <w:t>）反对各类商业贿赂活动。</w:t>
      </w:r>
    </w:p>
    <w:p>
      <w:pPr>
        <w:pStyle w:val="BodyText"/>
        <w:spacing w:line="367" w:lineRule="auto" w:before="116"/>
        <w:ind w:left="514" w:right="0"/>
        <w:jc w:val="left"/>
      </w:pPr>
      <w:r>
        <w:rPr/>
        <w:t>（4）环境保护与可持续发展 </w:t>
      </w:r>
      <w:r>
        <w:rPr>
          <w:spacing w:val="-2"/>
        </w:rPr>
        <w:t>公司深知保护环境对于创建可持续发展社会的重要意义。根据国家环境保护法规和政策的相关规定，坚持技术革新，节</w:t>
      </w:r>
    </w:p>
    <w:p>
      <w:pPr>
        <w:pStyle w:val="BodyText"/>
        <w:spacing w:line="230" w:lineRule="exact"/>
        <w:ind w:right="0"/>
        <w:jc w:val="left"/>
      </w:pPr>
      <w:r>
        <w:rPr/>
        <w:t>能减排，从源头降低资源能源的消耗，减少三废的产生，同时公司通过了</w:t>
      </w:r>
      <w:r>
        <w:rPr>
          <w:rFonts w:ascii="Times New Roman" w:hAnsi="Times New Roman" w:cs="Times New Roman" w:eastAsia="Times New Roman" w:hint="default"/>
        </w:rPr>
        <w:t>GB/T 24001-2016 idt 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14001:2015</w:t>
      </w:r>
      <w:r>
        <w:rPr/>
        <w:t>环境管理体系</w:t>
      </w:r>
    </w:p>
    <w:p>
      <w:pPr>
        <w:pStyle w:val="BodyText"/>
        <w:spacing w:line="300" w:lineRule="auto" w:before="63"/>
        <w:ind w:right="1040"/>
        <w:jc w:val="left"/>
      </w:pPr>
      <w:r>
        <w:rPr/>
        <w:t>认证，力争把公司发展对环境的影响降到最小程度。公司属于</w:t>
      </w:r>
      <w:r>
        <w:rPr>
          <w:rFonts w:ascii="Times New Roman" w:hAnsi="Times New Roman" w:cs="Times New Roman" w:eastAsia="Times New Roman" w:hint="default"/>
        </w:rPr>
        <w:t>IT</w:t>
      </w:r>
      <w:r>
        <w:rPr/>
        <w:t>系统集成、软件开发类高新技术企业，在实际研发、生产、 销售、服务过程中不产生污染物，实现了零污染、零排放。</w:t>
      </w:r>
    </w:p>
    <w:p>
      <w:pPr>
        <w:pStyle w:val="BodyText"/>
        <w:spacing w:line="367" w:lineRule="auto" w:before="79"/>
        <w:ind w:left="514" w:right="0"/>
        <w:jc w:val="left"/>
      </w:pPr>
      <w:r>
        <w:rPr/>
        <w:t>（5）公共关系和社会公益事业 </w:t>
      </w:r>
      <w:r>
        <w:rPr>
          <w:spacing w:val="-2"/>
        </w:rPr>
        <w:t>公共关系是企业内求团结、外求发展的沟通桥梁，社会公益事业是企业回报社会应尽的责任。多年来，公司牢记企业的</w:t>
      </w:r>
    </w:p>
    <w:p>
      <w:pPr>
        <w:pStyle w:val="BodyText"/>
        <w:spacing w:line="217" w:lineRule="exact"/>
        <w:ind w:right="0"/>
        <w:jc w:val="left"/>
      </w:pPr>
      <w:r>
        <w:rPr/>
        <w:t>社会责任和使命，一直以积极的态度力所能及地服务社会，热心公益回报社会，全力推动社区、企业和当地经济的进步，做</w:t>
      </w:r>
    </w:p>
    <w:p>
      <w:pPr>
        <w:pStyle w:val="BodyText"/>
        <w:spacing w:line="240" w:lineRule="auto" w:before="76"/>
        <w:ind w:right="2239"/>
        <w:jc w:val="left"/>
      </w:pPr>
      <w:r>
        <w:rPr/>
        <w:t>到全面、和谐发展。</w:t>
      </w:r>
    </w:p>
    <w:p>
      <w:pPr>
        <w:pStyle w:val="BodyText"/>
        <w:spacing w:line="240" w:lineRule="auto" w:before="116"/>
        <w:ind w:left="514" w:right="2239"/>
        <w:jc w:val="left"/>
      </w:pPr>
      <w:r>
        <w:rPr/>
        <w:t>（</w:t>
      </w:r>
      <w:r>
        <w:rPr>
          <w:rFonts w:ascii="等线 Light" w:hAnsi="等线 Light" w:cs="等线 Light" w:eastAsia="等线 Light" w:hint="default"/>
          <w:b w:val="0"/>
          <w:bCs w:val="0"/>
        </w:rPr>
        <w:t>一</w:t>
      </w:r>
      <w:r>
        <w:rPr/>
        <w:t>）守法经营，依法履行纳税；</w:t>
      </w:r>
    </w:p>
    <w:p>
      <w:pPr>
        <w:pStyle w:val="BodyText"/>
        <w:spacing w:line="240" w:lineRule="auto" w:before="108"/>
        <w:ind w:left="514" w:right="2239"/>
        <w:jc w:val="left"/>
      </w:pPr>
      <w:r>
        <w:rPr/>
        <w:t>（</w:t>
      </w:r>
      <w:r>
        <w:rPr>
          <w:rFonts w:ascii="等线 Light" w:hAnsi="等线 Light" w:cs="等线 Light" w:eastAsia="等线 Light" w:hint="default"/>
          <w:b w:val="0"/>
          <w:bCs w:val="0"/>
        </w:rPr>
        <w:t>二</w:t>
      </w:r>
      <w:r>
        <w:rPr/>
        <w:t>）精准扶贫，促进和谐发展。</w:t>
      </w:r>
    </w:p>
    <w:p>
      <w:pPr>
        <w:pStyle w:val="BodyText"/>
        <w:spacing w:line="240" w:lineRule="auto" w:before="116"/>
        <w:ind w:left="423" w:right="2239"/>
        <w:jc w:val="left"/>
      </w:pPr>
      <w:r>
        <w:rPr/>
        <w:t>（6）党建工作</w:t>
      </w:r>
    </w:p>
    <w:p>
      <w:pPr>
        <w:pStyle w:val="BodyText"/>
        <w:spacing w:line="240" w:lineRule="auto" w:before="76"/>
        <w:ind w:left="513" w:right="0"/>
        <w:jc w:val="left"/>
      </w:pPr>
      <w:r>
        <w:rPr>
          <w:rFonts w:ascii="Times New Roman" w:hAnsi="Times New Roman" w:cs="Times New Roman" w:eastAsia="Times New Roman" w:hint="default"/>
        </w:rPr>
        <w:t>2018</w:t>
      </w:r>
      <w:r>
        <w:rPr/>
        <w:t>年是中国改革开放</w:t>
      </w:r>
      <w:r>
        <w:rPr>
          <w:rFonts w:ascii="Times New Roman" w:hAnsi="Times New Roman" w:cs="Times New Roman" w:eastAsia="Times New Roman" w:hint="default"/>
        </w:rPr>
        <w:t>40</w:t>
      </w:r>
      <w:r>
        <w:rPr/>
        <w:t>周年，公司上下将党建工作作为公司治理过程中的重中之重，公司党委获得</w:t>
      </w:r>
      <w:r>
        <w:rPr>
          <w:rFonts w:ascii="Times New Roman" w:hAnsi="Times New Roman" w:cs="Times New Roman" w:eastAsia="Times New Roman" w:hint="default"/>
        </w:rPr>
        <w:t>“</w:t>
      </w:r>
      <w:r>
        <w:rPr/>
        <w:t>红色领航工程建</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0"/>
        <w:jc w:val="left"/>
      </w:pPr>
      <w:r>
        <w:rPr/>
        <w:t>设示范点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福州市党员诚信企业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鼓楼区党员诚信企业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区域化党建和互联网党建联盟轮值主席</w:t>
      </w:r>
      <w:r>
        <w:rPr>
          <w:rFonts w:ascii="Times New Roman" w:hAnsi="Times New Roman" w:cs="Times New Roman" w:eastAsia="Times New Roman" w:hint="default"/>
        </w:rPr>
        <w:t>”</w:t>
      </w:r>
      <w:r>
        <w:rPr/>
        <w:t>称号。</w:t>
      </w:r>
    </w:p>
    <w:p>
      <w:pPr>
        <w:pStyle w:val="BodyText"/>
        <w:spacing w:line="240" w:lineRule="auto" w:before="63"/>
        <w:ind w:left="514" w:right="2239"/>
        <w:jc w:val="left"/>
      </w:pPr>
      <w:r>
        <w:rPr/>
        <w:t>《</w:t>
      </w:r>
      <w:r>
        <w:rPr>
          <w:rFonts w:ascii="Times New Roman" w:hAnsi="Times New Roman" w:cs="Times New Roman" w:eastAsia="Times New Roman" w:hint="default"/>
        </w:rPr>
        <w:t>2018</w:t>
      </w:r>
      <w:r>
        <w:rPr/>
        <w:t>年年度社会责任报告》已经披露于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日巨潮资讯网（</w:t>
      </w:r>
      <w:hyperlink r:id="rId14">
        <w:r>
          <w:rPr>
            <w:rFonts w:ascii="Times New Roman" w:hAnsi="Times New Roman" w:cs="Times New Roman" w:eastAsia="Times New Roman" w:hint="default"/>
          </w:rPr>
          <w:t>www.cninfo.com.cn</w:t>
        </w:r>
      </w:hyperlink>
      <w:r>
        <w:rPr/>
        <w:t>）。</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29" w:firstLine="252"/>
        <w:jc w:val="both"/>
      </w:pPr>
      <w:r>
        <w:rPr/>
        <w:t>公司积极响应国家及地方政府号召，充分发挥软件公司信息化技术优势，积极履行社会责任，开展精准扶贫工作，建立 </w:t>
      </w:r>
      <w:r>
        <w:rPr>
          <w:spacing w:val="-2"/>
        </w:rPr>
        <w:t>健全内部职能机构工作联系机制，在人员就业、教育行业等多方面开展精准扶贫工作，维护各相关方利益，更好地与社会共</w:t>
      </w:r>
      <w:r>
        <w:rPr>
          <w:spacing w:val="-66"/>
        </w:rPr>
        <w:t> </w:t>
      </w:r>
      <w:r>
        <w:rPr>
          <w:spacing w:val="-66"/>
        </w:rPr>
      </w:r>
      <w:r>
        <w:rPr/>
        <w:t>享企业经营成果，全面推进企业和社会的和谐发展。</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（一）就业扶贫 </w:t>
      </w:r>
      <w:r>
        <w:rPr>
          <w:spacing w:val="-2"/>
        </w:rPr>
        <w:t>做强公司产业，带动劳务用工规模，加强劳务用工人员职业技能培训，提高劳务用工人员劳动职业技能。</w:t>
      </w:r>
      <w:r>
        <w:rPr>
          <w:rFonts w:ascii="Times New Roman" w:hAnsi="Times New Roman" w:cs="Times New Roman" w:eastAsia="Times New Roman" w:hint="default"/>
          <w:spacing w:val="-2"/>
        </w:rPr>
        <w:t>2018</w:t>
      </w:r>
      <w:r>
        <w:rPr>
          <w:spacing w:val="-2"/>
        </w:rPr>
        <w:t>年公司招</w:t>
      </w:r>
    </w:p>
    <w:p>
      <w:pPr>
        <w:pStyle w:val="BodyText"/>
        <w:spacing w:line="248" w:lineRule="exact"/>
        <w:ind w:left="153" w:right="2239"/>
        <w:jc w:val="left"/>
      </w:pPr>
      <w:r>
        <w:rPr/>
        <w:t>聘</w:t>
      </w:r>
      <w:r>
        <w:rPr>
          <w:rFonts w:ascii="Times New Roman" w:hAnsi="Times New Roman" w:cs="Times New Roman" w:eastAsia="Times New Roman" w:hint="default"/>
        </w:rPr>
        <w:t>243</w:t>
      </w:r>
      <w:r>
        <w:rPr/>
        <w:t>人，为社会人员提供了就业机会。</w:t>
      </w:r>
    </w:p>
    <w:p>
      <w:pPr>
        <w:pStyle w:val="BodyText"/>
        <w:spacing w:line="316" w:lineRule="auto" w:before="63"/>
        <w:ind w:left="513" w:right="0"/>
        <w:jc w:val="left"/>
      </w:pPr>
      <w:r>
        <w:rPr/>
        <w:t>（二）教育扶贫 </w:t>
      </w:r>
      <w:r>
        <w:rPr>
          <w:spacing w:val="-2"/>
        </w:rPr>
        <w:t>借助信息技术手段，帮助教师实现对学生的个性化教学与辅导，同时缓解了优质师资相对不足、教师绝对数量不够、教</w:t>
      </w:r>
    </w:p>
    <w:p>
      <w:pPr>
        <w:pStyle w:val="BodyText"/>
        <w:spacing w:line="316" w:lineRule="auto" w:before="19"/>
        <w:ind w:left="513" w:right="0" w:hanging="360"/>
        <w:jc w:val="left"/>
        <w:rPr>
          <w:rFonts w:ascii="Times New Roman" w:hAnsi="Times New Roman" w:cs="Times New Roman" w:eastAsia="Times New Roman" w:hint="default"/>
        </w:rPr>
      </w:pPr>
      <w:r>
        <w:rPr/>
        <w:t>师管理水平有限等与学生个性化教学需求的矛盾。 信息技术作为教育扶贫有力支点，可以快速改变贫困地区的教育生态。为让</w:t>
      </w:r>
      <w:r>
        <w:rPr>
          <w:rFonts w:ascii="Times New Roman" w:hAnsi="Times New Roman" w:cs="Times New Roman" w:eastAsia="Times New Roman" w:hint="default"/>
        </w:rPr>
        <w:t>“</w:t>
      </w:r>
      <w:r>
        <w:rPr/>
        <w:t>每个孩子都能享有公平而有质量的教育</w:t>
      </w:r>
      <w:r>
        <w:rPr>
          <w:rFonts w:ascii="Times New Roman" w:hAnsi="Times New Roman" w:cs="Times New Roman" w:eastAsia="Times New Roman" w:hint="default"/>
        </w:rPr>
        <w:t>”</w:t>
      </w:r>
    </w:p>
    <w:p>
      <w:pPr>
        <w:pStyle w:val="BodyText"/>
        <w:spacing w:line="307" w:lineRule="auto"/>
        <w:ind w:right="1128" w:hanging="1"/>
        <w:jc w:val="both"/>
      </w:pPr>
      <w:r>
        <w:rPr/>
        <w:t>之目标早日成为现实，</w:t>
      </w:r>
      <w:r>
        <w:rPr>
          <w:rFonts w:ascii="Times New Roman" w:hAnsi="Times New Roman" w:cs="Times New Roman" w:eastAsia="Times New Roman" w:hint="default"/>
        </w:rPr>
        <w:t>2018</w:t>
      </w:r>
      <w:r>
        <w:rPr/>
        <w:t>年我司为河南信阳市第三小学全体师生免费提供了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教育精准扶贫</w:t>
      </w:r>
      <w:r>
        <w:rPr>
          <w:rFonts w:ascii="Times New Roman" w:hAnsi="Times New Roman" w:cs="Times New Roman" w:eastAsia="Times New Roman" w:hint="default"/>
        </w:rPr>
        <w:t>”</w:t>
      </w:r>
      <w:r>
        <w:rPr/>
        <w:t>整体解决方案，完成</w:t>
      </w:r>
      <w:r>
        <w:rPr>
          <w:spacing w:val="-78"/>
        </w:rPr>
        <w:t> </w:t>
      </w:r>
      <w:r>
        <w:rPr>
          <w:spacing w:val="-78"/>
        </w:rPr>
      </w:r>
      <w:r>
        <w:rPr/>
        <w:t>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教育</w:t>
      </w:r>
      <w:r>
        <w:rPr>
          <w:rFonts w:ascii="Times New Roman" w:hAnsi="Times New Roman" w:cs="Times New Roman" w:eastAsia="Times New Roman" w:hint="default"/>
        </w:rPr>
        <w:t>”</w:t>
      </w:r>
      <w:r>
        <w:rPr/>
        <w:t>云平台搭建、智能班牌和智能校牌部署等工作，提供了重点围绕</w:t>
      </w:r>
      <w:r>
        <w:rPr>
          <w:rFonts w:ascii="Times New Roman" w:hAnsi="Times New Roman" w:cs="Times New Roman" w:eastAsia="Times New Roman" w:hint="default"/>
        </w:rPr>
        <w:t>“</w:t>
      </w:r>
      <w:r>
        <w:rPr/>
        <w:t>智慧校园建设</w:t>
      </w:r>
      <w:r>
        <w:rPr>
          <w:rFonts w:ascii="Times New Roman" w:hAnsi="Times New Roman" w:cs="Times New Roman" w:eastAsia="Times New Roman" w:hint="default"/>
        </w:rPr>
        <w:t>”</w:t>
      </w:r>
      <w:r>
        <w:rPr/>
        <w:t>这个主题，实现了校园教</w:t>
      </w:r>
      <w:r>
        <w:rPr>
          <w:spacing w:val="-62"/>
        </w:rPr>
        <w:t> </w:t>
      </w:r>
      <w:r>
        <w:rPr>
          <w:spacing w:val="-62"/>
        </w:rPr>
      </w:r>
      <w:r>
        <w:rPr>
          <w:spacing w:val="-2"/>
        </w:rPr>
        <w:t>学的全向交互、校园环境的全面感知、校园管理的高效协同、校园生活的个性便捷，得到广大师生、家长的普通欢迎，有效</w:t>
      </w:r>
      <w:r>
        <w:rPr>
          <w:spacing w:val="-69"/>
        </w:rPr>
        <w:t> </w:t>
      </w:r>
      <w:r>
        <w:rPr>
          <w:spacing w:val="-69"/>
        </w:rPr>
      </w:r>
      <w:r>
        <w:rPr/>
        <w:t>解决学校教育、管理、安全和家校互联的需要。</w:t>
      </w:r>
    </w:p>
    <w:p>
      <w:pPr>
        <w:pStyle w:val="BodyText"/>
        <w:spacing w:line="316" w:lineRule="auto" w:before="26"/>
        <w:ind w:left="514" w:right="0"/>
        <w:jc w:val="left"/>
      </w:pPr>
      <w:r>
        <w:rPr/>
        <w:t>（三）社会扶贫 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月始，由中国中央电视台、中共福建省委宣传部、福建广播影视集团和榕基软件共同合作开展运营</w:t>
      </w:r>
      <w:r>
        <w:rPr>
          <w:rFonts w:ascii="Times New Roman" w:hAnsi="Times New Roman" w:cs="Times New Roman" w:eastAsia="Times New Roman" w:hint="default"/>
        </w:rPr>
        <w:t>CCTV</w:t>
      </w:r>
      <w:r>
        <w:rPr/>
        <w:t>国</w:t>
      </w:r>
    </w:p>
    <w:p>
      <w:pPr>
        <w:pStyle w:val="BodyText"/>
        <w:spacing w:line="300" w:lineRule="auto"/>
        <w:ind w:right="1127" w:hanging="1"/>
        <w:jc w:val="left"/>
      </w:pPr>
      <w:r>
        <w:rPr>
          <w:spacing w:val="-1"/>
        </w:rPr>
        <w:t>家品牌计划</w:t>
      </w:r>
      <w:r>
        <w:rPr>
          <w:rFonts w:ascii="Times New Roman" w:hAnsi="Times New Roman" w:cs="Times New Roman" w:eastAsia="Times New Roman" w:hint="default"/>
          <w:spacing w:val="-1"/>
        </w:rPr>
        <w:t>“</w:t>
      </w:r>
      <w:r>
        <w:rPr>
          <w:spacing w:val="-1"/>
        </w:rPr>
        <w:t>广告精准扶贫</w:t>
      </w:r>
      <w:r>
        <w:rPr>
          <w:rFonts w:ascii="Times New Roman" w:hAnsi="Times New Roman" w:cs="Times New Roman" w:eastAsia="Times New Roman" w:hint="default"/>
          <w:spacing w:val="-1"/>
        </w:rPr>
        <w:t>”</w:t>
      </w:r>
      <w:r>
        <w:rPr>
          <w:spacing w:val="-1"/>
        </w:rPr>
        <w:t>福建项目，利用主流媒体的宣传资源依托榕基软件建设的电商平台</w:t>
      </w:r>
      <w:r>
        <w:rPr>
          <w:rFonts w:ascii="Times New Roman" w:hAnsi="Times New Roman" w:cs="Times New Roman" w:eastAsia="Times New Roman" w:hint="default"/>
          <w:spacing w:val="-1"/>
        </w:rPr>
        <w:t>“</w:t>
      </w:r>
      <w:r>
        <w:rPr>
          <w:spacing w:val="-1"/>
        </w:rPr>
        <w:t>广电天团</w:t>
      </w:r>
      <w:r>
        <w:rPr>
          <w:rFonts w:ascii="Times New Roman" w:hAnsi="Times New Roman" w:cs="Times New Roman" w:eastAsia="Times New Roman" w:hint="default"/>
          <w:spacing w:val="-1"/>
        </w:rPr>
        <w:t>”</w:t>
      </w:r>
      <w:r>
        <w:rPr>
          <w:spacing w:val="-1"/>
        </w:rPr>
        <w:t>，为福建具有地方</w:t>
      </w:r>
      <w:r>
        <w:rPr>
          <w:spacing w:val="-78"/>
        </w:rPr>
        <w:t> </w:t>
      </w:r>
      <w:r>
        <w:rPr>
          <w:spacing w:val="-78"/>
        </w:rPr>
      </w:r>
      <w:r>
        <w:rPr/>
        <w:t>特色的优质农产品打开市场，提升知名度。</w:t>
      </w:r>
    </w:p>
    <w:p>
      <w:pPr>
        <w:pStyle w:val="BodyText"/>
        <w:spacing w:line="312" w:lineRule="auto" w:before="31"/>
        <w:ind w:right="1128" w:firstLine="360"/>
        <w:jc w:val="both"/>
      </w:pPr>
      <w:r>
        <w:rPr>
          <w:spacing w:val="-2"/>
        </w:rPr>
        <w:t>截至目前，广电天团平台已对接了宁德市寿宁高山茶、南平市政和白茶、南平市竹笋、南平市浦城大米、南平市建阳桔</w:t>
      </w:r>
      <w:r>
        <w:rPr/>
        <w:t> </w:t>
      </w:r>
      <w:r>
        <w:rPr>
          <w:spacing w:val="-2"/>
        </w:rPr>
        <w:t>柚、三明市建宁黄花梨、龙岩市武平百香果等地方优质农产品。通过广电天团平台，在线销售寿宁高山茶、政和白茶、南平</w:t>
      </w:r>
      <w:r>
        <w:rPr>
          <w:spacing w:val="-68"/>
        </w:rPr>
        <w:t> </w:t>
      </w:r>
      <w:r>
        <w:rPr>
          <w:spacing w:val="-68"/>
        </w:rPr>
      </w:r>
      <w:r>
        <w:rPr/>
        <w:t>竹笋、建宁黄花梨、古田食用菌、武平百香果等产品</w:t>
      </w:r>
      <w:r>
        <w:rPr>
          <w:rFonts w:ascii="Times New Roman" w:hAnsi="Times New Roman" w:cs="Times New Roman" w:eastAsia="Times New Roman" w:hint="default"/>
        </w:rPr>
        <w:t>3</w:t>
      </w:r>
      <w:r>
        <w:rPr/>
        <w:t>万多斤。同时，平台还推动建宁黄花梨实现近</w:t>
      </w:r>
      <w:r>
        <w:rPr>
          <w:rFonts w:ascii="Times New Roman" w:hAnsi="Times New Roman" w:cs="Times New Roman" w:eastAsia="Times New Roman" w:hint="default"/>
        </w:rPr>
        <w:t>30</w:t>
      </w:r>
      <w:r>
        <w:rPr/>
        <w:t>万斤的线下销售量，</w:t>
      </w:r>
      <w:r>
        <w:rPr>
          <w:spacing w:val="-83"/>
        </w:rPr>
        <w:t> </w:t>
      </w:r>
      <w:r>
        <w:rPr>
          <w:spacing w:val="-83"/>
        </w:rPr>
      </w:r>
      <w:r>
        <w:rPr/>
        <w:t>直接和间接实现助农扶贫销售近</w:t>
      </w:r>
      <w:r>
        <w:rPr>
          <w:rFonts w:ascii="Times New Roman" w:hAnsi="Times New Roman" w:cs="Times New Roman" w:eastAsia="Times New Roman" w:hint="default"/>
        </w:rPr>
        <w:t>4</w:t>
      </w:r>
      <w:r>
        <w:rPr/>
        <w:t>百万元。</w:t>
      </w:r>
    </w:p>
    <w:p>
      <w:pPr>
        <w:pStyle w:val="BodyText"/>
        <w:spacing w:line="300" w:lineRule="auto" w:before="3"/>
        <w:ind w:right="1128" w:firstLine="360"/>
        <w:jc w:val="both"/>
      </w:pPr>
      <w:r>
        <w:rPr/>
        <w:t>广电天团平台还与国家重点扶贫县陕西延川县的商务局对接，组织爱心扶贫活动，线上销售延川苹果</w:t>
      </w:r>
      <w:r>
        <w:rPr>
          <w:rFonts w:ascii="Times New Roman" w:hAnsi="Times New Roman" w:cs="Times New Roman" w:eastAsia="Times New Roman" w:hint="default"/>
        </w:rPr>
        <w:t>4</w:t>
      </w:r>
      <w:r>
        <w:rPr/>
        <w:t>万多斤，实现助 农扶贫销售</w:t>
      </w:r>
      <w:r>
        <w:rPr>
          <w:rFonts w:ascii="Times New Roman" w:hAnsi="Times New Roman" w:cs="Times New Roman" w:eastAsia="Times New Roman" w:hint="default"/>
        </w:rPr>
        <w:t>30</w:t>
      </w:r>
      <w:r>
        <w:rPr/>
        <w:t>多万元。另还帮助了浙江德清县武康镇农家滞销黄桃进行线上销售</w:t>
      </w:r>
      <w:r>
        <w:rPr>
          <w:rFonts w:ascii="Times New Roman" w:hAnsi="Times New Roman" w:cs="Times New Roman" w:eastAsia="Times New Roman" w:hint="default"/>
        </w:rPr>
        <w:t>5</w:t>
      </w:r>
      <w:r>
        <w:rPr/>
        <w:t>千多斤，实现助农扶贫销售近</w:t>
      </w:r>
      <w:r>
        <w:rPr>
          <w:rFonts w:ascii="Times New Roman" w:hAnsi="Times New Roman" w:cs="Times New Roman" w:eastAsia="Times New Roman" w:hint="default"/>
        </w:rPr>
        <w:t>5</w:t>
      </w:r>
      <w:r>
        <w:rPr/>
        <w:t>万元。</w:t>
      </w:r>
    </w:p>
    <w:p>
      <w:pPr>
        <w:pStyle w:val="BodyText"/>
        <w:spacing w:line="316" w:lineRule="auto" w:before="13"/>
        <w:ind w:left="514" w:right="1111"/>
        <w:jc w:val="left"/>
      </w:pPr>
      <w:r>
        <w:rPr/>
        <w:t>（四）困难家庭扶贫 坚持开展送温暖活动。加强困难职工动态管理，通过</w:t>
      </w:r>
      <w:r>
        <w:rPr>
          <w:rFonts w:ascii="Times New Roman" w:hAnsi="Times New Roman" w:cs="Times New Roman" w:eastAsia="Times New Roman" w:hint="default"/>
        </w:rPr>
        <w:t>“</w:t>
      </w:r>
      <w:r>
        <w:rPr/>
        <w:t>金秋助学</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重大疾病医疗互助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特困职工慰问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五必访</w:t>
      </w:r>
      <w:r>
        <w:rPr>
          <w:rFonts w:ascii="Times New Roman" w:hAnsi="Times New Roman" w:cs="Times New Roman" w:eastAsia="Times New Roman" w:hint="default"/>
        </w:rPr>
        <w:t>”</w:t>
      </w:r>
      <w:r>
        <w:rPr/>
        <w:t>等</w:t>
      </w:r>
    </w:p>
    <w:p>
      <w:pPr>
        <w:pStyle w:val="BodyText"/>
        <w:spacing w:line="300" w:lineRule="auto"/>
        <w:ind w:left="153" w:right="0"/>
        <w:jc w:val="left"/>
      </w:pPr>
      <w:r>
        <w:rPr/>
        <w:t>多渠道、多形式对他们进行帮扶慰问。</w:t>
      </w:r>
      <w:r>
        <w:rPr>
          <w:rFonts w:ascii="Times New Roman" w:hAnsi="Times New Roman" w:cs="Times New Roman" w:eastAsia="Times New Roman" w:hint="default"/>
        </w:rPr>
        <w:t>2018</w:t>
      </w:r>
      <w:r>
        <w:rPr/>
        <w:t>年度公司进行慰问送温暖</w:t>
      </w:r>
      <w:r>
        <w:rPr>
          <w:rFonts w:ascii="Times New Roman" w:hAnsi="Times New Roman" w:cs="Times New Roman" w:eastAsia="Times New Roman" w:hint="default"/>
        </w:rPr>
        <w:t>77</w:t>
      </w:r>
      <w:r>
        <w:rPr/>
        <w:t>人</w:t>
      </w:r>
      <w:r>
        <w:rPr>
          <w:rFonts w:ascii="Times New Roman" w:hAnsi="Times New Roman" w:cs="Times New Roman" w:eastAsia="Times New Roman" w:hint="default"/>
        </w:rPr>
        <w:t>/</w:t>
      </w:r>
      <w:r>
        <w:rPr/>
        <w:t>次，发放慰问金共计</w:t>
      </w:r>
      <w:r>
        <w:rPr>
          <w:rFonts w:ascii="Times New Roman" w:hAnsi="Times New Roman" w:cs="Times New Roman" w:eastAsia="Times New Roman" w:hint="default"/>
        </w:rPr>
        <w:t>8</w:t>
      </w:r>
      <w:r>
        <w:rPr/>
        <w:t>万余元；通过员工互助基金 </w:t>
      </w:r>
      <w:r>
        <w:rPr>
          <w:spacing w:val="-4"/>
        </w:rPr>
        <w:t>会，对重大疾病、家庭困难的员工予以帮助，互助基金额累计</w:t>
      </w:r>
      <w:r>
        <w:rPr>
          <w:rFonts w:ascii="Times New Roman" w:hAnsi="Times New Roman" w:cs="Times New Roman" w:eastAsia="Times New Roman" w:hint="default"/>
          <w:spacing w:val="-4"/>
        </w:rPr>
        <w:t>50</w:t>
      </w:r>
      <w:r>
        <w:rPr>
          <w:spacing w:val="-4"/>
        </w:rPr>
        <w:t>多万。同时，企业联合共建单位党支部开展慰问老党员活动，</w:t>
      </w:r>
      <w:r>
        <w:rPr>
          <w:spacing w:val="-40"/>
        </w:rPr>
        <w:t> </w:t>
      </w:r>
      <w:r>
        <w:rPr>
          <w:spacing w:val="-40"/>
        </w:rPr>
      </w:r>
      <w:r>
        <w:rPr/>
        <w:t>用实际行动履行社会责任。</w:t>
      </w:r>
    </w:p>
    <w:p>
      <w:pPr>
        <w:spacing w:line="240" w:lineRule="auto" w:before="6"/>
        <w:rPr>
          <w:rFonts w:ascii="宋体" w:hAnsi="宋体" w:cs="宋体" w:eastAsia="宋体" w:hint="default"/>
          <w:sz w:val="23"/>
          <w:szCs w:val="23"/>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公司将进一步完善企业社会责任监督管理体系，积极参与社会公益活动，支持和参与社会公益事业建设，支援贫困地区</w:t>
      </w:r>
      <w:r>
        <w:rPr/>
        <w:t> 经济建设和教育事业，积极开展各项精准扶贫工作。</w:t>
      </w:r>
    </w:p>
    <w:p>
      <w:pPr>
        <w:pStyle w:val="BodyText"/>
        <w:spacing w:line="240" w:lineRule="auto" w:before="19"/>
        <w:ind w:left="513" w:right="2239"/>
        <w:jc w:val="left"/>
      </w:pPr>
      <w:r>
        <w:rPr/>
        <w:t>（一）党群办成立专项扶贫小组，设立专项扶贫基金，由党工团负责社会扶贫工作。</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0" w:lineRule="auto" w:before="44"/>
        <w:ind w:left="153" w:right="0" w:firstLine="360"/>
        <w:jc w:val="left"/>
      </w:pPr>
      <w:r>
        <w:rPr>
          <w:spacing w:val="-2"/>
        </w:rPr>
        <w:t>（二）公司将通过</w:t>
      </w:r>
      <w:r>
        <w:rPr>
          <w:rFonts w:ascii="Times New Roman" w:hAnsi="Times New Roman" w:cs="Times New Roman" w:eastAsia="Times New Roman" w:hint="default"/>
          <w:spacing w:val="-2"/>
        </w:rPr>
        <w:t>“</w:t>
      </w:r>
      <w:r>
        <w:rPr>
          <w:spacing w:val="-2"/>
        </w:rPr>
        <w:t>互联网教育精准扶贫</w:t>
      </w:r>
      <w:r>
        <w:rPr>
          <w:rFonts w:ascii="Times New Roman" w:hAnsi="Times New Roman" w:cs="Times New Roman" w:eastAsia="Times New Roman" w:hint="default"/>
          <w:spacing w:val="-2"/>
        </w:rPr>
        <w:t>”</w:t>
      </w:r>
      <w:r>
        <w:rPr>
          <w:spacing w:val="-2"/>
        </w:rPr>
        <w:t>实施方案，以智能手机、平板电脑、互联网作为载体，继续打造以区域为单位</w:t>
      </w:r>
      <w:r>
        <w:rPr/>
        <w:t> 的智慧校园群。</w:t>
      </w:r>
    </w:p>
    <w:p>
      <w:pPr>
        <w:pStyle w:val="BodyText"/>
        <w:spacing w:line="240" w:lineRule="auto" w:before="31"/>
        <w:ind w:left="513" w:right="2239"/>
        <w:jc w:val="left"/>
      </w:pPr>
      <w:r>
        <w:rPr/>
        <w:t>（三）走进贫困山区学校，开展向山区留守儿童捐书、捐款送爱心活动。</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5711"/>
        <w:jc w:val="left"/>
      </w:pPr>
      <w:r>
        <w:rPr/>
        <w:t>上市公司及其子公司是否属于环境保护部门公布的重点排污单位 否</w:t>
      </w:r>
    </w:p>
    <w:p>
      <w:pPr>
        <w:pStyle w:val="BodyText"/>
        <w:spacing w:line="240" w:lineRule="auto" w:before="29"/>
        <w:ind w:left="153" w:right="2239"/>
        <w:jc w:val="left"/>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    根据公司</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个募投项目计划，其中场地投入</w:t>
      </w:r>
      <w:r>
        <w:rPr>
          <w:spacing w:val="-49"/>
        </w:rPr>
        <w:t> </w:t>
      </w:r>
      <w:r>
        <w:rPr>
          <w:rFonts w:ascii="Times New Roman" w:hAnsi="Times New Roman" w:cs="Times New Roman" w:eastAsia="Times New Roman" w:hint="default"/>
        </w:rPr>
        <w:t>5,828.75</w:t>
      </w:r>
      <w:r>
        <w:rPr>
          <w:rFonts w:ascii="Times New Roman" w:hAnsi="Times New Roman" w:cs="Times New Roman" w:eastAsia="Times New Roman" w:hint="default"/>
          <w:spacing w:val="-12"/>
        </w:rPr>
        <w:t> </w:t>
      </w:r>
      <w:r>
        <w:rPr/>
        <w:t>万元，计划需要购置</w:t>
      </w:r>
      <w:r>
        <w:rPr>
          <w:spacing w:val="-49"/>
        </w:rPr>
        <w:t> </w:t>
      </w:r>
      <w:r>
        <w:rPr>
          <w:rFonts w:ascii="Times New Roman" w:hAnsi="Times New Roman" w:cs="Times New Roman" w:eastAsia="Times New Roman" w:hint="default"/>
        </w:rPr>
        <w:t>7,600</w:t>
      </w:r>
      <w:r>
        <w:rPr>
          <w:rFonts w:ascii="Times New Roman" w:hAnsi="Times New Roman" w:cs="Times New Roman" w:eastAsia="Times New Roman" w:hint="default"/>
          <w:spacing w:val="-12"/>
        </w:rPr>
        <w:t> </w:t>
      </w:r>
      <w:r>
        <w:rPr/>
        <w:t>平方米用房，用于项目研发、测试、运</w:t>
      </w:r>
    </w:p>
    <w:p>
      <w:pPr>
        <w:pStyle w:val="BodyText"/>
        <w:spacing w:line="312" w:lineRule="auto" w:before="63"/>
        <w:ind w:right="1030"/>
        <w:jc w:val="left"/>
      </w:pPr>
      <w:r>
        <w:rPr/>
        <w:t>营、办公和机房环境建设。根据公司的发展规划，公司于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日召开第三届董事会第十三次会议，审议通过将 </w:t>
      </w:r>
      <w:r>
        <w:rPr>
          <w:spacing w:val="-2"/>
        </w:rPr>
        <w:t>变更募投项目实施地点至福州高新技术产业开发区海西高新技术产业园内，变更募投项目实施方式，并追加投资，拟使用募</w:t>
      </w:r>
      <w:r>
        <w:rPr>
          <w:spacing w:val="-66"/>
        </w:rPr>
        <w:t> </w:t>
      </w:r>
      <w:r>
        <w:rPr>
          <w:spacing w:val="-66"/>
        </w:rPr>
      </w:r>
      <w:r>
        <w:rPr/>
        <w:t>集资金不超过</w:t>
      </w:r>
      <w:r>
        <w:rPr>
          <w:spacing w:val="-46"/>
        </w:rPr>
        <w:t> </w:t>
      </w:r>
      <w:r>
        <w:rPr>
          <w:rFonts w:ascii="Times New Roman" w:hAnsi="Times New Roman" w:cs="Times New Roman" w:eastAsia="Times New Roman" w:hint="default"/>
        </w:rPr>
        <w:t>13,300</w:t>
      </w:r>
      <w:r>
        <w:rPr>
          <w:rFonts w:ascii="Times New Roman" w:hAnsi="Times New Roman" w:cs="Times New Roman" w:eastAsia="Times New Roman" w:hint="default"/>
          <w:spacing w:val="-9"/>
        </w:rPr>
        <w:t> </w:t>
      </w:r>
      <w:r>
        <w:rPr/>
        <w:t>万元与榕基工程合作在该地块上建设公司研发大楼，项目建设期</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年分批投入，并根据公司募集资金 的投入总额取得相应投入比例的研发大楼产权使用权，用于募投项目目前实际所需研发用房。截至目前，项目已动工建设。 </w:t>
      </w:r>
      <w:r>
        <w:rPr>
          <w:spacing w:val="-2"/>
        </w:rPr>
        <w:t>公司将严格按照募集资金管理和使用的监管要求，使得募集资金规划中的场地投入费用发挥效益。截至报告期末，本公司募</w:t>
      </w:r>
      <w:r>
        <w:rPr>
          <w:spacing w:val="-66"/>
        </w:rPr>
        <w:t> </w:t>
      </w:r>
      <w:r>
        <w:rPr>
          <w:spacing w:val="-66"/>
        </w:rPr>
      </w:r>
      <w:r>
        <w:rPr/>
        <w:t>集资金累计直接投入募投项目</w:t>
      </w:r>
      <w:r>
        <w:rPr>
          <w:spacing w:val="-46"/>
        </w:rPr>
        <w:t> </w:t>
      </w:r>
      <w:r>
        <w:rPr>
          <w:rFonts w:ascii="Times New Roman" w:hAnsi="Times New Roman" w:cs="Times New Roman" w:eastAsia="Times New Roman" w:hint="default"/>
        </w:rPr>
        <w:t>32,266.81</w:t>
      </w:r>
      <w:r>
        <w:rPr>
          <w:rFonts w:ascii="Times New Roman" w:hAnsi="Times New Roman" w:cs="Times New Roman" w:eastAsia="Times New Roman" w:hint="default"/>
          <w:spacing w:val="-1"/>
        </w:rPr>
        <w:t> </w:t>
      </w:r>
      <w:r>
        <w:rPr/>
        <w:t>万元，募投项目建设基本完成。</w:t>
      </w:r>
    </w:p>
    <w:p>
      <w:pPr>
        <w:spacing w:line="240" w:lineRule="auto" w:before="7"/>
        <w:rPr>
          <w:rFonts w:ascii="宋体" w:hAnsi="宋体" w:cs="宋体" w:eastAsia="宋体" w:hint="default"/>
          <w:sz w:val="19"/>
          <w:szCs w:val="19"/>
        </w:rPr>
      </w:pPr>
    </w:p>
    <w:p>
      <w:pPr>
        <w:pStyle w:val="Heading2"/>
        <w:spacing w:line="240" w:lineRule="auto"/>
        <w:ind w:right="2239"/>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4" w:right="11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榕基软件持有马鞍山榕基软件信息科技有限公司</w:t>
      </w:r>
      <w:r>
        <w:rPr>
          <w:rFonts w:ascii="Times New Roman" w:hAnsi="Times New Roman" w:cs="Times New Roman" w:eastAsia="Times New Roman" w:hint="default"/>
        </w:rPr>
        <w:t>100%</w:t>
      </w:r>
      <w:r>
        <w:rPr/>
        <w:t>股权，马鞍山榕基软件信息科技有限公司持有马鞍山榕基置业投</w:t>
      </w:r>
    </w:p>
    <w:p>
      <w:pPr>
        <w:pStyle w:val="BodyText"/>
        <w:spacing w:line="228" w:lineRule="exact"/>
        <w:ind w:left="153" w:right="0"/>
        <w:jc w:val="left"/>
      </w:pPr>
      <w:r>
        <w:rPr/>
        <w:t>资有限公司</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日，北京海圣投资基金管理有限公司就收购马鞍山榕基软件信息科技有限公司</w:t>
      </w:r>
      <w:r>
        <w:rPr>
          <w:rFonts w:ascii="Times New Roman" w:hAnsi="Times New Roman" w:cs="Times New Roman" w:eastAsia="Times New Roman" w:hint="default"/>
        </w:rPr>
        <w:t>100%</w:t>
      </w:r>
      <w:r>
        <w:rPr/>
        <w:t>股</w:t>
      </w:r>
    </w:p>
    <w:p>
      <w:pPr>
        <w:pStyle w:val="BodyText"/>
        <w:spacing w:line="310" w:lineRule="atLeast" w:before="2"/>
        <w:ind w:left="153" w:right="1131"/>
        <w:jc w:val="left"/>
        <w:rPr>
          <w:rFonts w:ascii="Times New Roman" w:hAnsi="Times New Roman" w:cs="Times New Roman" w:eastAsia="Times New Roman" w:hint="default"/>
        </w:rPr>
      </w:pPr>
      <w:r>
        <w:rPr>
          <w:spacing w:val="-1"/>
        </w:rPr>
        <w:t>权与榕基软件签订股权转让合同，所对应的股权转让款为玖仟叁佰万元整（￥</w:t>
      </w:r>
      <w:r>
        <w:rPr>
          <w:rFonts w:ascii="Times New Roman" w:hAnsi="Times New Roman" w:cs="Times New Roman" w:eastAsia="Times New Roman" w:hint="default"/>
          <w:spacing w:val="-1"/>
        </w:rPr>
        <w:t>93,000,000.00</w:t>
      </w:r>
      <w:r>
        <w:rPr>
          <w:spacing w:val="-1"/>
        </w:rPr>
        <w:t>）。该事项公司已作为临时报告</w:t>
      </w:r>
      <w:r>
        <w:rPr>
          <w:spacing w:val="-69"/>
        </w:rPr>
        <w:t> </w:t>
      </w:r>
      <w:r>
        <w:rPr>
          <w:spacing w:val="-69"/>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日在巨潮网披露。巨潮网查询索引： </w:t>
      </w:r>
      <w:hyperlink r:id="rId18">
        <w:r>
          <w:rPr>
            <w:rFonts w:ascii="Times New Roman" w:hAnsi="Times New Roman" w:cs="Times New Roman" w:eastAsia="Times New Roman" w:hint="default"/>
          </w:rPr>
          <w:t>http://www.cninfo.com.cn/new/disclosure/detail?plate=szse&amp;stockCode=002474&amp;announcementId=1205208002&amp;announcementTi</w:t>
        </w:r>
      </w:hyperlink>
      <w:r>
        <w:rPr>
          <w:rFonts w:ascii="Times New Roman" w:hAnsi="Times New Roman" w:cs="Times New Roman" w:eastAsia="Times New Roman" w:hint="default"/>
          <w:w w:val="100"/>
        </w:rPr>
        <w:t> </w:t>
      </w:r>
      <w:r>
        <w:rPr>
          <w:rFonts w:ascii="Times New Roman" w:hAnsi="Times New Roman" w:cs="Times New Roman" w:eastAsia="Times New Roman" w:hint="default"/>
        </w:rPr>
        <w:t>me=2018-07-20</w:t>
      </w:r>
    </w:p>
    <w:p>
      <w:pPr>
        <w:spacing w:after="0" w:line="310" w:lineRule="atLeast"/>
        <w:jc w:val="left"/>
        <w:rPr>
          <w:rFonts w:ascii="Times New Roman" w:hAnsi="Times New Roman" w:cs="Times New Roman" w:eastAsia="Times New Roman" w:hint="default"/>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8"/>
        <w:ind w:left="2965" w:right="2239"/>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153,056,7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495,000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153,551,7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153,056,7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495,000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153,551,7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      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153,056,7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495,000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153,551,7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469,143,2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-495,000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-495,000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468,648,2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469,143,2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-495,000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-495,000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468,648,2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2239"/>
        <w:jc w:val="left"/>
      </w:pPr>
      <w:r>
        <w:rPr/>
        <w:t>股份变动的原因</w:t>
      </w:r>
    </w:p>
    <w:p>
      <w:pPr>
        <w:pStyle w:val="BodyText"/>
        <w:spacing w:line="338" w:lineRule="auto" w:before="116"/>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239"/>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274"/>
        <w:gridCol w:w="923"/>
        <w:gridCol w:w="490"/>
        <w:gridCol w:w="748"/>
        <w:gridCol w:w="827"/>
        <w:gridCol w:w="328"/>
        <w:gridCol w:w="461"/>
        <w:gridCol w:w="761"/>
        <w:gridCol w:w="940"/>
        <w:gridCol w:w="230"/>
        <w:gridCol w:w="1044"/>
        <w:gridCol w:w="152"/>
        <w:gridCol w:w="1195"/>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80,646</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83,851</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2" w:right="107"/>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7"/>
              <w:ind w:left="22" w:right="47"/>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68"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7" w:right="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4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18" w:right="9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2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827"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940" w:type="dxa"/>
            <w:vMerge/>
            <w:tcBorders>
              <w:left w:val="single" w:sz="4" w:space="0" w:color="000000"/>
              <w:bottom w:val="single" w:sz="4" w:space="0" w:color="000000"/>
              <w:right w:val="single" w:sz="4" w:space="0" w:color="000000"/>
            </w:tcBorders>
            <w:shd w:val="clear" w:color="auto" w:fill="D3D3D3"/>
          </w:tcPr>
          <w:p>
            <w:pP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129,015,7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96,761,80</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32,253,935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77,000,000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54,487,76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40,865,82</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13,621,942</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18,640,100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10,897,97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10,053,67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10,897,974</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福建榕基软件股 份有限公司－第 三期员工持股计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1.26%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73" w:right="0"/>
              <w:jc w:val="left"/>
              <w:rPr>
                <w:rFonts w:ascii="Times New Roman" w:hAnsi="Times New Roman" w:cs="Times New Roman" w:eastAsia="Times New Roman" w:hint="default"/>
                <w:sz w:val="18"/>
                <w:szCs w:val="18"/>
              </w:rPr>
            </w:pPr>
            <w:r>
              <w:rPr>
                <w:rFonts w:ascii="Times New Roman"/>
                <w:sz w:val="18"/>
              </w:rPr>
              <w:t>7,856,200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sz w:val="18"/>
              </w:rPr>
              <w:t>7,856,200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
              <w:jc w:val="right"/>
              <w:rPr>
                <w:rFonts w:ascii="Times New Roman" w:hAnsi="Times New Roman" w:cs="Times New Roman" w:eastAsia="Times New Roman" w:hint="default"/>
                <w:sz w:val="18"/>
                <w:szCs w:val="18"/>
              </w:rPr>
            </w:pPr>
            <w:r>
              <w:rPr>
                <w:rFonts w:ascii="Times New Roman"/>
                <w:sz w:val="18"/>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0"/>
              <w:jc w:val="right"/>
              <w:rPr>
                <w:rFonts w:ascii="Times New Roman" w:hAnsi="Times New Roman" w:cs="Times New Roman" w:eastAsia="Times New Roman" w:hint="default"/>
                <w:sz w:val="18"/>
                <w:szCs w:val="18"/>
              </w:rPr>
            </w:pPr>
            <w:r>
              <w:rPr>
                <w:rFonts w:ascii="Times New Roman"/>
                <w:sz w:val="18"/>
              </w:rPr>
              <w:t>7,856,200</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77"/>
        <w:gridCol w:w="1312"/>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6,850,000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5,137,500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1,712,500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5,396,146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4,047,109</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1,349,037</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中国人寿保险股 份有限公司－传 统－普通保险产 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3,110,900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3,110,900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pacing w:val="-1"/>
                <w:sz w:val="18"/>
              </w:rPr>
              <w:t>3,110,900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2,994,160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2,994,160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2,703,300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1,547,800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2,703,300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both"/>
              <w:rPr>
                <w:rFonts w:ascii="宋体" w:hAnsi="宋体" w:cs="宋体" w:eastAsia="宋体" w:hint="default"/>
                <w:sz w:val="18"/>
                <w:szCs w:val="18"/>
              </w:rPr>
            </w:pPr>
            <w:r>
              <w:rPr>
                <w:rFonts w:ascii="宋体" w:hAnsi="宋体" w:cs="宋体" w:eastAsia="宋体" w:hint="default"/>
                <w:sz w:val="18"/>
                <w:szCs w:val="18"/>
              </w:rPr>
              <w:t>福建榕基软件股 份有限公司－第 二期员工持股计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0.42%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2,629,101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2,629,101</w:t>
            </w:r>
          </w:p>
        </w:tc>
        <w:tc>
          <w:tcPr>
            <w:tcW w:w="13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4" w:space="0" w:color="000000"/>
              <w:right w:val="single" w:sz="4" w:space="0" w:color="000000"/>
            </w:tcBorders>
          </w:tcPr>
          <w:p>
            <w:pPr>
              <w:pStyle w:val="TableParagraph"/>
              <w:spacing w:line="316" w:lineRule="auto" w:before="50"/>
              <w:ind w:left="22" w:right="-7"/>
              <w:jc w:val="both"/>
              <w:rPr>
                <w:rFonts w:ascii="宋体" w:hAnsi="宋体" w:cs="宋体" w:eastAsia="宋体" w:hint="default"/>
                <w:sz w:val="18"/>
                <w:szCs w:val="18"/>
              </w:rPr>
            </w:pPr>
            <w:r>
              <w:rPr>
                <w:rFonts w:ascii="宋体" w:hAnsi="宋体" w:cs="宋体" w:eastAsia="宋体" w:hint="default"/>
                <w:spacing w:val="-1"/>
                <w:sz w:val="18"/>
                <w:szCs w:val="18"/>
              </w:rPr>
              <w:t>公司前十名股东中，鲁波为鲁峰之胞兄。福建榕基软件股份有限公司－第二期及第三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期员工持股计划与其他前十名股东之间不存在关联关系，不属于一致行动人。除上述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情况外，其他前十名股东之间未知是否存在关联关系，也未知是否属于一致行动人。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027"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36"/>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7"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5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4027" w:type="dxa"/>
            <w:gridSpan w:val="5"/>
            <w:vMerge/>
            <w:tcBorders>
              <w:left w:val="single" w:sz="4" w:space="0" w:color="000000"/>
              <w:bottom w:val="nil" w:sz="6" w:space="0" w:color="auto"/>
              <w:right w:val="single" w:sz="4" w:space="0" w:color="000000"/>
            </w:tcBorders>
            <w:shd w:val="clear" w:color="auto" w:fill="D3D3D3"/>
          </w:tcPr>
          <w:p>
            <w:pPr/>
          </w:p>
        </w:tc>
        <w:tc>
          <w:tcPr>
            <w:tcW w:w="13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027"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12" w:type="dxa"/>
            <w:vMerge/>
            <w:tcBorders>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32,253,935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13,621,942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朱琳</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7"/>
              <w:jc w:val="right"/>
              <w:rPr>
                <w:rFonts w:ascii="Times New Roman" w:hAnsi="Times New Roman" w:cs="Times New Roman" w:eastAsia="Times New Roman" w:hint="default"/>
                <w:sz w:val="18"/>
                <w:szCs w:val="18"/>
              </w:rPr>
            </w:pPr>
            <w:r>
              <w:rPr>
                <w:rFonts w:ascii="Times New Roman"/>
                <w:sz w:val="18"/>
              </w:rPr>
              <w:t>10,897,974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福建榕基软件股份有限公司－第三 期员工持股计划</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7,856,200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－普通保险产品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3,110,900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
              <w:jc w:val="right"/>
              <w:rPr>
                <w:rFonts w:ascii="Times New Roman" w:hAnsi="Times New Roman" w:cs="Times New Roman" w:eastAsia="Times New Roman" w:hint="default"/>
                <w:sz w:val="18"/>
                <w:szCs w:val="18"/>
              </w:rPr>
            </w:pPr>
            <w:r>
              <w:rPr>
                <w:rFonts w:ascii="Times New Roman"/>
                <w:sz w:val="18"/>
              </w:rPr>
              <w:t>2,994,160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朱晓霞</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
              <w:jc w:val="right"/>
              <w:rPr>
                <w:rFonts w:ascii="Times New Roman" w:hAnsi="Times New Roman" w:cs="Times New Roman" w:eastAsia="Times New Roman" w:hint="default"/>
                <w:sz w:val="18"/>
                <w:szCs w:val="18"/>
              </w:rPr>
            </w:pPr>
            <w:r>
              <w:rPr>
                <w:rFonts w:ascii="Times New Roman"/>
                <w:sz w:val="18"/>
              </w:rPr>
              <w:t>2,703,300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福建榕基软件股份有限公司－第二 期员工持股计划</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2,629,101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8"/>
              <w:jc w:val="right"/>
              <w:rPr>
                <w:rFonts w:ascii="Times New Roman" w:hAnsi="Times New Roman" w:cs="Times New Roman" w:eastAsia="Times New Roman" w:hint="default"/>
                <w:sz w:val="18"/>
                <w:szCs w:val="18"/>
              </w:rPr>
            </w:pPr>
            <w:r>
              <w:rPr>
                <w:rFonts w:ascii="Times New Roman"/>
                <w:sz w:val="18"/>
              </w:rPr>
              <w:t>2,239,800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福建榕基软件股份有限公司－第一 期员工持股计划</w:t>
            </w:r>
          </w:p>
        </w:tc>
        <w:tc>
          <w:tcPr>
            <w:tcW w:w="40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1,867,900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1"/>
                <w:sz w:val="18"/>
                <w:szCs w:val="18"/>
              </w:rPr>
              <w:t>公司前十名股东中，鲁波为鲁峰之胞兄。福建榕基软件股份有限公司－第一期、第二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期及第三期员工持股计划与其他前十名股东之间不存在关联关系，不属于一致行动 </w:t>
            </w:r>
            <w:r>
              <w:rPr>
                <w:rFonts w:ascii="宋体" w:hAnsi="宋体" w:cs="宋体" w:eastAsia="宋体" w:hint="default"/>
                <w:spacing w:val="-1"/>
                <w:sz w:val="18"/>
                <w:szCs w:val="18"/>
              </w:rPr>
              <w:t>人。除上述情况外，其他前十名股东之间未知是否存在关联关系，也未知是否属于一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致行动人。</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朱晓霞参与融资融券，信用证券账户持有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381"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35pt;height:19.1pt;mso-position-horizontal-relative:char;mso-position-vertical-relative:line" coordorigin="0,0" coordsize="9587,382">
            <v:group style="position:absolute;left:2862;top:14;width:24;height:353" coordorigin="2862,14" coordsize="24,353">
              <v:shape style="position:absolute;left:2862;top:14;width:24;height:353" coordorigin="2862,14" coordsize="24,353" path="m2862,367l2886,367,2886,14,2862,14,2862,367xe" filled="true" fillcolor="#d3d3d3" stroked="false">
                <v:path arrowok="t"/>
                <v:fill type="solid"/>
              </v:shape>
            </v:group>
            <v:group style="position:absolute;left:14;top:14;width:23;height:353" coordorigin="14,14" coordsize="23,353">
              <v:shape style="position:absolute;left:14;top:14;width:23;height:353" coordorigin="14,14" coordsize="23,353" path="m14,367l37,367,37,14,14,14,14,367xe" filled="true" fillcolor="#d3d3d3" stroked="false">
                <v:path arrowok="t"/>
                <v:fill type="solid"/>
              </v:shape>
            </v:group>
            <v:group style="position:absolute;left:37;top:14;width:2825;height:353" coordorigin="37,14" coordsize="2825,353">
              <v:shape style="position:absolute;left:37;top:14;width:2825;height:353" coordorigin="37,14" coordsize="2825,353" path="m37,367l2862,367,2862,14,37,14,37,36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2882;height:2" coordorigin="5,372" coordsize="2882,2">
              <v:shape style="position:absolute;left:5;top:372;width:2882;height:2" coordorigin="5,372" coordsize="2882,0" path="m5,372l2886,372e" filled="false" stroked="true" strokeweight=".48004pt" strokecolor="#000000">
                <v:path arrowok="t"/>
              </v:shape>
            </v:group>
            <v:group style="position:absolute;left:2891;top:14;width:2;height:363" coordorigin="2891,14" coordsize="2,363">
              <v:shape style="position:absolute;left:2891;top:14;width:2;height:363" coordorigin="2891,14" coordsize="0,363" path="m2891,14l2891,377e" filled="false" stroked="true" strokeweight=".48pt" strokecolor="#000000">
                <v:path arrowok="t"/>
              </v:shape>
            </v:group>
            <v:group style="position:absolute;left:2896;top:372;width:6677;height:2" coordorigin="2896,372" coordsize="6677,2">
              <v:shape style="position:absolute;left:2896;top:372;width:6677;height:2" coordorigin="2896,372" coordsize="6677,0" path="m2896,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10;top:10;width:2882;height:363"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务情况说明（如有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7"/>
        <w:ind w:right="223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2239"/>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859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2239"/>
        <w:jc w:val="left"/>
      </w:pPr>
      <w:r>
        <w:rPr/>
        <w:t>控股股东报告期内变更</w:t>
      </w:r>
    </w:p>
    <w:p>
      <w:pPr>
        <w:pStyle w:val="BodyText"/>
        <w:spacing w:line="338"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4"/>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841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2239"/>
        <w:jc w:val="left"/>
      </w:pPr>
      <w:r>
        <w:rPr/>
        <w:t>实际控制人报告期内变更</w:t>
      </w:r>
    </w:p>
    <w:p>
      <w:pPr>
        <w:pStyle w:val="BodyText"/>
        <w:spacing w:line="348" w:lineRule="auto" w:before="116"/>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3135" w:lineRule="exact"/>
        <w:ind w:left="1357"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92690" cy="19907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4592690" cy="199072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
        <w:rPr>
          <w:rFonts w:ascii="宋体" w:hAnsi="宋体" w:cs="宋体" w:eastAsia="宋体" w:hint="default"/>
          <w:sz w:val="24"/>
          <w:szCs w:val="24"/>
        </w:rPr>
      </w:pPr>
    </w:p>
    <w:p>
      <w:pPr>
        <w:pStyle w:val="BodyText"/>
        <w:spacing w:line="240" w:lineRule="auto" w:before="44"/>
        <w:ind w:right="2239"/>
        <w:jc w:val="left"/>
      </w:pPr>
      <w:r>
        <w:rPr/>
        <w:t>实际控制人通过信托或其他资产管理方式控制公司</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286" w:right="2239"/>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38" w:lineRule="auto" w:before="44"/>
        <w:ind w:right="8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1680" w:right="2239"/>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239"/>
        <w:jc w:val="left"/>
        <w:rPr>
          <w:b w:val="0"/>
          <w:bCs w:val="0"/>
        </w:rPr>
      </w:pPr>
      <w:r>
        <w:rPr/>
        <w:pict>
          <v:shape style="position:absolute;margin-left:471.480011pt;margin-top:33.035938pt;width:63.55pt;height:50.8pt;mso-position-horizontal-relative:page;mso-position-vertical-relative:paragraph;z-index:-110492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128,355,7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129,015,7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副董事 长、常务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54,487,76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5,396,146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5,396,146</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6,850,000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6,850,000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1,740,000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1,740,000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1,305,000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220,000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z w:val="18"/>
              </w:rPr>
              <w:t>220,000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1,160,990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1,160,990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204,075,6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203,895,6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因个人原因申请辞去公司副总裁职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0" w:hanging="360"/>
        <w:jc w:val="left"/>
      </w:pPr>
      <w:r>
        <w:rPr/>
        <w:t>公司现任董事、监事、高级管理人员专业背景、主要工作经历以及目前在公司的主要职责 </w:t>
      </w:r>
      <w:r>
        <w:rPr>
          <w:spacing w:val="-2"/>
        </w:rPr>
        <w:t>鲁峰：中国国籍，男，</w:t>
      </w:r>
      <w:r>
        <w:rPr>
          <w:rFonts w:ascii="Times New Roman" w:hAnsi="Times New Roman" w:cs="Times New Roman" w:eastAsia="Times New Roman" w:hint="default"/>
          <w:spacing w:val="-2"/>
        </w:rPr>
        <w:t>1967</w:t>
      </w:r>
      <w:r>
        <w:rPr>
          <w:spacing w:val="-2"/>
        </w:rPr>
        <w:t>年生，毕业于中科院沈阳计算技术研究所，研究生学历，工学硕士学位。长期从事行业应用</w:t>
      </w:r>
    </w:p>
    <w:p>
      <w:pPr>
        <w:pStyle w:val="BodyText"/>
        <w:spacing w:line="214" w:lineRule="exact"/>
        <w:ind w:left="153" w:right="0"/>
        <w:jc w:val="both"/>
        <w:rPr>
          <w:rFonts w:ascii="Times New Roman" w:hAnsi="Times New Roman" w:cs="Times New Roman" w:eastAsia="Times New Roman" w:hint="default"/>
        </w:rPr>
      </w:pPr>
      <w:r>
        <w:rPr/>
        <w:t>软件开发及计算机信息系统集成工作，</w:t>
      </w:r>
      <w:r>
        <w:rPr>
          <w:rFonts w:ascii="Times New Roman" w:hAnsi="Times New Roman" w:cs="Times New Roman" w:eastAsia="Times New Roman" w:hint="default"/>
        </w:rPr>
        <w:t>1993</w:t>
      </w:r>
      <w:r>
        <w:rPr/>
        <w:t>年参与创建福建榕基软件开发有限公司，主持业务、研发和技术管理工作。</w:t>
      </w:r>
      <w:r>
        <w:rPr>
          <w:rFonts w:ascii="Times New Roman" w:hAnsi="Times New Roman" w:cs="Times New Roman" w:eastAsia="Times New Roman" w:hint="default"/>
        </w:rPr>
        <w:t>2004</w:t>
      </w:r>
    </w:p>
    <w:p>
      <w:pPr>
        <w:pStyle w:val="BodyText"/>
        <w:spacing w:line="300" w:lineRule="auto" w:before="63"/>
        <w:ind w:right="1128"/>
        <w:jc w:val="both"/>
      </w:pPr>
      <w:r>
        <w:rPr>
          <w:spacing w:val="-1"/>
        </w:rPr>
        <w:t>年，荣获福建省人事厅、信息产业厅颁发的</w:t>
      </w:r>
      <w:r>
        <w:rPr>
          <w:rFonts w:ascii="Times New Roman" w:hAnsi="Times New Roman" w:cs="Times New Roman" w:eastAsia="Times New Roman" w:hint="default"/>
          <w:spacing w:val="-1"/>
        </w:rPr>
        <w:t>“</w:t>
      </w:r>
      <w:r>
        <w:rPr>
          <w:spacing w:val="-1"/>
        </w:rPr>
        <w:t>首届福建省软件杰出人才</w:t>
      </w:r>
      <w:r>
        <w:rPr>
          <w:rFonts w:ascii="Times New Roman" w:hAnsi="Times New Roman" w:cs="Times New Roman" w:eastAsia="Times New Roman" w:hint="default"/>
          <w:spacing w:val="-1"/>
        </w:rPr>
        <w:t>”</w:t>
      </w:r>
      <w:r>
        <w:rPr>
          <w:spacing w:val="-1"/>
        </w:rPr>
        <w:t>荣誉称号。</w:t>
      </w:r>
      <w:r>
        <w:rPr>
          <w:rFonts w:ascii="Times New Roman" w:hAnsi="Times New Roman" w:cs="Times New Roman" w:eastAsia="Times New Roman" w:hint="default"/>
          <w:spacing w:val="-1"/>
        </w:rPr>
        <w:t>2006</w:t>
      </w:r>
      <w:r>
        <w:rPr>
          <w:spacing w:val="-1"/>
        </w:rPr>
        <w:t>年，荣获福建省</w:t>
      </w:r>
      <w:r>
        <w:rPr>
          <w:rFonts w:ascii="Times New Roman" w:hAnsi="Times New Roman" w:cs="Times New Roman" w:eastAsia="Times New Roman" w:hint="default"/>
          <w:spacing w:val="-1"/>
        </w:rPr>
        <w:t>“</w:t>
      </w:r>
      <w:r>
        <w:rPr>
          <w:spacing w:val="-1"/>
        </w:rPr>
        <w:t>五一</w:t>
      </w:r>
      <w:r>
        <w:rPr>
          <w:rFonts w:ascii="Times New Roman" w:hAnsi="Times New Roman" w:cs="Times New Roman" w:eastAsia="Times New Roman" w:hint="default"/>
          <w:spacing w:val="-1"/>
        </w:rPr>
        <w:t>”</w:t>
      </w:r>
      <w:r>
        <w:rPr>
          <w:spacing w:val="-1"/>
        </w:rPr>
        <w:t>劳动奖章，获</w:t>
      </w:r>
      <w:r>
        <w:rPr>
          <w:spacing w:val="-78"/>
        </w:rPr>
        <w:t> </w:t>
      </w:r>
      <w:r>
        <w:rPr>
          <w:spacing w:val="-78"/>
        </w:rPr>
      </w:r>
      <w:r>
        <w:rPr/>
        <w:t>得福建省</w:t>
      </w:r>
      <w:r>
        <w:rPr>
          <w:rFonts w:ascii="Times New Roman" w:hAnsi="Times New Roman" w:cs="Times New Roman" w:eastAsia="Times New Roman" w:hint="default"/>
        </w:rPr>
        <w:t>“</w:t>
      </w:r>
      <w:r>
        <w:rPr/>
        <w:t>新长征突击手</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“2006</w:t>
      </w:r>
      <w:r>
        <w:rPr/>
        <w:t>中国信息产业年度</w:t>
      </w:r>
      <w:r>
        <w:rPr>
          <w:rFonts w:ascii="Times New Roman" w:hAnsi="Times New Roman" w:cs="Times New Roman" w:eastAsia="Times New Roman" w:hint="default"/>
        </w:rPr>
        <w:t>10</w:t>
      </w:r>
      <w:r>
        <w:rPr/>
        <w:t>大新锐人物</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
        </w:rPr>
        <w:t>、第三届</w:t>
      </w:r>
      <w:r>
        <w:rPr>
          <w:rFonts w:ascii="Times New Roman" w:hAnsi="Times New Roman" w:cs="Times New Roman" w:eastAsia="Times New Roman" w:hint="default"/>
          <w:spacing w:val="-3"/>
        </w:rPr>
        <w:t>“</w:t>
      </w:r>
      <w:r>
        <w:rPr>
          <w:spacing w:val="-3"/>
        </w:rPr>
        <w:t>中国软件行业杰出青年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海西创业英才</w:t>
      </w:r>
      <w:r>
        <w:rPr>
          <w:rFonts w:ascii="Times New Roman" w:hAnsi="Times New Roman" w:cs="Times New Roman" w:eastAsia="Times New Roman" w:hint="default"/>
          <w:spacing w:val="-3"/>
        </w:rPr>
        <w:t>”</w:t>
      </w:r>
      <w:r>
        <w:rPr>
          <w:spacing w:val="-3"/>
        </w:rPr>
        <w:t>等荣</w:t>
      </w:r>
      <w:r>
        <w:rPr/>
        <w:t> 誉称号。现任公司董事长、总裁、上海榕基软件开发有限公司执行董事、福建亿榕信息技术有限公司董事。</w:t>
      </w:r>
    </w:p>
    <w:p>
      <w:pPr>
        <w:spacing w:after="0" w:line="300"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9" w:lineRule="auto" w:before="44"/>
        <w:ind w:left="153" w:right="1131" w:firstLine="360"/>
        <w:jc w:val="both"/>
      </w:pPr>
      <w:r>
        <w:rPr>
          <w:spacing w:val="-2"/>
        </w:rPr>
        <w:t>侯伟：中国国籍，男，</w:t>
      </w:r>
      <w:r>
        <w:rPr>
          <w:rFonts w:ascii="Times New Roman" w:hAnsi="Times New Roman" w:cs="Times New Roman" w:eastAsia="Times New Roman" w:hint="default"/>
          <w:spacing w:val="-2"/>
        </w:rPr>
        <w:t>1966</w:t>
      </w:r>
      <w:r>
        <w:rPr>
          <w:spacing w:val="-2"/>
        </w:rPr>
        <w:t>年生，毕业于郑州大学，本科学历，学士学位。</w:t>
      </w:r>
      <w:r>
        <w:rPr>
          <w:rFonts w:ascii="Times New Roman" w:hAnsi="Times New Roman" w:cs="Times New Roman" w:eastAsia="Times New Roman" w:hint="default"/>
          <w:spacing w:val="-2"/>
        </w:rPr>
        <w:t>1993</w:t>
      </w:r>
      <w:r>
        <w:rPr>
          <w:spacing w:val="-2"/>
        </w:rPr>
        <w:t>年至今在公司工作，长期从事公司内务</w:t>
      </w:r>
      <w:r>
        <w:rPr/>
        <w:t> </w:t>
      </w:r>
      <w:r>
        <w:rPr>
          <w:spacing w:val="-2"/>
        </w:rPr>
        <w:t>管理和市场管理工作。现任公司副董事长、常务副总裁、浙江榕基信息技术有限公司董事长、福建亿榕信息技术有限公司董</w:t>
      </w:r>
      <w:r>
        <w:rPr>
          <w:spacing w:val="-66"/>
        </w:rPr>
        <w:t> </w:t>
      </w:r>
      <w:r>
        <w:rPr>
          <w:spacing w:val="-66"/>
        </w:rPr>
      </w:r>
      <w:r>
        <w:rPr/>
        <w:t>事、星榕基董事长。</w:t>
      </w:r>
    </w:p>
    <w:p>
      <w:pPr>
        <w:pStyle w:val="BodyText"/>
        <w:spacing w:line="300" w:lineRule="auto" w:before="64"/>
        <w:ind w:left="153" w:right="1129" w:firstLine="360"/>
        <w:jc w:val="both"/>
      </w:pPr>
      <w:r>
        <w:rPr>
          <w:spacing w:val="-2"/>
        </w:rPr>
        <w:t>陈明平：中国国籍，男，</w:t>
      </w:r>
      <w:r>
        <w:rPr>
          <w:rFonts w:ascii="Times New Roman" w:hAnsi="Times New Roman" w:cs="Times New Roman" w:eastAsia="Times New Roman" w:hint="default"/>
          <w:spacing w:val="-2"/>
        </w:rPr>
        <w:t>1974</w:t>
      </w:r>
      <w:r>
        <w:rPr>
          <w:spacing w:val="-2"/>
        </w:rPr>
        <w:t>年生，毕业于北京理工大学，本科学历，工程师。长期从事行业应用软件开发及计算机信</w:t>
      </w:r>
      <w:r>
        <w:rPr/>
        <w:t> </w:t>
      </w:r>
      <w:r>
        <w:rPr>
          <w:spacing w:val="-2"/>
        </w:rPr>
        <w:t>息系统集成工作，</w:t>
      </w:r>
      <w:r>
        <w:rPr>
          <w:rFonts w:ascii="Times New Roman" w:hAnsi="Times New Roman" w:cs="Times New Roman" w:eastAsia="Times New Roman" w:hint="default"/>
          <w:spacing w:val="-2"/>
        </w:rPr>
        <w:t>2001</w:t>
      </w:r>
      <w:r>
        <w:rPr>
          <w:spacing w:val="-2"/>
        </w:rPr>
        <w:t>年加入公司，负责企业技术开发及管理工作。具有较强的技术管理能力，负责公司技术管理体系的建</w:t>
      </w:r>
      <w:r>
        <w:rPr>
          <w:spacing w:val="-62"/>
        </w:rPr>
        <w:t> </w:t>
      </w:r>
      <w:r>
        <w:rPr>
          <w:spacing w:val="-62"/>
        </w:rPr>
      </w:r>
      <w:r>
        <w:rPr/>
        <w:t>设和维护，对软件行业具有深入的理解和丰富的实践经验，曾获</w:t>
      </w:r>
      <w:r>
        <w:rPr>
          <w:rFonts w:ascii="Times New Roman" w:hAnsi="Times New Roman" w:cs="Times New Roman" w:eastAsia="Times New Roman" w:hint="default"/>
        </w:rPr>
        <w:t>“</w:t>
      </w:r>
      <w:r>
        <w:rPr/>
        <w:t>首届福建</w:t>
      </w:r>
      <w:r>
        <w:rPr>
          <w:rFonts w:ascii="Times New Roman" w:hAnsi="Times New Roman" w:cs="Times New Roman" w:eastAsia="Times New Roman" w:hint="default"/>
        </w:rPr>
        <w:t>IT</w:t>
      </w:r>
      <w:r>
        <w:rPr/>
        <w:t>行业十大杰出青年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第二届福建省软件杰出 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第二届福州市杰出科技人员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第十二届福建青年科技奖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中国电子学会电子信息科学技术奖二等奖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 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。现任公司董事、副总裁兼技术总监、福建榕基软件工程有限 公司执行董事兼总经理。</w:t>
      </w:r>
    </w:p>
    <w:p>
      <w:pPr>
        <w:pStyle w:val="BodyText"/>
        <w:spacing w:line="300" w:lineRule="auto" w:before="72"/>
        <w:ind w:right="1131" w:firstLine="360"/>
        <w:jc w:val="both"/>
      </w:pPr>
      <w:r>
        <w:rPr>
          <w:spacing w:val="-2"/>
        </w:rPr>
        <w:t>刘景燕：中国国籍，女，</w:t>
      </w:r>
      <w:r>
        <w:rPr>
          <w:rFonts w:ascii="Times New Roman" w:hAnsi="Times New Roman" w:cs="Times New Roman" w:eastAsia="Times New Roman" w:hint="default"/>
          <w:spacing w:val="-2"/>
        </w:rPr>
        <w:t>1973</w:t>
      </w:r>
      <w:r>
        <w:rPr>
          <w:spacing w:val="-2"/>
        </w:rPr>
        <w:t>年生，工程硕士。</w:t>
      </w:r>
      <w:r>
        <w:rPr>
          <w:rFonts w:ascii="Times New Roman" w:hAnsi="Times New Roman" w:cs="Times New Roman" w:eastAsia="Times New Roman" w:hint="default"/>
          <w:spacing w:val="-2"/>
        </w:rPr>
        <w:t>1999</w:t>
      </w:r>
      <w:r>
        <w:rPr>
          <w:spacing w:val="-2"/>
        </w:rPr>
        <w:t>年加入公司，先后担任项目管理部经理，运营总监。具有较强的经</w:t>
      </w:r>
      <w:r>
        <w:rPr/>
        <w:t> 营管理能力，负责公司企业运营管理工作。现任公司董事。</w:t>
      </w:r>
    </w:p>
    <w:p>
      <w:pPr>
        <w:pStyle w:val="BodyText"/>
        <w:spacing w:line="309" w:lineRule="auto" w:before="71"/>
        <w:ind w:right="1129" w:firstLine="360"/>
        <w:jc w:val="both"/>
      </w:pPr>
      <w:r>
        <w:rPr>
          <w:spacing w:val="-2"/>
        </w:rPr>
        <w:t>赵坚：中国国籍，男，</w:t>
      </w:r>
      <w:r>
        <w:rPr>
          <w:rFonts w:ascii="Times New Roman" w:hAnsi="Times New Roman" w:cs="Times New Roman" w:eastAsia="Times New Roman" w:hint="default"/>
          <w:spacing w:val="-2"/>
        </w:rPr>
        <w:t>1972</w:t>
      </w:r>
      <w:r>
        <w:rPr>
          <w:spacing w:val="-2"/>
        </w:rPr>
        <w:t>年生，毕业于福州大学工业电气自动化专业，本科学历。</w:t>
      </w:r>
      <w:r>
        <w:rPr>
          <w:rFonts w:ascii="Times New Roman" w:hAnsi="Times New Roman" w:cs="Times New Roman" w:eastAsia="Times New Roman" w:hint="default"/>
          <w:spacing w:val="-2"/>
        </w:rPr>
        <w:t>1997</w:t>
      </w:r>
      <w:r>
        <w:rPr>
          <w:spacing w:val="-2"/>
        </w:rPr>
        <w:t>年加入公司，先后担任系统集</w:t>
      </w:r>
      <w:r>
        <w:rPr/>
        <w:t> </w:t>
      </w:r>
      <w:r>
        <w:rPr>
          <w:spacing w:val="-2"/>
        </w:rPr>
        <w:t>成工程师、项目经理、系统集成部经理、业务副总监。现负责企业计算机系统集成、音视频系统集成、办公自动化软件、定</w:t>
      </w:r>
      <w:r>
        <w:rPr>
          <w:spacing w:val="-65"/>
        </w:rPr>
        <w:t> </w:t>
      </w:r>
      <w:r>
        <w:rPr>
          <w:spacing w:val="-65"/>
        </w:rPr>
      </w:r>
      <w:r>
        <w:rPr>
          <w:spacing w:val="-1"/>
        </w:rPr>
        <w:t>制</w:t>
      </w:r>
      <w:r>
        <w:rPr>
          <w:rFonts w:ascii="Times New Roman" w:hAnsi="Times New Roman" w:cs="Times New Roman" w:eastAsia="Times New Roman" w:hint="default"/>
          <w:spacing w:val="-1"/>
        </w:rPr>
        <w:t>MIS</w:t>
      </w:r>
      <w:r>
        <w:rPr>
          <w:spacing w:val="-1"/>
        </w:rPr>
        <w:t>软件等工程项目的实施及服务管理工作。具有较强的技术管理能力，承担公司工程项目管理体系的建设和维护，对</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24"/>
        </w:rPr>
        <w:t> </w:t>
      </w:r>
      <w:r>
        <w:rPr>
          <w:spacing w:val="-2"/>
        </w:rPr>
        <w:t>行业的工程管理具有深入的理解和丰富的实践经验，具有较强的大型系统集成项目分析和整合规划能力，主持了公司多个重</w:t>
      </w:r>
      <w:r>
        <w:rPr>
          <w:spacing w:val="-64"/>
        </w:rPr>
        <w:t> </w:t>
      </w:r>
      <w:r>
        <w:rPr>
          <w:spacing w:val="-64"/>
        </w:rPr>
      </w:r>
      <w:r>
        <w:rPr/>
        <w:t>点项目的规划、实施工作。现任公司董事、工程中心总经理。</w:t>
      </w:r>
    </w:p>
    <w:p>
      <w:pPr>
        <w:pStyle w:val="BodyText"/>
        <w:spacing w:line="304" w:lineRule="auto" w:before="64"/>
        <w:ind w:right="1073" w:firstLine="360"/>
        <w:jc w:val="left"/>
      </w:pPr>
      <w:r>
        <w:rPr>
          <w:spacing w:val="-2"/>
        </w:rPr>
        <w:t>靳谊：中国国籍，男，</w:t>
      </w:r>
      <w:r>
        <w:rPr>
          <w:rFonts w:ascii="Times New Roman" w:hAnsi="Times New Roman" w:cs="Times New Roman" w:eastAsia="Times New Roman" w:hint="default"/>
          <w:spacing w:val="-2"/>
        </w:rPr>
        <w:t>1975</w:t>
      </w:r>
      <w:r>
        <w:rPr>
          <w:spacing w:val="-2"/>
        </w:rPr>
        <w:t>年生，毕业于武汉理工大学计算机科学与技术专业，专科学历。</w:t>
      </w:r>
      <w:r>
        <w:rPr>
          <w:rFonts w:ascii="Times New Roman" w:hAnsi="Times New Roman" w:cs="Times New Roman" w:eastAsia="Times New Roman" w:hint="default"/>
          <w:spacing w:val="-2"/>
        </w:rPr>
        <w:t>1998</w:t>
      </w:r>
      <w:r>
        <w:rPr>
          <w:spacing w:val="-2"/>
        </w:rPr>
        <w:t>年加入公司，先后担任</w:t>
      </w:r>
      <w:r>
        <w:rPr/>
        <w:t> </w:t>
      </w:r>
      <w:r>
        <w:rPr>
          <w:spacing w:val="-2"/>
        </w:rPr>
        <w:t>工程师、项目经理、资深工程师、副主任工程师、主任工程师、协同管理事业部经理。具有较强的研发管理能力与大型企业</w:t>
      </w:r>
      <w:r>
        <w:rPr>
          <w:spacing w:val="-68"/>
        </w:rPr>
        <w:t> </w:t>
      </w:r>
      <w:r>
        <w:rPr>
          <w:spacing w:val="-68"/>
        </w:rPr>
      </w:r>
      <w:r>
        <w:rPr/>
        <w:t>管理信息系统分析和整合规划能力，负责协同管理业务技术管理以及企业内部信息系统建设工作，主持设计研发了</w:t>
      </w:r>
      <w:r>
        <w:rPr>
          <w:rFonts w:ascii="Times New Roman" w:hAnsi="Times New Roman" w:cs="Times New Roman" w:eastAsia="Times New Roman" w:hint="default"/>
        </w:rPr>
        <w:t>“</w:t>
      </w:r>
      <w:r>
        <w:rPr/>
        <w:t>榕基电 子单证系统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I-TASK</w:t>
      </w:r>
      <w:r>
        <w:rPr/>
        <w:t>任务管理平台</w:t>
      </w:r>
      <w:r>
        <w:rPr>
          <w:rFonts w:ascii="Times New Roman" w:hAnsi="Times New Roman" w:cs="Times New Roman" w:eastAsia="Times New Roman" w:hint="default"/>
        </w:rPr>
        <w:t>”</w:t>
      </w:r>
      <w:r>
        <w:rPr/>
        <w:t>等公司战略产品以及能源、质检等行业十多项软件产品，曾获</w:t>
      </w:r>
      <w:r>
        <w:rPr>
          <w:rFonts w:ascii="Times New Roman" w:hAnsi="Times New Roman" w:cs="Times New Roman" w:eastAsia="Times New Roman" w:hint="default"/>
        </w:rPr>
        <w:t>“</w:t>
      </w:r>
      <w:r>
        <w:rPr/>
        <w:t>福州市科学技术 奖三等奖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福建省优秀信息主管</w:t>
      </w:r>
      <w:r>
        <w:rPr>
          <w:rFonts w:ascii="Times New Roman" w:hAnsi="Times New Roman" w:cs="Times New Roman" w:eastAsia="Times New Roman" w:hint="default"/>
        </w:rPr>
        <w:t>(CIO)</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t>信息化年度贡献人物</w:t>
      </w:r>
      <w:r>
        <w:rPr>
          <w:rFonts w:ascii="Times New Roman" w:hAnsi="Times New Roman" w:cs="Times New Roman" w:eastAsia="Times New Roman" w:hint="default"/>
        </w:rPr>
        <w:t>”</w:t>
      </w:r>
      <w:r>
        <w:rPr/>
        <w:t>。现任公司董事、副总裁、首席信息官、研发总监、 北京中榕基信息技术有限公司总经理。</w:t>
      </w:r>
    </w:p>
    <w:p>
      <w:pPr>
        <w:pStyle w:val="BodyText"/>
        <w:spacing w:line="312" w:lineRule="auto" w:before="68"/>
        <w:ind w:right="1128" w:firstLine="360"/>
        <w:jc w:val="both"/>
      </w:pPr>
      <w:r>
        <w:rPr>
          <w:spacing w:val="-2"/>
        </w:rPr>
        <w:t>刘微芳：中国国籍，中国国籍，女，</w:t>
      </w:r>
      <w:r>
        <w:rPr>
          <w:rFonts w:ascii="Times New Roman" w:hAnsi="Times New Roman" w:cs="Times New Roman" w:eastAsia="Times New Roman" w:hint="default"/>
          <w:spacing w:val="-2"/>
        </w:rPr>
        <w:t>1970</w:t>
      </w:r>
      <w:r>
        <w:rPr>
          <w:spacing w:val="-2"/>
        </w:rPr>
        <w:t>年生，中国党员，研究生学历，中国注册会计师（非执业），中国注册资产评</w:t>
      </w:r>
      <w:r>
        <w:rPr/>
        <w:t> </w:t>
      </w:r>
      <w:r>
        <w:rPr>
          <w:spacing w:val="-2"/>
        </w:rPr>
        <w:t>估师（非执业）。现任福州大学经济与管理学院会计系副教授，硕士生导师，兼任昇兴集团股份有限公司、海欣食品股份有</w:t>
      </w:r>
      <w:r>
        <w:rPr>
          <w:spacing w:val="-68"/>
        </w:rPr>
        <w:t> </w:t>
      </w:r>
      <w:r>
        <w:rPr>
          <w:spacing w:val="-68"/>
        </w:rPr>
      </w:r>
      <w:r>
        <w:rPr>
          <w:spacing w:val="-2"/>
        </w:rPr>
        <w:t>限公司、江苏博信投资控股股份有限公司、好事达（福建）股份有限公司（未上市）独立董事，福建三鑫隆信息科技开发股</w:t>
      </w:r>
      <w:r>
        <w:rPr>
          <w:spacing w:val="-65"/>
        </w:rPr>
        <w:t> </w:t>
      </w:r>
      <w:r>
        <w:rPr>
          <w:spacing w:val="-65"/>
        </w:rPr>
      </w:r>
      <w:r>
        <w:rPr/>
        <w:t>份有限公司董事。现任本公司独立董事。</w:t>
      </w:r>
    </w:p>
    <w:p>
      <w:pPr>
        <w:pStyle w:val="BodyText"/>
        <w:spacing w:line="300" w:lineRule="auto" w:before="62"/>
        <w:ind w:right="1132" w:firstLine="360"/>
        <w:jc w:val="both"/>
      </w:pPr>
      <w:r>
        <w:rPr>
          <w:spacing w:val="-4"/>
        </w:rPr>
        <w:t>黄旭明：中国国籍，男，</w:t>
      </w:r>
      <w:r>
        <w:rPr>
          <w:rFonts w:ascii="Times New Roman" w:hAnsi="Times New Roman" w:cs="Times New Roman" w:eastAsia="Times New Roman" w:hint="default"/>
          <w:spacing w:val="-4"/>
        </w:rPr>
        <w:t>1960</w:t>
      </w:r>
      <w:r>
        <w:rPr>
          <w:spacing w:val="-4"/>
        </w:rPr>
        <w:t>年生，中共党员，本科学历，副教授，工信部计算机信息系统集成企业主评审员。曾任</w:t>
      </w:r>
      <w:r>
        <w:rPr>
          <w:rFonts w:ascii="Times New Roman" w:hAnsi="Times New Roman" w:cs="Times New Roman" w:eastAsia="Times New Roman" w:hint="default"/>
          <w:spacing w:val="-4"/>
        </w:rPr>
        <w:t>“</w:t>
      </w:r>
      <w:r>
        <w:rPr>
          <w:spacing w:val="-4"/>
        </w:rPr>
        <w:t>数</w:t>
      </w:r>
      <w:r>
        <w:rPr/>
        <w:t> 字福建</w:t>
      </w:r>
      <w:r>
        <w:rPr>
          <w:rFonts w:ascii="Times New Roman" w:hAnsi="Times New Roman" w:cs="Times New Roman" w:eastAsia="Times New Roman" w:hint="default"/>
        </w:rPr>
        <w:t>”</w:t>
      </w:r>
      <w:r>
        <w:rPr/>
        <w:t>专家委员会委员、福建师范大学软件人才培养基地主任、福建师范大学信息技术学院主持工作副院长、福建师范大 学应用科技学院副院长。现任福建师范大学数学与计算机科学学院副教授，硕士生导师。现任公司独立董事。</w:t>
      </w:r>
    </w:p>
    <w:p>
      <w:pPr>
        <w:pStyle w:val="BodyText"/>
        <w:spacing w:line="309" w:lineRule="auto" w:before="71"/>
        <w:ind w:left="153" w:right="1130" w:firstLine="360"/>
        <w:jc w:val="both"/>
      </w:pPr>
      <w:r>
        <w:rPr>
          <w:spacing w:val="-1"/>
        </w:rPr>
        <w:t>苏小榕：中国国籍，男，</w:t>
      </w:r>
      <w:r>
        <w:rPr>
          <w:rFonts w:ascii="Times New Roman" w:hAnsi="Times New Roman" w:cs="Times New Roman" w:eastAsia="Times New Roman" w:hint="default"/>
          <w:spacing w:val="-1"/>
        </w:rPr>
        <w:t>1973</w:t>
      </w:r>
      <w:r>
        <w:rPr>
          <w:spacing w:val="-1"/>
        </w:rPr>
        <w:t>年生，中共党员，硕士学历，拓维律师事务所高级合伙人、律师，</w:t>
      </w:r>
      <w:r>
        <w:rPr>
          <w:rFonts w:ascii="Times New Roman" w:hAnsi="Times New Roman" w:cs="Times New Roman" w:eastAsia="Times New Roman" w:hint="default"/>
          <w:spacing w:val="-1"/>
        </w:rPr>
        <w:t>EGLA</w:t>
      </w:r>
      <w:r>
        <w:rPr>
          <w:spacing w:val="-1"/>
        </w:rPr>
        <w:t>全球精品律所联</w:t>
      </w:r>
      <w:r>
        <w:rPr/>
        <w:t> </w:t>
      </w:r>
      <w:r>
        <w:rPr>
          <w:spacing w:val="-2"/>
        </w:rPr>
        <w:t>盟执行委员会副主席，中国法学会财税法学研究会理事会理事，国脉科技股份有限公司独立董事、富春通信股份有限公司独</w:t>
      </w:r>
      <w:r>
        <w:rPr>
          <w:spacing w:val="-66"/>
        </w:rPr>
        <w:t> </w:t>
      </w:r>
      <w:r>
        <w:rPr>
          <w:spacing w:val="-66"/>
        </w:rPr>
      </w:r>
      <w:r>
        <w:rPr/>
        <w:t>立董事。现任公司独立董事。</w:t>
      </w:r>
    </w:p>
    <w:p>
      <w:pPr>
        <w:pStyle w:val="BodyText"/>
        <w:spacing w:line="300" w:lineRule="auto" w:before="65"/>
        <w:ind w:left="153" w:right="1138" w:firstLine="360"/>
        <w:jc w:val="both"/>
      </w:pPr>
      <w:r>
        <w:rPr/>
        <w:t>魏建光：中国国籍，男，</w:t>
      </w:r>
      <w:r>
        <w:rPr>
          <w:rFonts w:ascii="Times New Roman" w:hAnsi="Times New Roman" w:cs="Times New Roman" w:eastAsia="Times New Roman" w:hint="default"/>
        </w:rPr>
        <w:t>1980</w:t>
      </w:r>
      <w:r>
        <w:rPr/>
        <w:t>年生，毕业于福州大学，研究生学历，工商管理硕士。</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月至今就职于公司，现任 榕基软件园福州项目部总经理。</w:t>
      </w:r>
    </w:p>
    <w:p>
      <w:pPr>
        <w:pStyle w:val="BodyText"/>
        <w:spacing w:line="300" w:lineRule="auto" w:before="71"/>
        <w:ind w:left="153" w:right="1128" w:firstLine="360"/>
        <w:jc w:val="both"/>
      </w:pPr>
      <w:r>
        <w:rPr>
          <w:spacing w:val="-2"/>
        </w:rPr>
        <w:t>邬海峰：中国国籍，男，</w:t>
      </w:r>
      <w:r>
        <w:rPr>
          <w:rFonts w:ascii="Times New Roman" w:hAnsi="Times New Roman" w:cs="Times New Roman" w:eastAsia="Times New Roman" w:hint="default"/>
          <w:spacing w:val="-2"/>
        </w:rPr>
        <w:t>1973</w:t>
      </w:r>
      <w:r>
        <w:rPr>
          <w:spacing w:val="-2"/>
        </w:rPr>
        <w:t>年生，毕业于武汉大学电子工程专业，本科学历。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w:t>
      </w:r>
      <w:r>
        <w:rPr>
          <w:spacing w:val="-2"/>
        </w:rPr>
        <w:t>月任职于上海航天</w:t>
      </w:r>
      <w:r>
        <w:rPr/>
        <w:t> 测控通讯研究所，</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月加入公司。曾任工程中心项目经理，现任上海榕基软件开发有限公司副总经理。</w:t>
      </w:r>
    </w:p>
    <w:p>
      <w:pPr>
        <w:pStyle w:val="BodyText"/>
        <w:spacing w:line="309" w:lineRule="auto" w:before="52"/>
        <w:ind w:left="153" w:right="1131" w:firstLine="360"/>
        <w:jc w:val="both"/>
      </w:pPr>
      <w:r>
        <w:rPr>
          <w:spacing w:val="-2"/>
        </w:rPr>
        <w:t>周仁锟：中国国籍，男，</w:t>
      </w:r>
      <w:r>
        <w:rPr>
          <w:rFonts w:ascii="Times New Roman" w:hAnsi="Times New Roman" w:cs="Times New Roman" w:eastAsia="Times New Roman" w:hint="default"/>
          <w:spacing w:val="-2"/>
        </w:rPr>
        <w:t>1976</w:t>
      </w:r>
      <w:r>
        <w:rPr>
          <w:spacing w:val="-2"/>
        </w:rPr>
        <w:t>年生，毕业于中南工业大学管理信息系统专业，本科学历。</w:t>
      </w:r>
      <w:r>
        <w:rPr>
          <w:rFonts w:ascii="Times New Roman" w:hAnsi="Times New Roman" w:cs="Times New Roman" w:eastAsia="Times New Roman" w:hint="default"/>
          <w:spacing w:val="-2"/>
        </w:rPr>
        <w:t>1999</w:t>
      </w:r>
      <w:r>
        <w:rPr>
          <w:spacing w:val="-2"/>
        </w:rPr>
        <w:t>年加入公司，曾任公司项</w:t>
      </w:r>
      <w:r>
        <w:rPr/>
        <w:t> </w:t>
      </w:r>
      <w:r>
        <w:rPr>
          <w:spacing w:val="-2"/>
        </w:rPr>
        <w:t>目经理、资深工程师、副主任工程师。具有较强的项目组织管理和产品研发能力，在管理信息系统、电子政务等领域有着深</w:t>
      </w:r>
      <w:r>
        <w:rPr>
          <w:spacing w:val="-66"/>
        </w:rPr>
        <w:t> </w:t>
      </w:r>
      <w:r>
        <w:rPr>
          <w:spacing w:val="-66"/>
        </w:rPr>
      </w:r>
      <w:r>
        <w:rPr/>
        <w:t>入的技术研究和丰富的实践经验，参与研制了</w:t>
      </w:r>
      <w:r>
        <w:rPr>
          <w:rFonts w:ascii="Times New Roman" w:hAnsi="Times New Roman" w:cs="Times New Roman" w:eastAsia="Times New Roman" w:hint="default"/>
        </w:rPr>
        <w:t>“</w:t>
      </w:r>
      <w:r>
        <w:rPr/>
        <w:t>榕基政务信息化系统（</w:t>
      </w:r>
      <w:r>
        <w:rPr>
          <w:rFonts w:ascii="Times New Roman" w:hAnsi="Times New Roman" w:cs="Times New Roman" w:eastAsia="Times New Roman" w:hint="default"/>
        </w:rPr>
        <w:t>RJ-eGov</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榕基电子公文传输交换系统</w:t>
      </w:r>
    </w:p>
    <w:p>
      <w:pPr>
        <w:pStyle w:val="BodyText"/>
        <w:spacing w:line="300" w:lineRule="auto" w:before="5"/>
        <w:ind w:right="1181"/>
        <w:jc w:val="left"/>
      </w:pPr>
      <w:r>
        <w:rPr/>
        <w:t>（</w:t>
      </w:r>
      <w:r>
        <w:rPr>
          <w:rFonts w:ascii="Times New Roman" w:hAnsi="Times New Roman" w:cs="Times New Roman" w:eastAsia="Times New Roman" w:hint="default"/>
        </w:rPr>
        <w:t>RJ-Exchange</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榕基内容管理系统（</w:t>
      </w:r>
      <w:r>
        <w:rPr>
          <w:rFonts w:ascii="Times New Roman" w:hAnsi="Times New Roman" w:cs="Times New Roman" w:eastAsia="Times New Roman" w:hint="default"/>
        </w:rPr>
        <w:t>RJ-CMS</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榕基法院审判业务管理系统（</w:t>
      </w:r>
      <w:r>
        <w:rPr>
          <w:rFonts w:ascii="Times New Roman" w:hAnsi="Times New Roman" w:cs="Times New Roman" w:eastAsia="Times New Roman" w:hint="default"/>
        </w:rPr>
        <w:t>RJ-Court</w:t>
      </w:r>
      <w:r>
        <w:rPr/>
        <w:t>）</w:t>
      </w:r>
      <w:r>
        <w:rPr>
          <w:rFonts w:ascii="Times New Roman" w:hAnsi="Times New Roman" w:cs="Times New Roman" w:eastAsia="Times New Roman" w:hint="default"/>
        </w:rPr>
        <w:t>”</w:t>
      </w:r>
      <w:r>
        <w:rPr/>
        <w:t>等公司产品，曾获</w:t>
      </w:r>
      <w:r>
        <w:rPr>
          <w:rFonts w:ascii="Times New Roman" w:hAnsi="Times New Roman" w:cs="Times New Roman" w:eastAsia="Times New Roman" w:hint="default"/>
        </w:rPr>
        <w:t>“</w:t>
      </w:r>
      <w:r>
        <w:rPr/>
        <w:t>福建 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w:t>
      </w:r>
      <w:r>
        <w:rPr>
          <w:spacing w:val="-20"/>
        </w:rPr>
        <w:t> </w:t>
      </w:r>
      <w:r>
        <w:rPr/>
        <w:t>现任公司主任工程师。</w:t>
      </w:r>
    </w:p>
    <w:p>
      <w:pPr>
        <w:pStyle w:val="BodyText"/>
        <w:spacing w:line="300" w:lineRule="auto" w:before="53"/>
        <w:ind w:right="1131" w:firstLine="360"/>
        <w:jc w:val="both"/>
      </w:pPr>
      <w:r>
        <w:rPr>
          <w:spacing w:val="-2"/>
        </w:rPr>
        <w:t>万孝雄：中国国籍，男，</w:t>
      </w:r>
      <w:r>
        <w:rPr>
          <w:rFonts w:ascii="Times New Roman" w:hAnsi="Times New Roman" w:cs="Times New Roman" w:eastAsia="Times New Roman" w:hint="default"/>
          <w:spacing w:val="-2"/>
        </w:rPr>
        <w:t>1977</w:t>
      </w:r>
      <w:r>
        <w:rPr>
          <w:spacing w:val="-2"/>
        </w:rPr>
        <w:t>年生，毕业于福州大学，研究生学历，工商管理硕士。</w:t>
      </w:r>
      <w:r>
        <w:rPr>
          <w:rFonts w:ascii="Times New Roman" w:hAnsi="Times New Roman" w:cs="Times New Roman" w:eastAsia="Times New Roman" w:hint="default"/>
          <w:spacing w:val="-2"/>
        </w:rPr>
        <w:t>2001</w:t>
      </w:r>
      <w:r>
        <w:rPr>
          <w:spacing w:val="-2"/>
        </w:rPr>
        <w:t>年加入公司，先后担任研发副</w:t>
      </w:r>
      <w:r>
        <w:rPr/>
        <w:t> </w:t>
      </w:r>
      <w:r>
        <w:rPr>
          <w:spacing w:val="-2"/>
        </w:rPr>
        <w:t>总监，营销总监。具有较强的技术管理能力，负责公司信息安全业务技术管理工作，对信息安全具有深入的理解，具有丰富</w:t>
      </w:r>
    </w:p>
    <w:p>
      <w:pPr>
        <w:spacing w:after="0" w:line="300"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0"/>
        <w:jc w:val="left"/>
      </w:pPr>
      <w:r>
        <w:rPr/>
        <w:t>的安全管理、安全服务、安全培训等实践经验，主持研发了</w:t>
      </w:r>
      <w:r>
        <w:rPr>
          <w:rFonts w:ascii="Times New Roman" w:hAnsi="Times New Roman" w:cs="Times New Roman" w:eastAsia="Times New Roman" w:hint="default"/>
        </w:rPr>
        <w:t>“</w:t>
      </w:r>
      <w:r>
        <w:rPr/>
        <w:t>榕基网络隐患扫描系统（</w:t>
      </w:r>
      <w:r>
        <w:rPr>
          <w:rFonts w:ascii="Times New Roman" w:hAnsi="Times New Roman" w:cs="Times New Roman" w:eastAsia="Times New Roman" w:hint="default"/>
        </w:rPr>
        <w:t>RJ-iTop</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榕基风险管理系统</w:t>
      </w:r>
    </w:p>
    <w:p>
      <w:pPr>
        <w:pStyle w:val="BodyText"/>
        <w:spacing w:line="300" w:lineRule="auto" w:before="63"/>
        <w:ind w:right="1118"/>
        <w:jc w:val="left"/>
      </w:pPr>
      <w:r>
        <w:rPr>
          <w:spacing w:val="-1"/>
        </w:rPr>
        <w:t>（</w:t>
      </w:r>
      <w:r>
        <w:rPr>
          <w:rFonts w:ascii="Times New Roman" w:hAnsi="Times New Roman" w:cs="Times New Roman" w:eastAsia="Times New Roman" w:hint="default"/>
          <w:spacing w:val="-1"/>
        </w:rPr>
        <w:t>RJ-RMS</w:t>
      </w:r>
      <w:r>
        <w:rPr>
          <w:spacing w:val="-1"/>
        </w:rPr>
        <w:t>）</w:t>
      </w:r>
      <w:r>
        <w:rPr>
          <w:rFonts w:ascii="Times New Roman" w:hAnsi="Times New Roman" w:cs="Times New Roman" w:eastAsia="Times New Roman" w:hint="default"/>
          <w:spacing w:val="-1"/>
        </w:rPr>
        <w:t>”</w:t>
      </w:r>
      <w:r>
        <w:rPr>
          <w:spacing w:val="-1"/>
        </w:rPr>
        <w:t>等公司信息安全战略产品，曾获</w:t>
      </w:r>
      <w:r>
        <w:rPr>
          <w:rFonts w:ascii="Times New Roman" w:hAnsi="Times New Roman" w:cs="Times New Roman" w:eastAsia="Times New Roman" w:hint="default"/>
          <w:spacing w:val="-1"/>
        </w:rPr>
        <w:t>“</w:t>
      </w:r>
      <w:r>
        <w:rPr>
          <w:spacing w:val="-1"/>
        </w:rPr>
        <w:t>福建省科学技术奖三等奖</w:t>
      </w:r>
      <w:r>
        <w:rPr>
          <w:rFonts w:ascii="Times New Roman" w:hAnsi="Times New Roman" w:cs="Times New Roman" w:eastAsia="Times New Roman" w:hint="default"/>
          <w:spacing w:val="-1"/>
        </w:rPr>
        <w:t>”</w:t>
      </w:r>
      <w:r>
        <w:rPr>
          <w:spacing w:val="-1"/>
        </w:rPr>
        <w:t>。现任副总裁、公司董事会秘书、福建榕基投资有</w:t>
      </w:r>
      <w:r>
        <w:rPr/>
        <w:t> 限公司总经理、榕基国际控股有限公司董事、福建文鑫莲业有限责任公司董事。</w:t>
      </w:r>
    </w:p>
    <w:p>
      <w:pPr>
        <w:pStyle w:val="BodyText"/>
        <w:spacing w:line="300" w:lineRule="auto" w:before="71"/>
        <w:ind w:right="1030" w:firstLine="360"/>
        <w:jc w:val="left"/>
      </w:pPr>
      <w:r>
        <w:rPr/>
        <w:t>镇千金：中国国籍，女，</w:t>
      </w:r>
      <w:r>
        <w:rPr>
          <w:rFonts w:ascii="Times New Roman" w:hAnsi="Times New Roman" w:cs="Times New Roman" w:eastAsia="Times New Roman" w:hint="default"/>
        </w:rPr>
        <w:t>1978</w:t>
      </w:r>
      <w:r>
        <w:rPr/>
        <w:t>年生，毕业于福州大学，研究生学历，工商管理硕士。</w:t>
      </w:r>
      <w:r>
        <w:rPr>
          <w:rFonts w:ascii="Times New Roman" w:hAnsi="Times New Roman" w:cs="Times New Roman" w:eastAsia="Times New Roman" w:hint="default"/>
        </w:rPr>
        <w:t>2002</w:t>
      </w:r>
      <w:r>
        <w:rPr/>
        <w:t>年加入公司，先后在客服部、 技术部及财务部工作，曾任公司工程师、会计、财务部经理、监事，现任公司财务总监、榕基国际控股有限公司董事。</w:t>
      </w:r>
    </w:p>
    <w:p>
      <w:pPr>
        <w:pStyle w:val="BodyText"/>
        <w:spacing w:line="307" w:lineRule="auto" w:before="72"/>
        <w:ind w:right="1030" w:firstLine="360"/>
        <w:jc w:val="left"/>
      </w:pPr>
      <w:r>
        <w:rPr/>
        <w:t>尚大斌：中国国籍，男，</w:t>
      </w:r>
      <w:r>
        <w:rPr>
          <w:rFonts w:ascii="Times New Roman" w:hAnsi="Times New Roman" w:cs="Times New Roman" w:eastAsia="Times New Roman" w:hint="default"/>
        </w:rPr>
        <w:t>1978</w:t>
      </w:r>
      <w:r>
        <w:rPr/>
        <w:t>年生，毕业于湖北工业大学，本科学历，在读工商管理硕士，工程师。</w:t>
      </w:r>
      <w:r>
        <w:rPr>
          <w:rFonts w:ascii="Times New Roman" w:hAnsi="Times New Roman" w:cs="Times New Roman" w:eastAsia="Times New Roman" w:hint="default"/>
        </w:rPr>
        <w:t>2003</w:t>
      </w:r>
      <w:r>
        <w:rPr/>
        <w:t>年加入公司， 先后担任浙江榕基信息技术有限公司总经理助理、副总经理，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月至今担任浙江榕基信息技术有限公司总经理。具有 </w:t>
      </w:r>
      <w:r>
        <w:rPr>
          <w:spacing w:val="-2"/>
        </w:rPr>
        <w:t>较丰富的团队管理经验，负责浙江榕基信息技术有限公司的管理工作，对政务信息化领域有比较深刻的理解及实践经验。现</w:t>
      </w:r>
      <w:r>
        <w:rPr>
          <w:spacing w:val="-66"/>
        </w:rPr>
        <w:t> </w:t>
      </w:r>
      <w:r>
        <w:rPr>
          <w:spacing w:val="-66"/>
        </w:rPr>
      </w:r>
      <w:r>
        <w:rPr/>
        <w:t>任公司副总裁、浙江榕基信息技术有限公司总经理。</w:t>
      </w:r>
    </w:p>
    <w:p>
      <w:pPr>
        <w:pStyle w:val="BodyText"/>
        <w:spacing w:line="309" w:lineRule="auto" w:before="65"/>
        <w:ind w:right="1131" w:firstLine="360"/>
        <w:jc w:val="both"/>
      </w:pPr>
      <w:r>
        <w:rPr>
          <w:spacing w:val="-2"/>
        </w:rPr>
        <w:t>宾壮兴：中国国籍，男，</w:t>
      </w:r>
      <w:r>
        <w:rPr>
          <w:rFonts w:ascii="Times New Roman" w:hAnsi="Times New Roman" w:cs="Times New Roman" w:eastAsia="Times New Roman" w:hint="default"/>
          <w:spacing w:val="-2"/>
        </w:rPr>
        <w:t>1960</w:t>
      </w:r>
      <w:r>
        <w:rPr>
          <w:spacing w:val="-2"/>
        </w:rPr>
        <w:t>年生，毕业于深圳大学人事管理专业，专科学历。</w:t>
      </w:r>
      <w:r>
        <w:rPr>
          <w:rFonts w:ascii="Times New Roman" w:hAnsi="Times New Roman" w:cs="Times New Roman" w:eastAsia="Times New Roman" w:hint="default"/>
          <w:spacing w:val="-2"/>
        </w:rPr>
        <w:t>2000</w:t>
      </w:r>
      <w:r>
        <w:rPr>
          <w:spacing w:val="-2"/>
        </w:rPr>
        <w:t>年加入公司，先后担任榕基软件深</w:t>
      </w:r>
      <w:r>
        <w:rPr/>
        <w:t> </w:t>
      </w:r>
      <w:r>
        <w:rPr>
          <w:spacing w:val="-2"/>
        </w:rPr>
        <w:t>圳分公司办公室主任、副总经理。长期从事质检行业应用软件产品的开发及推广管理工作，对质检行业的信息化建设有一定</w:t>
      </w:r>
      <w:r>
        <w:rPr>
          <w:spacing w:val="-66"/>
        </w:rPr>
        <w:t> </w:t>
      </w:r>
      <w:r>
        <w:rPr>
          <w:spacing w:val="-66"/>
        </w:rPr>
      </w:r>
      <w:r>
        <w:rPr/>
        <w:t>的了解和丰富的实验经验。具有较强的的市场开拓及企业管理能力。现任公司副总裁、深圳分公司总经理。</w:t>
      </w:r>
    </w:p>
    <w:p>
      <w:pPr>
        <w:pStyle w:val="BodyText"/>
        <w:spacing w:line="300" w:lineRule="auto" w:before="64"/>
        <w:ind w:right="0"/>
        <w:jc w:val="left"/>
      </w:pPr>
      <w:r>
        <w:rPr/>
        <w:t>    </w:t>
      </w:r>
      <w:r>
        <w:rPr>
          <w:spacing w:val="-2"/>
        </w:rPr>
        <w:t>李惠钦：中国国籍，女，</w:t>
      </w:r>
      <w:r>
        <w:rPr>
          <w:rFonts w:ascii="Times New Roman" w:hAnsi="Times New Roman" w:cs="Times New Roman" w:eastAsia="Times New Roman" w:hint="default"/>
          <w:spacing w:val="-2"/>
        </w:rPr>
        <w:t>1975</w:t>
      </w:r>
      <w:r>
        <w:rPr>
          <w:spacing w:val="-2"/>
        </w:rPr>
        <w:t>年生，毕业于闽江学院。</w:t>
      </w:r>
      <w:r>
        <w:rPr>
          <w:rFonts w:ascii="Times New Roman" w:hAnsi="Times New Roman" w:cs="Times New Roman" w:eastAsia="Times New Roman" w:hint="default"/>
          <w:spacing w:val="-2"/>
        </w:rPr>
        <w:t>1997</w:t>
      </w:r>
      <w:r>
        <w:rPr>
          <w:spacing w:val="-2"/>
        </w:rPr>
        <w:t>年加入公司，先后担任行政部经理、总裁助理，长期从事市</w:t>
      </w:r>
      <w:r>
        <w:rPr/>
        <w:t> 场开拓工作。现任公司副总裁。</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2239"/>
        <w:jc w:val="left"/>
      </w:pPr>
      <w:r>
        <w:rPr/>
        <w:t>在股东单位任职情况</w:t>
      </w:r>
    </w:p>
    <w:p>
      <w:pPr>
        <w:pStyle w:val="BodyText"/>
        <w:spacing w:line="340" w:lineRule="auto" w:before="115"/>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福州大学经济与管理学院会计系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昇兴集团股份有限公司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海欣食品股份有限公司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江苏博信投资控股股份有限公司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好事达（福建）股份有限公司（未上市）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福建三鑫隆信息科技开发股份有限公司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福建师范大学数学与计算机科学学院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EGLA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全球精品律所联盟执行委员会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中国法学会财税法学研究会理事会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国脉科技股份有限公司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富春通信股份有限公司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福建文鑫莲业有限责任公司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2239"/>
        <w:jc w:val="left"/>
      </w:pPr>
      <w:r>
        <w:rPr/>
        <w:t>公司现任及报告期内离任董事、监事和高级管理人员近三年证券监管机构处罚的情况</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报告期内公司根据《公司章程》及《公司董事会薪酬与考核委员会实施细则》，结合公司经营规模等实际情况并参照行</w:t>
      </w:r>
    </w:p>
    <w:p>
      <w:pPr>
        <w:pStyle w:val="BodyText"/>
        <w:spacing w:line="237" w:lineRule="exact"/>
        <w:ind w:left="153" w:right="0"/>
        <w:jc w:val="left"/>
      </w:pPr>
      <w:r>
        <w:rPr/>
        <w:t>业薪酬水平，制定《公司</w:t>
      </w:r>
      <w:r>
        <w:rPr>
          <w:rFonts w:ascii="Times New Roman" w:hAnsi="Times New Roman" w:cs="Times New Roman" w:eastAsia="Times New Roman" w:hint="default"/>
        </w:rPr>
        <w:t>2018</w:t>
      </w:r>
      <w:r>
        <w:rPr/>
        <w:t>年度董事、高级管理人员薪酬方案》，并由公司第四届董事会第九次会议及公司</w:t>
      </w:r>
      <w:r>
        <w:rPr>
          <w:rFonts w:ascii="Times New Roman" w:hAnsi="Times New Roman" w:cs="Times New Roman" w:eastAsia="Times New Roman" w:hint="default"/>
        </w:rPr>
        <w:t>2017</w:t>
      </w:r>
      <w:r>
        <w:rPr/>
        <w:t>年度股东</w:t>
      </w:r>
    </w:p>
    <w:p>
      <w:pPr>
        <w:pStyle w:val="BodyText"/>
        <w:spacing w:line="360" w:lineRule="auto" w:before="63"/>
        <w:ind w:left="153" w:right="6791"/>
        <w:jc w:val="left"/>
      </w:pPr>
      <w:r>
        <w:rPr/>
        <w:t>大会审议通过后执行。 公司报告期内董事、监事和高级管理人员报酬情况</w:t>
      </w:r>
    </w:p>
    <w:p>
      <w:pPr>
        <w:pStyle w:val="BodyText"/>
        <w:spacing w:line="240" w:lineRule="auto" w:before="26"/>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副董事长、常务 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公司董事、高级管理人员报告期内被授予的股权激励情况</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1,026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公司严格按照《中华人民共和国劳动合同法》和有关劳动法律法规的规定，向员工提供稳定而具有竞争力的薪酬，以充</w:t>
      </w:r>
      <w:r>
        <w:rPr/>
        <w:t> 分调动员工的积极性和创造性。</w:t>
      </w:r>
    </w:p>
    <w:p>
      <w:pPr>
        <w:pStyle w:val="BodyText"/>
        <w:spacing w:line="316" w:lineRule="auto" w:before="19"/>
        <w:ind w:left="153" w:right="1128"/>
        <w:jc w:val="both"/>
      </w:pPr>
      <w:r>
        <w:rPr/>
        <w:t>报告期内，职工薪酬总额（计入成本部分）为</w:t>
      </w:r>
      <w:r>
        <w:rPr>
          <w:spacing w:val="-50"/>
        </w:rPr>
        <w:t> </w:t>
      </w:r>
      <w:r>
        <w:rPr/>
        <w:t>657.18</w:t>
      </w:r>
      <w:r>
        <w:rPr>
          <w:spacing w:val="-50"/>
        </w:rPr>
        <w:t> </w:t>
      </w:r>
      <w:r>
        <w:rPr/>
        <w:t>万元，占公司营业成本的</w:t>
      </w:r>
      <w:r>
        <w:rPr>
          <w:spacing w:val="-50"/>
        </w:rPr>
        <w:t> </w:t>
      </w:r>
      <w:r>
        <w:rPr/>
        <w:t>1.21%。截至</w:t>
      </w:r>
      <w:r>
        <w:rPr>
          <w:spacing w:val="-50"/>
        </w:rPr>
        <w:t> </w:t>
      </w:r>
      <w:r>
        <w:rPr/>
        <w:t>2018</w:t>
      </w:r>
      <w:r>
        <w:rPr>
          <w:spacing w:val="-50"/>
        </w:rPr>
        <w:t> </w:t>
      </w:r>
      <w:r>
        <w:rPr/>
        <w:t>年</w:t>
      </w:r>
      <w:r>
        <w:rPr>
          <w:spacing w:val="-49"/>
        </w:rPr>
        <w:t> </w:t>
      </w:r>
      <w:r>
        <w:rPr/>
        <w:t>12</w:t>
      </w:r>
      <w:r>
        <w:rPr>
          <w:spacing w:val="-50"/>
        </w:rPr>
        <w:t> </w:t>
      </w:r>
      <w:r>
        <w:rPr/>
        <w:t>月</w:t>
      </w:r>
      <w:r>
        <w:rPr>
          <w:spacing w:val="-50"/>
        </w:rPr>
        <w:t> </w:t>
      </w:r>
      <w:r>
        <w:rPr/>
        <w:t>31</w:t>
      </w:r>
      <w:r>
        <w:rPr>
          <w:spacing w:val="-50"/>
        </w:rPr>
        <w:t> </w:t>
      </w:r>
      <w:r>
        <w:rPr/>
        <w:t>日，公司核心</w:t>
      </w:r>
      <w:r>
        <w:rPr/>
        <w:t> 技术人员为</w:t>
      </w:r>
      <w:r>
        <w:rPr>
          <w:spacing w:val="-44"/>
        </w:rPr>
        <w:t> </w:t>
      </w:r>
      <w:r>
        <w:rPr/>
        <w:t>6</w:t>
      </w:r>
      <w:r>
        <w:rPr>
          <w:spacing w:val="-45"/>
        </w:rPr>
        <w:t> </w:t>
      </w:r>
      <w:r>
        <w:rPr/>
        <w:t>人，占全体员工人数的</w:t>
      </w:r>
      <w:r>
        <w:rPr>
          <w:spacing w:val="-44"/>
        </w:rPr>
        <w:t> </w:t>
      </w:r>
      <w:r>
        <w:rPr/>
        <w:t>0.58%，上年同期核心技术人员为</w:t>
      </w:r>
      <w:r>
        <w:rPr>
          <w:spacing w:val="-44"/>
        </w:rPr>
        <w:t> </w:t>
      </w:r>
      <w:r>
        <w:rPr/>
        <w:t>6</w:t>
      </w:r>
      <w:r>
        <w:rPr>
          <w:spacing w:val="-44"/>
        </w:rPr>
        <w:t> </w:t>
      </w:r>
      <w:r>
        <w:rPr/>
        <w:t>人，占全体员工人数的</w:t>
      </w:r>
      <w:r>
        <w:rPr>
          <w:spacing w:val="-44"/>
        </w:rPr>
        <w:t> </w:t>
      </w:r>
      <w:r>
        <w:rPr/>
        <w:t>0.58%；截至报告期末，核</w:t>
      </w:r>
      <w:r>
        <w:rPr/>
        <w:t> 心技术人员薪酬占全体员工薪酬的</w:t>
      </w:r>
      <w:r>
        <w:rPr>
          <w:spacing w:val="-46"/>
        </w:rPr>
        <w:t> </w:t>
      </w:r>
      <w:r>
        <w:rPr/>
        <w:t>1.58%，上年同期为</w:t>
      </w:r>
      <w:r>
        <w:rPr>
          <w:spacing w:val="-46"/>
        </w:rPr>
        <w:t> </w:t>
      </w:r>
      <w:r>
        <w:rPr/>
        <w:t>1.44%。 </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公司非常注重员工的培训工作，积极寻求各种培训资源和渠道，搭建完善的培训体系，包括新员工入职培训、在职人员</w:t>
      </w:r>
      <w:r>
        <w:rPr/>
        <w:t> </w:t>
      </w:r>
      <w:r>
        <w:rPr>
          <w:spacing w:val="-2"/>
        </w:rPr>
        <w:t>业务培训、管理者提升培训、普法培训、安全培训等。通过培训提高业务能力和管理水平，既能促进公司整体战略目标的实</w:t>
      </w:r>
      <w:r>
        <w:rPr>
          <w:spacing w:val="-66"/>
        </w:rPr>
        <w:t> </w:t>
      </w:r>
      <w:r>
        <w:rPr>
          <w:spacing w:val="-66"/>
        </w:rPr>
      </w:r>
      <w:r>
        <w:rPr/>
        <w:t>施，又能满足员工个人能力和职业发展的需求，实现企业和员工的双赢。 </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right="1471"/>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360"/>
        <w:jc w:val="both"/>
      </w:pPr>
      <w:r>
        <w:rPr>
          <w:spacing w:val="-2"/>
        </w:rPr>
        <w:t>报告期内，公司严格按照《公司法》、《证券法》、《上市公司治理准则》、《深圳证券交易所上市规则》、《深圳证</w:t>
      </w:r>
      <w:r>
        <w:rPr/>
        <w:t> </w:t>
      </w:r>
      <w:r>
        <w:rPr>
          <w:spacing w:val="-2"/>
        </w:rPr>
        <w:t>券交易所中小板上市公司规范运作指引》等法律、行政法规、部门规章、规范性文件的要求，完善公司治理机构，建立健全</w:t>
      </w:r>
      <w:r>
        <w:rPr>
          <w:spacing w:val="-68"/>
        </w:rPr>
        <w:t> </w:t>
      </w:r>
      <w:r>
        <w:rPr>
          <w:spacing w:val="-68"/>
        </w:rPr>
      </w:r>
      <w:r>
        <w:rPr/>
        <w:t>内部管理和控制制度，不断提高公司的治理水平。</w:t>
      </w:r>
    </w:p>
    <w:p>
      <w:pPr>
        <w:pStyle w:val="BodyText"/>
        <w:spacing w:line="319" w:lineRule="auto" w:before="58"/>
        <w:ind w:left="153" w:right="0"/>
        <w:jc w:val="left"/>
      </w:pPr>
      <w:r>
        <w:rPr/>
        <w:t>    </w:t>
      </w:r>
      <w:r>
        <w:rPr>
          <w:spacing w:val="-2"/>
        </w:rPr>
        <w:t>公司建立完善了以股东大会为最高权力机构、董事会为决策机构、董事会专业委员会为决策支持机构、监事会为监督机</w:t>
      </w:r>
      <w:r>
        <w:rPr/>
        <w:t> </w:t>
      </w:r>
      <w:r>
        <w:rPr>
          <w:spacing w:val="-7"/>
        </w:rPr>
        <w:t>构、经理层及各子公司为执行机构的治理结构，完善了公司《章程》、《公司股东大会议事规则》、《公司董事会议事规则》、</w:t>
      </w:r>
    </w:p>
    <w:p>
      <w:pPr>
        <w:pStyle w:val="BodyText"/>
        <w:spacing w:line="316" w:lineRule="auto" w:before="17"/>
        <w:ind w:left="153" w:right="0"/>
        <w:jc w:val="left"/>
      </w:pPr>
      <w:r>
        <w:rPr>
          <w:spacing w:val="-2"/>
        </w:rPr>
        <w:t>《公司监事会议事规则》、《公司总裁工作细则》及各专业委员会工作细则等基本管理制度。公司股东大会、董事会、监事</w:t>
      </w:r>
      <w:r>
        <w:rPr>
          <w:spacing w:val="-65"/>
        </w:rPr>
        <w:t> </w:t>
      </w:r>
      <w:r>
        <w:rPr>
          <w:spacing w:val="-65"/>
        </w:rPr>
      </w:r>
      <w:r>
        <w:rPr>
          <w:spacing w:val="-4"/>
        </w:rPr>
        <w:t>会和经营管理层责权分明、各司其职、有效制衡、科学决策、协调运营，为公司持续、稳定、健康地发展奠定了坚实的基础。</w:t>
      </w:r>
      <w:r>
        <w:rPr>
          <w:spacing w:val="-48"/>
        </w:rPr>
        <w:t> </w:t>
      </w:r>
      <w:r>
        <w:rPr>
          <w:spacing w:val="-48"/>
        </w:rPr>
      </w:r>
      <w:r>
        <w:rPr/>
        <w:t>截至报告期末，公司治理的实际状况符合前述法律、行政法规、部门规章、规范性文件关于上市公司治理的相关要求。</w:t>
      </w:r>
    </w:p>
    <w:p>
      <w:pPr>
        <w:pStyle w:val="BodyText"/>
        <w:spacing w:line="240" w:lineRule="auto" w:before="58"/>
        <w:ind w:left="153" w:right="2239"/>
        <w:jc w:val="left"/>
      </w:pPr>
      <w:r>
        <w:rPr/>
        <w:t>公司治理的实际状况与中国证监会发布的有关上市公司治理的规范性文件是否存在重大差异</w:t>
      </w:r>
    </w:p>
    <w:p>
      <w:pPr>
        <w:pStyle w:val="BodyText"/>
        <w:spacing w:line="340" w:lineRule="auto" w:before="116"/>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2239"/>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8" w:firstLine="360"/>
        <w:jc w:val="both"/>
      </w:pPr>
      <w:r>
        <w:rPr/>
        <w:t>公司严格按照《公司法》和《公司章程》规范运作，逐步建立健全公司的法人治理结构，在业务、资产、人员、机构、 财务等方面均具备独立运营能力。</w:t>
      </w:r>
    </w:p>
    <w:p>
      <w:pPr>
        <w:pStyle w:val="BodyText"/>
        <w:spacing w:line="314" w:lineRule="auto" w:before="58"/>
        <w:ind w:left="153" w:right="1128" w:firstLine="360"/>
        <w:jc w:val="both"/>
      </w:pPr>
      <w:r>
        <w:rPr>
          <w:rFonts w:ascii="Times New Roman" w:hAnsi="Times New Roman" w:cs="Times New Roman" w:eastAsia="Times New Roman" w:hint="default"/>
        </w:rPr>
        <w:t>1</w:t>
      </w:r>
      <w:r>
        <w:rPr/>
        <w:t>、业务独立情况本公司主营业务为软件产品的开发与销售、计算机系统集成及技术支持与服务。公司独立进行产品的 </w:t>
      </w:r>
      <w:r>
        <w:rPr>
          <w:spacing w:val="-2"/>
        </w:rPr>
        <w:t>技术研发、生产和销售，具有独立的软件开发技术，拥有具有自主知识产权的软件产品，拥有独立的注册商标，具备相关业</w:t>
      </w:r>
      <w:r>
        <w:rPr>
          <w:spacing w:val="-66"/>
        </w:rPr>
        <w:t> </w:t>
      </w:r>
      <w:r>
        <w:rPr>
          <w:spacing w:val="-66"/>
        </w:rPr>
      </w:r>
      <w:r>
        <w:rPr>
          <w:spacing w:val="-2"/>
        </w:rPr>
        <w:t>务市场的准入资质。公司已建立了完整的职能部门架构，拥有独立的采购、生产、销售和研发系统，能独立开展业务；公司</w:t>
      </w:r>
      <w:r>
        <w:rPr>
          <w:spacing w:val="-67"/>
        </w:rPr>
        <w:t> </w:t>
      </w:r>
      <w:r>
        <w:rPr>
          <w:spacing w:val="-67"/>
        </w:rPr>
      </w:r>
      <w:r>
        <w:rPr>
          <w:spacing w:val="-2"/>
        </w:rPr>
        <w:t>生产经营所需技术为公司合法独立拥有，没有产权争议；公司独立对外签订所有合同，具有独立生产经营决策，独立从事生</w:t>
      </w:r>
      <w:r>
        <w:rPr>
          <w:spacing w:val="-66"/>
        </w:rPr>
        <w:t> </w:t>
      </w:r>
      <w:r>
        <w:rPr>
          <w:spacing w:val="-66"/>
        </w:rPr>
      </w:r>
      <w:r>
        <w:rPr/>
        <w:t>产经营活动的能力，所有业务环节不存在依赖控股股东及主要股东的情况。</w:t>
      </w:r>
    </w:p>
    <w:p>
      <w:pPr>
        <w:pStyle w:val="BodyText"/>
        <w:spacing w:line="307" w:lineRule="auto" w:before="60"/>
        <w:ind w:left="153" w:right="0" w:firstLine="360"/>
        <w:jc w:val="left"/>
      </w:pPr>
      <w:r>
        <w:rPr>
          <w:rFonts w:ascii="Times New Roman" w:hAnsi="Times New Roman" w:cs="Times New Roman" w:eastAsia="Times New Roman" w:hint="default"/>
        </w:rPr>
        <w:t>2</w:t>
      </w:r>
      <w:r>
        <w:rPr/>
        <w:t>、人员独立情况本公司的研发、生产、采购、销售和行政管理人员均完全独立。截至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日，本公司共有正 式员工</w:t>
      </w:r>
      <w:r>
        <w:rPr>
          <w:rFonts w:ascii="Times New Roman" w:hAnsi="Times New Roman" w:cs="Times New Roman" w:eastAsia="Times New Roman" w:hint="default"/>
        </w:rPr>
        <w:t>1,026</w:t>
      </w:r>
      <w:r>
        <w:rPr/>
        <w:t>人，均与公司签订了劳动聘用合同，公司根据工资管理制度发放工资。公司总裁、副总裁、财务负责人、董事 会秘书及核心技术人员均专职于公司工作，并领取报酬，目前并无在持有公司</w:t>
      </w:r>
      <w:r>
        <w:rPr>
          <w:rFonts w:ascii="Times New Roman" w:hAnsi="Times New Roman" w:cs="Times New Roman" w:eastAsia="Times New Roman" w:hint="default"/>
        </w:rPr>
        <w:t>5%</w:t>
      </w:r>
      <w:r>
        <w:rPr/>
        <w:t>以上股份的股东下属企业担任董事、监事 </w:t>
      </w:r>
      <w:r>
        <w:rPr>
          <w:spacing w:val="-4"/>
        </w:rPr>
        <w:t>以外的其他职务的情况。公司董事、监事及其他高级管理人员均依《公司法》、《公司章程》等规定的合法程序选举或聘任，</w:t>
      </w:r>
      <w:r>
        <w:rPr>
          <w:spacing w:val="-47"/>
        </w:rPr>
        <w:t> </w:t>
      </w:r>
      <w:r>
        <w:rPr>
          <w:spacing w:val="-47"/>
        </w:rPr>
      </w:r>
      <w:r>
        <w:rPr>
          <w:spacing w:val="-2"/>
        </w:rPr>
        <w:t>公司具有独立的人事任免权力，不存在控股股东及主要股东干预公司董事会和股东大会，或是超越董事会和股东大会做出人</w:t>
      </w:r>
      <w:r>
        <w:rPr>
          <w:spacing w:val="-64"/>
        </w:rPr>
        <w:t> </w:t>
      </w:r>
      <w:r>
        <w:rPr>
          <w:spacing w:val="-64"/>
        </w:rPr>
      </w:r>
      <w:r>
        <w:rPr/>
        <w:t>事任免决定的情况。</w:t>
      </w:r>
    </w:p>
    <w:p>
      <w:pPr>
        <w:pStyle w:val="BodyText"/>
        <w:spacing w:line="312" w:lineRule="auto" w:before="67"/>
        <w:ind w:left="153" w:right="1128" w:firstLine="360"/>
        <w:jc w:val="both"/>
      </w:pPr>
      <w:r>
        <w:rPr>
          <w:rFonts w:ascii="Times New Roman" w:hAnsi="Times New Roman" w:cs="Times New Roman" w:eastAsia="Times New Roman" w:hint="default"/>
        </w:rPr>
        <w:t>3</w:t>
      </w:r>
      <w:r>
        <w:rPr/>
        <w:t>、资产独立情况公司资产与股东资产严格分开，权属明确，并完全独立运营，公司目前业务和生产经营必需的机器设 </w:t>
      </w:r>
      <w:r>
        <w:rPr>
          <w:spacing w:val="-2"/>
        </w:rPr>
        <w:t>备、房屋、土地使用权、商标、专利及其他资产的权属完全由公司独立享有，不存在与股东共用的情况。公司对所有资产拥</w:t>
      </w:r>
      <w:r>
        <w:rPr>
          <w:spacing w:val="-68"/>
        </w:rPr>
        <w:t> </w:t>
      </w:r>
      <w:r>
        <w:rPr>
          <w:spacing w:val="-68"/>
        </w:rPr>
      </w:r>
      <w:r>
        <w:rPr>
          <w:spacing w:val="-2"/>
        </w:rPr>
        <w:t>有完全的控制和支配权，不存在资产、资金被股东占用而损害公司利益的情况。公司不存在为股东和其他个人提供担保的情</w:t>
      </w:r>
      <w:r>
        <w:rPr>
          <w:spacing w:val="-66"/>
        </w:rPr>
        <w:t> </w:t>
      </w:r>
      <w:r>
        <w:rPr>
          <w:spacing w:val="-66"/>
        </w:rPr>
      </w:r>
      <w:r>
        <w:rPr/>
        <w:t>形。</w:t>
      </w:r>
    </w:p>
    <w:p>
      <w:pPr>
        <w:pStyle w:val="BodyText"/>
        <w:spacing w:line="300" w:lineRule="auto" w:before="62"/>
        <w:ind w:left="153" w:right="1138" w:firstLine="360"/>
        <w:jc w:val="both"/>
      </w:pPr>
      <w:r>
        <w:rPr>
          <w:rFonts w:ascii="Times New Roman" w:hAnsi="Times New Roman" w:cs="Times New Roman" w:eastAsia="Times New Roman" w:hint="default"/>
        </w:rPr>
        <w:t>4</w:t>
      </w:r>
      <w:r>
        <w:rPr/>
        <w:t>、机构独立情况公司设有独立的职能部门，组织结构健全，独立运作，在机构设置上完全分开，不存在与控股股东混 合经营、合署办公等情况。</w:t>
      </w:r>
    </w:p>
    <w:p>
      <w:pPr>
        <w:pStyle w:val="BodyText"/>
        <w:spacing w:line="312" w:lineRule="auto" w:before="71"/>
        <w:ind w:left="153" w:right="1128" w:firstLine="360"/>
        <w:jc w:val="both"/>
      </w:pPr>
      <w:r>
        <w:rPr>
          <w:rFonts w:ascii="Times New Roman" w:hAnsi="Times New Roman" w:cs="Times New Roman" w:eastAsia="Times New Roman" w:hint="default"/>
        </w:rPr>
        <w:t>5</w:t>
      </w:r>
      <w:r>
        <w:rPr/>
        <w:t>、财务独立情况公司设立了独立的财务部门，配备了专职财务人员，建立了独立的会计核算体系。公司具有独立作出 </w:t>
      </w:r>
      <w:r>
        <w:rPr>
          <w:spacing w:val="-2"/>
        </w:rPr>
        <w:t>财务决策的能力。公司经营活动和重大资产处置行为的财务会计处理，均以股东大会决议、董事会决议及相关合同文本为依</w:t>
      </w:r>
      <w:r>
        <w:rPr>
          <w:spacing w:val="-66"/>
        </w:rPr>
        <w:t> </w:t>
      </w:r>
      <w:r>
        <w:rPr>
          <w:spacing w:val="-66"/>
        </w:rPr>
      </w:r>
      <w:r>
        <w:rPr>
          <w:spacing w:val="-2"/>
        </w:rPr>
        <w:t>据，未出现股东干预公司财务部门业务开展的情形。公司对所拥有资产有完全控制支配权，不存在股东占用公司资产而损害</w:t>
      </w:r>
      <w:r>
        <w:rPr>
          <w:spacing w:val="-66"/>
        </w:rPr>
        <w:t> </w:t>
      </w:r>
      <w:r>
        <w:rPr>
          <w:spacing w:val="-66"/>
        </w:rPr>
      </w:r>
      <w:r>
        <w:rPr/>
        <w:t>公司利益的情况。公司独立纳税，独立开设银行账户。</w:t>
      </w:r>
    </w:p>
    <w:p>
      <w:pPr>
        <w:spacing w:after="0" w:line="312" w:lineRule="auto"/>
        <w:jc w:val="both"/>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3"/>
              <w:jc w:val="left"/>
              <w:rPr>
                <w:rFonts w:ascii="Times New Roman" w:hAnsi="Times New Roman" w:cs="Times New Roman" w:eastAsia="Times New Roman" w:hint="default"/>
                <w:sz w:val="18"/>
                <w:szCs w:val="18"/>
              </w:rPr>
            </w:pPr>
            <w:hyperlink r:id="rId20">
              <w:r>
                <w:rPr>
                  <w:rFonts w:ascii="Times New Roman"/>
                  <w:sz w:val="18"/>
                </w:rPr>
                <w:t>http://www.cninfo.co</w:t>
              </w:r>
            </w:hyperlink>
            <w:r>
              <w:rPr>
                <w:rFonts w:ascii="Times New Roman"/>
                <w:w w:val="100"/>
                <w:sz w:val="18"/>
              </w:rPr>
              <w:t> </w:t>
            </w:r>
            <w:r>
              <w:rPr>
                <w:rFonts w:ascii="Times New Roman"/>
                <w:sz w:val="18"/>
              </w:rPr>
              <w:t>m.cn/new/disclosure/</w:t>
            </w:r>
            <w:r>
              <w:rPr>
                <w:rFonts w:ascii="Times New Roman"/>
                <w:w w:val="100"/>
                <w:sz w:val="18"/>
              </w:rPr>
              <w:t> </w:t>
            </w:r>
            <w:r>
              <w:rPr>
                <w:rFonts w:ascii="Times New Roman"/>
                <w:sz w:val="18"/>
              </w:rPr>
              <w:t>detail?plate=szse&amp;st</w:t>
            </w:r>
            <w:r>
              <w:rPr>
                <w:rFonts w:ascii="Times New Roman"/>
                <w:w w:val="100"/>
                <w:sz w:val="18"/>
              </w:rPr>
              <w:t> </w:t>
            </w:r>
            <w:r>
              <w:rPr>
                <w:rFonts w:ascii="Times New Roman"/>
                <w:sz w:val="18"/>
              </w:rPr>
              <w:t>ockCode=002474&amp;a</w:t>
            </w:r>
            <w:r>
              <w:rPr>
                <w:rFonts w:ascii="Times New Roman"/>
                <w:w w:val="100"/>
                <w:sz w:val="18"/>
              </w:rPr>
              <w:t> </w:t>
            </w:r>
            <w:r>
              <w:rPr>
                <w:rFonts w:ascii="Times New Roman"/>
                <w:sz w:val="18"/>
              </w:rPr>
              <w:t>nnouncementId=120</w:t>
            </w:r>
            <w:r>
              <w:rPr>
                <w:rFonts w:ascii="Times New Roman"/>
                <w:w w:val="100"/>
                <w:sz w:val="18"/>
              </w:rPr>
              <w:t> </w:t>
            </w:r>
            <w:r>
              <w:rPr>
                <w:rFonts w:ascii="Times New Roman"/>
                <w:sz w:val="18"/>
              </w:rPr>
              <w:t>4352122&amp;announce</w:t>
            </w:r>
            <w:r>
              <w:rPr>
                <w:rFonts w:ascii="Times New Roman"/>
                <w:w w:val="100"/>
                <w:sz w:val="18"/>
              </w:rPr>
              <w:t> </w:t>
            </w:r>
            <w:r>
              <w:rPr>
                <w:rFonts w:ascii="Times New Roman"/>
                <w:sz w:val="18"/>
              </w:rPr>
              <w:t>mentTime=2018-01-</w:t>
            </w:r>
            <w:r>
              <w:rPr>
                <w:rFonts w:ascii="Times New Roman"/>
                <w:w w:val="100"/>
                <w:sz w:val="18"/>
              </w:rPr>
              <w:t> </w:t>
            </w:r>
            <w:r>
              <w:rPr>
                <w:rFonts w:ascii="Times New Roman"/>
                <w:sz w:val="18"/>
              </w:rPr>
              <w:t>23</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3"/>
              <w:jc w:val="left"/>
              <w:rPr>
                <w:rFonts w:ascii="Times New Roman" w:hAnsi="Times New Roman" w:cs="Times New Roman" w:eastAsia="Times New Roman" w:hint="default"/>
                <w:sz w:val="18"/>
                <w:szCs w:val="18"/>
              </w:rPr>
            </w:pPr>
            <w:hyperlink r:id="rId20">
              <w:r>
                <w:rPr>
                  <w:rFonts w:ascii="Times New Roman"/>
                  <w:sz w:val="18"/>
                </w:rPr>
                <w:t>http://www.cninfo.co</w:t>
              </w:r>
            </w:hyperlink>
            <w:r>
              <w:rPr>
                <w:rFonts w:ascii="Times New Roman"/>
                <w:w w:val="100"/>
                <w:sz w:val="18"/>
              </w:rPr>
              <w:t> </w:t>
            </w:r>
            <w:r>
              <w:rPr>
                <w:rFonts w:ascii="Times New Roman"/>
                <w:sz w:val="18"/>
              </w:rPr>
              <w:t>m.cn/new/disclosure/</w:t>
            </w:r>
            <w:r>
              <w:rPr>
                <w:rFonts w:ascii="Times New Roman"/>
                <w:w w:val="100"/>
                <w:sz w:val="18"/>
              </w:rPr>
              <w:t> </w:t>
            </w:r>
            <w:r>
              <w:rPr>
                <w:rFonts w:ascii="Times New Roman"/>
                <w:sz w:val="18"/>
              </w:rPr>
              <w:t>detail?plate=szse&amp;st</w:t>
            </w:r>
            <w:r>
              <w:rPr>
                <w:rFonts w:ascii="Times New Roman"/>
                <w:w w:val="100"/>
                <w:sz w:val="18"/>
              </w:rPr>
              <w:t> </w:t>
            </w:r>
            <w:r>
              <w:rPr>
                <w:rFonts w:ascii="Times New Roman"/>
                <w:sz w:val="18"/>
              </w:rPr>
              <w:t>ockCode=002474&amp;a</w:t>
            </w:r>
            <w:r>
              <w:rPr>
                <w:rFonts w:ascii="Times New Roman"/>
                <w:w w:val="100"/>
                <w:sz w:val="18"/>
              </w:rPr>
              <w:t> </w:t>
            </w:r>
            <w:r>
              <w:rPr>
                <w:rFonts w:ascii="Times New Roman"/>
                <w:sz w:val="18"/>
              </w:rPr>
              <w:t>nnouncementId=120</w:t>
            </w:r>
            <w:r>
              <w:rPr>
                <w:rFonts w:ascii="Times New Roman"/>
                <w:w w:val="100"/>
                <w:sz w:val="18"/>
              </w:rPr>
              <w:t> </w:t>
            </w:r>
            <w:r>
              <w:rPr>
                <w:rFonts w:ascii="Times New Roman"/>
                <w:sz w:val="18"/>
              </w:rPr>
              <w:t>4802301&amp;announce</w:t>
            </w:r>
            <w:r>
              <w:rPr>
                <w:rFonts w:ascii="Times New Roman"/>
                <w:w w:val="100"/>
                <w:sz w:val="18"/>
              </w:rPr>
              <w:t> </w:t>
            </w:r>
            <w:r>
              <w:rPr>
                <w:rFonts w:ascii="Times New Roman"/>
                <w:sz w:val="18"/>
              </w:rPr>
              <w:t>mentTime=2018-04-</w:t>
            </w:r>
            <w:r>
              <w:rPr>
                <w:rFonts w:ascii="Times New Roman"/>
                <w:w w:val="100"/>
                <w:sz w:val="18"/>
              </w:rPr>
              <w:t> </w:t>
            </w:r>
            <w:r>
              <w:rPr>
                <w:rFonts w:ascii="Times New Roman"/>
                <w:sz w:val="18"/>
              </w:rPr>
              <w:t>27</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23"/>
              <w:jc w:val="left"/>
              <w:rPr>
                <w:rFonts w:ascii="Times New Roman" w:hAnsi="Times New Roman" w:cs="Times New Roman" w:eastAsia="Times New Roman" w:hint="default"/>
                <w:sz w:val="18"/>
                <w:szCs w:val="18"/>
              </w:rPr>
            </w:pPr>
            <w:hyperlink r:id="rId20">
              <w:r>
                <w:rPr>
                  <w:rFonts w:ascii="Times New Roman"/>
                  <w:sz w:val="18"/>
                </w:rPr>
                <w:t>http://www.cninfo.co</w:t>
              </w:r>
            </w:hyperlink>
            <w:r>
              <w:rPr>
                <w:rFonts w:ascii="Times New Roman"/>
                <w:w w:val="100"/>
                <w:sz w:val="18"/>
              </w:rPr>
              <w:t> </w:t>
            </w:r>
            <w:r>
              <w:rPr>
                <w:rFonts w:ascii="Times New Roman"/>
                <w:sz w:val="18"/>
              </w:rPr>
              <w:t>m.cn/new/disclosure/</w:t>
            </w:r>
            <w:r>
              <w:rPr>
                <w:rFonts w:ascii="Times New Roman"/>
                <w:w w:val="100"/>
                <w:sz w:val="18"/>
              </w:rPr>
              <w:t> </w:t>
            </w:r>
            <w:r>
              <w:rPr>
                <w:rFonts w:ascii="Times New Roman"/>
                <w:sz w:val="18"/>
              </w:rPr>
              <w:t>detail?plate=szse&amp;st</w:t>
            </w:r>
            <w:r>
              <w:rPr>
                <w:rFonts w:ascii="Times New Roman"/>
                <w:w w:val="100"/>
                <w:sz w:val="18"/>
              </w:rPr>
              <w:t> </w:t>
            </w:r>
            <w:r>
              <w:rPr>
                <w:rFonts w:ascii="Times New Roman"/>
                <w:sz w:val="18"/>
              </w:rPr>
              <w:t>ockCode=002474&amp;a</w:t>
            </w:r>
            <w:r>
              <w:rPr>
                <w:rFonts w:ascii="Times New Roman"/>
                <w:w w:val="100"/>
                <w:sz w:val="18"/>
              </w:rPr>
              <w:t> </w:t>
            </w:r>
            <w:r>
              <w:rPr>
                <w:rFonts w:ascii="Times New Roman"/>
                <w:sz w:val="18"/>
              </w:rPr>
              <w:t>nnouncementId=120</w:t>
            </w:r>
            <w:r>
              <w:rPr>
                <w:rFonts w:ascii="Times New Roman"/>
                <w:w w:val="100"/>
                <w:sz w:val="18"/>
              </w:rPr>
              <w:t> </w:t>
            </w:r>
            <w:r>
              <w:rPr>
                <w:rFonts w:ascii="Times New Roman"/>
                <w:sz w:val="18"/>
              </w:rPr>
              <w:t>4953280&amp;announce</w:t>
            </w:r>
            <w:r>
              <w:rPr>
                <w:rFonts w:ascii="Times New Roman"/>
                <w:w w:val="100"/>
                <w:sz w:val="18"/>
              </w:rPr>
              <w:t> </w:t>
            </w:r>
            <w:r>
              <w:rPr>
                <w:rFonts w:ascii="Times New Roman"/>
                <w:sz w:val="18"/>
              </w:rPr>
              <w:t>mentTime=2018-05-</w:t>
            </w:r>
            <w:r>
              <w:rPr>
                <w:rFonts w:ascii="Times New Roman"/>
                <w:w w:val="100"/>
                <w:sz w:val="18"/>
              </w:rPr>
              <w:t> </w:t>
            </w:r>
            <w:r>
              <w:rPr>
                <w:rFonts w:ascii="Times New Roman"/>
                <w:sz w:val="18"/>
              </w:rPr>
              <w:t>18</w:t>
            </w:r>
          </w:p>
        </w:tc>
      </w:tr>
    </w:tbl>
    <w:p>
      <w:pPr>
        <w:spacing w:line="240" w:lineRule="auto" w:before="2"/>
        <w:rPr>
          <w:rFonts w:ascii="宋体" w:hAnsi="宋体" w:cs="宋体" w:eastAsia="宋体" w:hint="default"/>
          <w:b/>
          <w:bCs/>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0" w:right="1"/>
                    <w:jc w:val="center"/>
                  </w:pPr>
                  <w:r>
                    <w:rPr/>
                    <w:t>独立董事出席董事会及股东大会的情况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748" w:footer="977" w:top="1060" w:bottom="1160" w:left="980" w:right="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2239"/>
        <w:jc w:val="left"/>
      </w:pPr>
      <w:r>
        <w:rPr/>
        <w:t>连续两次未亲自出席董事会的说明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独立董事对公司有关事项是否提出异议</w:t>
      </w:r>
    </w:p>
    <w:p>
      <w:pPr>
        <w:pStyle w:val="BodyText"/>
        <w:spacing w:line="338"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独立董事对公司有关建议是否被采纳</w:t>
      </w:r>
    </w:p>
    <w:p>
      <w:pPr>
        <w:pStyle w:val="BodyText"/>
        <w:spacing w:line="338" w:lineRule="auto" w:before="117"/>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42"/>
        <w:ind w:right="1131" w:firstLine="360"/>
        <w:jc w:val="both"/>
      </w:pPr>
      <w:r>
        <w:rPr>
          <w:spacing w:val="-2"/>
        </w:rPr>
        <w:t>独立董事在</w:t>
      </w:r>
      <w:r>
        <w:rPr>
          <w:rFonts w:ascii="Times New Roman" w:hAnsi="Times New Roman" w:cs="Times New Roman" w:eastAsia="Times New Roman" w:hint="default"/>
          <w:spacing w:val="-2"/>
        </w:rPr>
        <w:t>2018</w:t>
      </w:r>
      <w:r>
        <w:rPr>
          <w:spacing w:val="-2"/>
        </w:rPr>
        <w:t>年度勤勉尽责，忠实履行独立董事职务，积极了解公司的生产经营情况和财务状况，详实听取了公司相</w:t>
      </w:r>
      <w:r>
        <w:rPr/>
        <w:t> </w:t>
      </w:r>
      <w:r>
        <w:rPr>
          <w:spacing w:val="-2"/>
        </w:rPr>
        <w:t>关人员的汇报，定期审阅公司提供的信息报告，掌握公司的运行动态；在董事会上发表意见、行使职权，对公司信息披露情</w:t>
      </w:r>
      <w:r>
        <w:rPr>
          <w:spacing w:val="-66"/>
        </w:rPr>
        <w:t> </w:t>
      </w:r>
      <w:r>
        <w:rPr>
          <w:spacing w:val="-66"/>
        </w:rPr>
      </w:r>
      <w:r>
        <w:rPr>
          <w:spacing w:val="-2"/>
        </w:rPr>
        <w:t>况等进行监督和核查，提出了科学有效的建议，出具了独立、公正的独立董事意见，积极有效地履行了独立董事的职责，维</w:t>
      </w:r>
      <w:r>
        <w:rPr>
          <w:spacing w:val="-66"/>
        </w:rPr>
        <w:t> </w:t>
      </w:r>
      <w:r>
        <w:rPr>
          <w:spacing w:val="-66"/>
        </w:rPr>
      </w:r>
      <w:r>
        <w:rPr/>
        <w:t>护了公司和中小股东的合法权益。</w:t>
      </w:r>
    </w:p>
    <w:p>
      <w:pPr>
        <w:spacing w:line="240" w:lineRule="auto" w:before="0"/>
        <w:rPr>
          <w:rFonts w:ascii="宋体" w:hAnsi="宋体" w:cs="宋体" w:eastAsia="宋体" w:hint="default"/>
          <w:sz w:val="21"/>
          <w:szCs w:val="21"/>
        </w:rPr>
      </w:pPr>
    </w:p>
    <w:p>
      <w:pPr>
        <w:pStyle w:val="Heading2"/>
        <w:spacing w:line="240" w:lineRule="auto"/>
        <w:ind w:right="2239"/>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31" w:firstLine="360"/>
        <w:jc w:val="both"/>
      </w:pPr>
      <w:r>
        <w:rPr>
          <w:spacing w:val="-2"/>
        </w:rPr>
        <w:t>公司董事会下设四个专门委员会，分别为审计委员会、提名委员会、战略委员会、薪酬与考核委员会。</w:t>
      </w:r>
      <w:r>
        <w:rPr>
          <w:rFonts w:ascii="Times New Roman" w:hAnsi="Times New Roman" w:cs="Times New Roman" w:eastAsia="Times New Roman" w:hint="default"/>
          <w:spacing w:val="-2"/>
        </w:rPr>
        <w:t>2018</w:t>
      </w:r>
      <w:r>
        <w:rPr>
          <w:spacing w:val="-2"/>
        </w:rPr>
        <w:t>年度各专门</w:t>
      </w:r>
      <w:r>
        <w:rPr/>
        <w:t> 委员会本着勤勉尽责的原则，按照有关法律法规、规范性文件及公司各专门委员会工作细则的有关规定开展相关工作。</w:t>
      </w:r>
    </w:p>
    <w:p>
      <w:pPr>
        <w:pStyle w:val="BodyText"/>
        <w:spacing w:line="338" w:lineRule="auto" w:before="71"/>
        <w:ind w:left="516" w:right="0" w:firstLine="144"/>
        <w:jc w:val="left"/>
      </w:pPr>
      <w:r>
        <w:rPr>
          <w:rFonts w:ascii="Times New Roman" w:hAnsi="Times New Roman" w:cs="Times New Roman" w:eastAsia="Times New Roman" w:hint="default"/>
        </w:rPr>
        <w:t>1</w:t>
      </w:r>
      <w:r>
        <w:rPr/>
        <w:t>、</w:t>
      </w:r>
      <w:r>
        <w:rPr>
          <w:spacing w:val="-18"/>
        </w:rPr>
        <w:t> </w:t>
      </w:r>
      <w:r>
        <w:rPr/>
        <w:t>战略委员会</w:t>
      </w:r>
      <w:r>
        <w:rPr/>
        <w:t> </w:t>
      </w:r>
      <w:r>
        <w:rPr>
          <w:spacing w:val="-4"/>
        </w:rPr>
        <w:t>报告期内，公司董事会战略委员会结合国内外宏观经济环境以及公司所在行业现状，深入分析公司经营现状和发展前景，</w:t>
      </w:r>
    </w:p>
    <w:p>
      <w:pPr>
        <w:pStyle w:val="BodyText"/>
        <w:spacing w:line="240" w:lineRule="auto" w:before="2"/>
        <w:ind w:left="153" w:right="2239"/>
        <w:jc w:val="left"/>
      </w:pPr>
      <w:r>
        <w:rPr/>
        <w:t>对公司长期发展战略决策以及重大投资决策进行研究并提出建议。</w:t>
      </w:r>
    </w:p>
    <w:p>
      <w:pPr>
        <w:pStyle w:val="BodyText"/>
        <w:spacing w:line="338" w:lineRule="auto" w:before="117"/>
        <w:ind w:left="516" w:right="0" w:firstLine="216"/>
        <w:jc w:val="left"/>
      </w:pPr>
      <w:r>
        <w:rPr>
          <w:rFonts w:ascii="Times New Roman" w:hAnsi="Times New Roman" w:cs="Times New Roman" w:eastAsia="Times New Roman" w:hint="default"/>
        </w:rPr>
        <w:t>2</w:t>
      </w:r>
      <w:r>
        <w:rPr/>
        <w:t>、</w:t>
      </w:r>
      <w:r>
        <w:rPr>
          <w:spacing w:val="-18"/>
        </w:rPr>
        <w:t> </w:t>
      </w:r>
      <w:r>
        <w:rPr/>
        <w:t>审计委员会</w:t>
      </w:r>
      <w:r>
        <w:rPr/>
        <w:t> </w:t>
      </w:r>
      <w:r>
        <w:rPr>
          <w:spacing w:val="-2"/>
        </w:rPr>
        <w:t>报告期内，公司董事会审计委员会认真审阅了公司定期报告以及审计部门定期提交的各项内部审计报告，听取了审计部</w:t>
      </w:r>
    </w:p>
    <w:p>
      <w:pPr>
        <w:pStyle w:val="BodyText"/>
        <w:spacing w:line="357" w:lineRule="auto" w:before="2"/>
        <w:ind w:left="444" w:right="0" w:hanging="291"/>
        <w:jc w:val="left"/>
      </w:pPr>
      <w:r>
        <w:rPr/>
        <w:t>门上年度工作总结及本年度工作计划，监督公司内部控制制度的建立健全及执行情况，指导审计部开展各项工作。 </w:t>
      </w:r>
      <w:r>
        <w:rPr>
          <w:spacing w:val="-1"/>
        </w:rPr>
        <w:t>在公司</w:t>
      </w:r>
      <w:r>
        <w:rPr>
          <w:rFonts w:ascii="Times New Roman" w:hAnsi="Times New Roman" w:cs="Times New Roman" w:eastAsia="Times New Roman" w:hint="default"/>
          <w:spacing w:val="-1"/>
        </w:rPr>
        <w:t>2018</w:t>
      </w:r>
      <w:r>
        <w:rPr>
          <w:spacing w:val="-1"/>
        </w:rPr>
        <w:t>年年度审计工作中，审计委员会积极履行职责，在公司年度财务审计机构会计师进场前认真审阅了公司编制</w:t>
      </w:r>
    </w:p>
    <w:p>
      <w:pPr>
        <w:pStyle w:val="BodyText"/>
        <w:spacing w:line="201" w:lineRule="exact"/>
        <w:ind w:left="153" w:right="0"/>
        <w:jc w:val="left"/>
      </w:pPr>
      <w:r>
        <w:rPr/>
        <w:t>的财务会计报表，与会计师进行充分沟通，督促年审会计师按时提交审计报告，并于年审会计师出具初步审计意见后重新审</w:t>
      </w:r>
    </w:p>
    <w:p>
      <w:pPr>
        <w:pStyle w:val="BodyText"/>
        <w:spacing w:line="240" w:lineRule="auto" w:before="76"/>
        <w:ind w:left="153" w:right="2239"/>
        <w:jc w:val="left"/>
      </w:pPr>
      <w:r>
        <w:rPr/>
        <w:t>阅公司财务会计报表，与年审注册会计师交流后决议提交公司董事会审议。</w:t>
      </w:r>
    </w:p>
    <w:p>
      <w:pPr>
        <w:pStyle w:val="BodyText"/>
        <w:spacing w:line="338" w:lineRule="auto" w:before="117"/>
        <w:ind w:left="516" w:right="1028" w:firstLine="144"/>
        <w:jc w:val="left"/>
      </w:pPr>
      <w:r>
        <w:rPr>
          <w:rFonts w:ascii="Times New Roman" w:hAnsi="Times New Roman" w:cs="Times New Roman" w:eastAsia="Times New Roman" w:hint="default"/>
        </w:rPr>
        <w:t>3</w:t>
      </w:r>
      <w:r>
        <w:rPr/>
        <w:t>、</w:t>
      </w:r>
      <w:r>
        <w:rPr>
          <w:spacing w:val="-18"/>
        </w:rPr>
        <w:t> </w:t>
      </w:r>
      <w:r>
        <w:rPr/>
        <w:t>薪酬与考核委员会</w:t>
      </w:r>
      <w:r>
        <w:rPr/>
        <w:t> 报告期内，公司董事会薪酬与考核委员会根据绩效考核办法对公司董事、监事和高级管理人员进行考核，确认其薪酬、</w:t>
      </w:r>
    </w:p>
    <w:p>
      <w:pPr>
        <w:pStyle w:val="BodyText"/>
        <w:spacing w:line="240" w:lineRule="auto" w:before="2"/>
        <w:ind w:left="153" w:right="2239"/>
        <w:jc w:val="left"/>
      </w:pPr>
      <w:r>
        <w:rPr/>
        <w:t>奖金及津贴情况，认为公司董事、监事、高级管理人员薪酬水平合理、合法。</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监事会在报告期内的监督活动中发现公司是否存在风险</w:t>
      </w:r>
    </w:p>
    <w:p>
      <w:pPr>
        <w:pStyle w:val="BodyText"/>
        <w:spacing w:line="340" w:lineRule="auto" w:before="116"/>
        <w:ind w:right="7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5"/>
        <w:rPr>
          <w:rFonts w:ascii="宋体" w:hAnsi="宋体" w:cs="宋体" w:eastAsia="宋体" w:hint="default"/>
          <w:sz w:val="19"/>
          <w:szCs w:val="19"/>
        </w:rPr>
      </w:pPr>
    </w:p>
    <w:p>
      <w:pPr>
        <w:pStyle w:val="Heading2"/>
        <w:spacing w:line="240" w:lineRule="auto"/>
        <w:ind w:right="2239"/>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公司的高级管理人员依据《公司章程》和岗位职责开展工作。公司董事会薪酬与考核委员会依据董事、监事及高级管理</w:t>
      </w:r>
      <w:r>
        <w:rPr/>
        <w:t> 人员职责履行情况及业绩，对其进行考评，并依据考评结果提出薪酬方案，并提交董事会、股东大会审议。</w:t>
      </w:r>
    </w:p>
    <w:p>
      <w:pPr>
        <w:spacing w:line="240" w:lineRule="auto" w:before="10"/>
        <w:rPr>
          <w:rFonts w:ascii="宋体" w:hAnsi="宋体" w:cs="宋体" w:eastAsia="宋体" w:hint="default"/>
          <w:sz w:val="20"/>
          <w:szCs w:val="20"/>
        </w:rPr>
      </w:pPr>
    </w:p>
    <w:p>
      <w:pPr>
        <w:pStyle w:val="Heading2"/>
        <w:spacing w:line="240" w:lineRule="auto"/>
        <w:ind w:right="2239"/>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240" w:lineRule="auto" w:before="44"/>
        <w:ind w:left="0" w:right="1138"/>
        <w:jc w:val="right"/>
      </w:pPr>
      <w:r>
        <w:rPr/>
        <w:pict>
          <v:shape style="position:absolute;margin-left:56.459999pt;margin-top:-20.948004pt;width:479.1pt;height:388.8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年度内部控制自我评价报告》详见巨潮资讯网（</w:t>
                        </w:r>
                        <w:hyperlink r:id="rId14">
                          <w:r>
                            <w:rPr>
                              <w:rFonts w:ascii="Times New Roman" w:hAnsi="Times New Roman" w:cs="Times New Roman" w:eastAsia="Times New Roman" w:hint="default"/>
                              <w:spacing w:val="-1"/>
                              <w:sz w:val="18"/>
                              <w:szCs w:val="18"/>
                            </w:rPr>
                            <w:t>http://www.cninfo.com.cn</w:t>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7" w:hRule="exact"/>
                    </w:trPr>
                    <w:tc>
                      <w:tcPr>
                        <w:tcW w:w="3188"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5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①公司高级管理人员舞弊；②公司更正已</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公布的财务报告；③注册会计师发现当期</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财务报告存在重大错报，而内部控制在运</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80"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行过程中未能发现该错报；④公司审计委</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right="137"/>
                          <w:jc w:val="righ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tc>
                  </w:tr>
                  <w:tr>
                    <w:trPr>
                      <w:trHeight w:val="184"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4" w:space="0" w:color="000000"/>
                          <w:right w:val="single" w:sz="4" w:space="0" w:color="000000"/>
                        </w:tcBorders>
                      </w:tcPr>
                      <w:p>
                        <w:pPr>
                          <w:pStyle w:val="TableParagraph"/>
                          <w:spacing w:line="178" w:lineRule="exact"/>
                          <w:ind w:left="28" w:right="0"/>
                          <w:jc w:val="left"/>
                          <w:rPr>
                            <w:rFonts w:ascii="宋体" w:hAnsi="宋体" w:cs="宋体" w:eastAsia="宋体" w:hint="default"/>
                            <w:sz w:val="18"/>
                            <w:szCs w:val="18"/>
                          </w:rPr>
                        </w:pPr>
                        <w:r>
                          <w:rPr>
                            <w:rFonts w:ascii="宋体" w:hAnsi="宋体" w:cs="宋体" w:eastAsia="宋体" w:hint="default"/>
                            <w:sz w:val="18"/>
                            <w:szCs w:val="18"/>
                          </w:rPr>
                          <w:t>员会和内部审计机构对内部控制的监督无</w:t>
                        </w:r>
                      </w:p>
                    </w:tc>
                    <w:tc>
                      <w:tcPr>
                        <w:tcW w:w="3050" w:type="dxa"/>
                        <w:vMerge w:val="restart"/>
                        <w:tcBorders>
                          <w:top w:val="nil" w:sz="6" w:space="0" w:color="auto"/>
                          <w:left w:val="single" w:sz="4" w:space="0" w:color="000000"/>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pacing w:val="-4"/>
                            <w:sz w:val="18"/>
                            <w:szCs w:val="18"/>
                          </w:rPr>
                          <w:t>评价的定量标准如下：非财务报告内部</w:t>
                        </w:r>
                      </w:p>
                    </w:tc>
                  </w:tr>
                  <w:tr>
                    <w:trPr>
                      <w:trHeight w:val="128" w:hRule="exact"/>
                    </w:trPr>
                    <w:tc>
                      <w:tcPr>
                        <w:tcW w:w="31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bottom w:val="nil" w:sz="6" w:space="0" w:color="auto"/>
                          <w:right w:val="single" w:sz="4" w:space="0" w:color="000000"/>
                        </w:tcBorders>
                      </w:tcPr>
                      <w:p>
                        <w:pPr/>
                      </w:p>
                    </w:tc>
                    <w:tc>
                      <w:tcPr>
                        <w:tcW w:w="3050" w:type="dxa"/>
                        <w:vMerge/>
                        <w:tcBorders>
                          <w:left w:val="single" w:sz="4" w:space="0" w:color="000000"/>
                          <w:bottom w:val="nil" w:sz="6" w:space="0" w:color="auto"/>
                          <w:right w:val="single" w:sz="4" w:space="0" w:color="000000"/>
                        </w:tcBorders>
                      </w:tcPr>
                      <w:p>
                        <w:pPr/>
                      </w:p>
                    </w:tc>
                  </w:tr>
                  <w:tr>
                    <w:trPr>
                      <w:trHeight w:val="263"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8" w:right="0"/>
                          <w:jc w:val="left"/>
                          <w:rPr>
                            <w:rFonts w:ascii="宋体" w:hAnsi="宋体" w:cs="宋体" w:eastAsia="宋体" w:hint="default"/>
                            <w:sz w:val="18"/>
                            <w:szCs w:val="18"/>
                          </w:rPr>
                        </w:pPr>
                        <w:r>
                          <w:rPr>
                            <w:rFonts w:ascii="宋体" w:hAnsi="宋体" w:cs="宋体" w:eastAsia="宋体" w:hint="default"/>
                            <w:spacing w:val="-4"/>
                            <w:sz w:val="18"/>
                            <w:szCs w:val="18"/>
                          </w:rPr>
                          <w:t>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、重要缺陷的认定标准：①未依照公</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right="137"/>
                          <w:jc w:val="right"/>
                          <w:rPr>
                            <w:rFonts w:ascii="宋体" w:hAnsi="宋体" w:cs="宋体" w:eastAsia="宋体" w:hint="default"/>
                            <w:sz w:val="18"/>
                            <w:szCs w:val="18"/>
                          </w:rPr>
                        </w:pPr>
                        <w:r>
                          <w:rPr>
                            <w:rFonts w:ascii="宋体" w:hAnsi="宋体" w:cs="宋体" w:eastAsia="宋体" w:hint="default"/>
                            <w:sz w:val="18"/>
                            <w:szCs w:val="18"/>
                          </w:rPr>
                          <w:t>控制缺陷评价的定量标准参照财务报</w:t>
                        </w:r>
                      </w:p>
                    </w:tc>
                  </w:tr>
                  <w:tr>
                    <w:trPr>
                      <w:trHeight w:val="49" w:hRule="exact"/>
                    </w:trPr>
                    <w:tc>
                      <w:tcPr>
                        <w:tcW w:w="3188" w:type="dxa"/>
                        <w:vMerge w:val="restart"/>
                        <w:tcBorders>
                          <w:top w:val="nil" w:sz="6" w:space="0" w:color="auto"/>
                          <w:left w:val="single" w:sz="4" w:space="0" w:color="000000"/>
                          <w:right w:val="single" w:sz="4" w:space="0" w:color="000000"/>
                        </w:tcBorders>
                        <w:shd w:val="clear" w:color="auto" w:fill="D3D3D3"/>
                      </w:tcPr>
                      <w:p>
                        <w:pPr/>
                      </w:p>
                    </w:tc>
                    <w:tc>
                      <w:tcPr>
                        <w:tcW w:w="3329" w:type="dxa"/>
                        <w:vMerge w:val="restart"/>
                        <w:tcBorders>
                          <w:top w:val="nil" w:sz="6" w:space="0" w:color="auto"/>
                          <w:left w:val="single" w:sz="4" w:space="0" w:color="000000"/>
                          <w:right w:val="single" w:sz="4" w:space="0" w:color="000000"/>
                        </w:tcBorders>
                      </w:tcPr>
                      <w:p>
                        <w:pPr>
                          <w:pStyle w:val="TableParagraph"/>
                          <w:spacing w:line="178" w:lineRule="exact"/>
                          <w:ind w:left="28" w:right="0"/>
                          <w:jc w:val="left"/>
                          <w:rPr>
                            <w:rFonts w:ascii="宋体" w:hAnsi="宋体" w:cs="宋体" w:eastAsia="宋体" w:hint="default"/>
                            <w:sz w:val="18"/>
                            <w:szCs w:val="18"/>
                          </w:rPr>
                        </w:pPr>
                        <w:r>
                          <w:rPr>
                            <w:rFonts w:ascii="宋体" w:hAnsi="宋体" w:cs="宋体" w:eastAsia="宋体" w:hint="default"/>
                            <w:sz w:val="18"/>
                            <w:szCs w:val="18"/>
                          </w:rPr>
                          <w:t>认会计准则选择和应用会计政策、未建立</w:t>
                        </w:r>
                      </w:p>
                    </w:tc>
                    <w:tc>
                      <w:tcPr>
                        <w:tcW w:w="3050" w:type="dxa"/>
                        <w:vMerge w:val="restart"/>
                        <w:tcBorders>
                          <w:top w:val="nil" w:sz="6" w:space="0" w:color="auto"/>
                          <w:left w:val="single" w:sz="4" w:space="0" w:color="000000"/>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告内部控制缺陷评价的定量标准执行</w:t>
                        </w: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vMerge/>
                        <w:tcBorders>
                          <w:left w:val="single" w:sz="4" w:space="0" w:color="000000"/>
                          <w:bottom w:val="nil" w:sz="6" w:space="0" w:color="auto"/>
                          <w:right w:val="single" w:sz="4" w:space="0" w:color="000000"/>
                        </w:tcBorders>
                      </w:tcPr>
                      <w:p>
                        <w:pPr/>
                      </w:p>
                    </w:tc>
                    <w:tc>
                      <w:tcPr>
                        <w:tcW w:w="3050" w:type="dxa"/>
                        <w:vMerge/>
                        <w:tcBorders>
                          <w:left w:val="single" w:sz="4" w:space="0" w:color="000000"/>
                          <w:bottom w:val="nil" w:sz="6" w:space="0" w:color="auto"/>
                          <w:right w:val="single" w:sz="4" w:space="0" w:color="000000"/>
                        </w:tcBorders>
                      </w:tcPr>
                      <w:p>
                        <w:pPr/>
                      </w:p>
                    </w:tc>
                  </w:tr>
                  <w:tr>
                    <w:trPr>
                      <w:trHeight w:val="244"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8" w:right="0"/>
                          <w:jc w:val="left"/>
                          <w:rPr>
                            <w:rFonts w:ascii="宋体" w:hAnsi="宋体" w:cs="宋体" w:eastAsia="宋体" w:hint="default"/>
                            <w:sz w:val="18"/>
                            <w:szCs w:val="18"/>
                          </w:rPr>
                        </w:pPr>
                        <w:r>
                          <w:rPr>
                            <w:rFonts w:ascii="宋体" w:hAnsi="宋体" w:cs="宋体" w:eastAsia="宋体" w:hint="default"/>
                            <w:sz w:val="18"/>
                            <w:szCs w:val="18"/>
                          </w:rPr>
                          <w:t>反舞弊程序和控制措施；②对于非常规或</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特殊交易的账务处理没有建立相应的控制</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机制或没有实施且没有相应的补偿性控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制；③对于期末财务报告过程的控制存在</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一项或多项缺陷且不能合理保证编制的财</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8"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4"/>
                            <w:sz w:val="18"/>
                            <w:szCs w:val="18"/>
                          </w:rPr>
                          <w:t>务报表达到真实、准确的目标。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w:t>
                        </w:r>
                      </w:p>
                    </w:tc>
                    <w:tc>
                      <w:tcPr>
                        <w:tcW w:w="305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1696" w:lineRule="exact"/>
        <w:ind w:left="6676"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52.050pt;height:84.85pt;mso-position-horizontal-relative:char;mso-position-vertical-relative:line" coordorigin="0,0" coordsize="3041,1697">
            <v:group style="position:absolute;left:0;top:0;width:3041;height:1697" coordorigin="0,0" coordsize="3041,1697">
              <v:shape style="position:absolute;left:0;top:0;width:3041;height:1697" coordorigin="0,0" coordsize="3041,1697" path="m0,1697l3041,1697,3041,0,0,0,0,1697xe" filled="true" fillcolor="#ffffff" stroked="false">
                <v:path arrowok="t"/>
                <v:fill type="solid"/>
              </v:shape>
            </v:group>
          </v:group>
        </w:pict>
      </w:r>
      <w:r>
        <w:rPr>
          <w:rFonts w:ascii="宋体" w:hAnsi="宋体" w:cs="宋体" w:eastAsia="宋体" w:hint="default"/>
          <w:position w:val="-3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163"/>
        <w:jc w:val="right"/>
      </w:pPr>
      <w:r>
        <w:rPr/>
        <w:t>。</w:t>
      </w:r>
    </w:p>
    <w:p>
      <w:pPr>
        <w:spacing w:line="240" w:lineRule="auto" w:before="1"/>
        <w:rPr>
          <w:rFonts w:ascii="宋体" w:hAnsi="宋体" w:cs="宋体" w:eastAsia="宋体" w:hint="default"/>
          <w:sz w:val="8"/>
          <w:szCs w:val="8"/>
        </w:rPr>
      </w:pPr>
    </w:p>
    <w:p>
      <w:pPr>
        <w:spacing w:line="1696" w:lineRule="exact"/>
        <w:ind w:left="6676"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52.050pt;height:84.85pt;mso-position-horizontal-relative:char;mso-position-vertical-relative:line" coordorigin="0,0" coordsize="3041,1697">
            <v:group style="position:absolute;left:0;top:0;width:3041;height:1697" coordorigin="0,0" coordsize="3041,1697">
              <v:shape style="position:absolute;left:0;top:0;width:3041;height:1697" coordorigin="0,0" coordsize="3041,1697" path="m0,1697l3041,1697,3041,0,0,0,0,1697xe" filled="true" fillcolor="#ffffff" stroked="false">
                <v:path arrowok="t"/>
                <v:fill type="solid"/>
              </v:shape>
            </v:group>
          </v:group>
        </w:pict>
      </w:r>
      <w:r>
        <w:rPr>
          <w:rFonts w:ascii="宋体" w:hAnsi="宋体" w:cs="宋体" w:eastAsia="宋体" w:hint="default"/>
          <w:position w:val="-33"/>
          <w:sz w:val="20"/>
          <w:szCs w:val="20"/>
        </w:rPr>
      </w:r>
    </w:p>
    <w:p>
      <w:pPr>
        <w:spacing w:after="0" w:line="1696" w:lineRule="exact"/>
        <w:rPr>
          <w:rFonts w:ascii="宋体" w:hAnsi="宋体" w:cs="宋体" w:eastAsia="宋体" w:hint="default"/>
          <w:sz w:val="20"/>
          <w:szCs w:val="20"/>
        </w:rPr>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936" w:lineRule="exact"/>
        <w:ind w:left="667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2.050pt;height:46.8pt;mso-position-horizontal-relative:char;mso-position-vertical-relative:line" coordorigin="0,0" coordsize="3041,936">
            <v:group style="position:absolute;left:0;top:0;width:3041;height:936" coordorigin="0,0" coordsize="3041,936">
              <v:shape style="position:absolute;left:0;top:0;width:3041;height:936" coordorigin="0,0" coordsize="3041,936" path="m0,936l3041,936,3041,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4"/>
        <w:ind w:left="0" w:right="1163"/>
        <w:jc w:val="right"/>
      </w:pPr>
      <w:r>
        <w:rPr/>
        <w:pict>
          <v:shape style="position:absolute;margin-left:376.619385pt;margin-top:-125.107994pt;width:158.25pt;height:300.45pt;mso-position-horizontal-relative:page;mso-position-vertical-relative:paragraph;z-index:-1104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240" w:lineRule="auto"/>
                    <w:ind w:left="0" w:right="0"/>
                    <w:jc w:val="left"/>
                  </w:pPr>
                  <w:r>
                    <w:rPr/>
                    <w:t>，</w:t>
                  </w:r>
                </w:p>
              </w:txbxContent>
            </v:textbox>
            <w10:wrap type="none"/>
          </v:shape>
        </w:pict>
      </w:r>
      <w:r>
        <w:rPr/>
        <w:pict>
          <v:shape style="position:absolute;margin-left:56.459999pt;margin-top:-159.308029pt;width:479.1pt;height:415.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0"/>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告一般缺陷是指除上述重大缺陷、重要缺 陷之外的其他控制缺陷。</w:t>
                        </w:r>
                      </w:p>
                    </w:tc>
                    <w:tc>
                      <w:tcPr>
                        <w:tcW w:w="305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、以资产总额指标衡量</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则认定为一般缺陷；如果超过资产总额的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4"/>
                            <w:sz w:val="18"/>
                            <w:szCs w:val="18"/>
                          </w:rPr>
                          <w:t>认定标准：①公司经营活动严重违反国</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家法律法规；②媒体负面新闻频频曝</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、以营业收入指标衡量。如果该缺陷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4"/>
                            <w:sz w:val="18"/>
                            <w:szCs w:val="18"/>
                          </w:rPr>
                          <w:t>光，对公司声誉造成重大损害；③中高</w:t>
                        </w: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单独或连同其他缺陷可能导致财务报告错</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级管理人员和高级技术人员严重流失</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则认定为一般</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④重要业务缺乏制度控制或制度系统</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缺陷</w:t>
                        </w:r>
                        <w:r>
                          <w:rPr>
                            <w:rFonts w:ascii="宋体" w:hAnsi="宋体" w:cs="宋体" w:eastAsia="宋体" w:hint="default"/>
                            <w:spacing w:val="-90"/>
                            <w:sz w:val="18"/>
                            <w:szCs w:val="18"/>
                          </w:rPr>
                          <w:t>；</w:t>
                        </w:r>
                        <w:r>
                          <w:rPr>
                            <w:rFonts w:ascii="宋体" w:hAnsi="宋体" w:cs="宋体" w:eastAsia="宋体" w:hint="default"/>
                            <w:sz w:val="18"/>
                            <w:szCs w:val="18"/>
                          </w:rPr>
                          <w:t>如果超过营业收入的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4"/>
                            <w:sz w:val="18"/>
                            <w:szCs w:val="18"/>
                          </w:rPr>
                          <w:t>性失效；⑤内部控制评价的结果特别是</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则认定为重要缺陷；如果超过营业收入的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
                          <w:jc w:val="right"/>
                          <w:rPr>
                            <w:rFonts w:ascii="宋体" w:hAnsi="宋体" w:cs="宋体" w:eastAsia="宋体" w:hint="default"/>
                            <w:sz w:val="18"/>
                            <w:szCs w:val="18"/>
                          </w:rPr>
                        </w:pPr>
                        <w:r>
                          <w:rPr>
                            <w:rFonts w:ascii="宋体" w:hAnsi="宋体" w:cs="宋体" w:eastAsia="宋体" w:hint="default"/>
                            <w:sz w:val="18"/>
                            <w:szCs w:val="18"/>
                          </w:rPr>
                          <w:t>重大缺陷或重要缺陷未得到整改。</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、以利润总额</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4"/>
                            <w:sz w:val="18"/>
                            <w:szCs w:val="18"/>
                          </w:rPr>
                          <w:t>重要缺陷的认定标准：①公司违反国家</w:t>
                        </w:r>
                      </w:p>
                    </w:tc>
                  </w:tr>
                  <w:tr>
                    <w:trPr>
                      <w:trHeight w:val="30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指标衡量。如果该缺陷单独或连同其他缺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0"/>
                          <w:jc w:val="right"/>
                          <w:rPr>
                            <w:rFonts w:ascii="宋体" w:hAnsi="宋体" w:cs="宋体" w:eastAsia="宋体" w:hint="default"/>
                            <w:sz w:val="18"/>
                            <w:szCs w:val="18"/>
                          </w:rPr>
                        </w:pPr>
                        <w:r>
                          <w:rPr>
                            <w:rFonts w:ascii="宋体" w:hAnsi="宋体" w:cs="宋体" w:eastAsia="宋体" w:hint="default"/>
                            <w:spacing w:val="-4"/>
                            <w:sz w:val="18"/>
                            <w:szCs w:val="18"/>
                          </w:rPr>
                          <w:t>法律法规受到轻微处罚；②关键岗位业</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陷可能导致财务报告错报金额小于利润总</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务人员流失严重；③媒体出现负面新</w:t>
                        </w:r>
                      </w:p>
                    </w:tc>
                  </w:tr>
                  <w:tr>
                    <w:trPr>
                      <w:trHeight w:val="317"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，则认定为一般缺陷；如果超过利</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闻。</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陷；如果超过利润总额的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936" w:lineRule="exact"/>
        <w:ind w:left="667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52.050pt;height:46.8pt;mso-position-horizontal-relative:char;mso-position-vertical-relative:line" coordorigin="0,0" coordsize="3041,936">
            <v:group style="position:absolute;left:0;top:0;width:3041;height:936" coordorigin="0,0" coordsize="3041,936">
              <v:shape style="position:absolute;left:0;top:0;width:3041;height:936" coordorigin="0,0" coordsize="3041,936" path="m0,936l3041,936,3041,0,0,0,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right="2239"/>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不适用。</w:t>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126" w:right="2239"/>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607" w:right="2239"/>
        <w:jc w:val="left"/>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351ZA0035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ind w:left="514" w:right="0" w:hanging="360"/>
        <w:jc w:val="left"/>
      </w:pPr>
      <w:r>
        <w:rPr/>
        <w:t>福建榕基软件股份有限公司全体股东： 1、审计意见 </w:t>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305" w:space="975"/>
            <w:col w:w="6650"/>
          </w:cols>
        </w:sectPr>
      </w:pPr>
    </w:p>
    <w:p>
      <w:pPr>
        <w:pStyle w:val="BodyText"/>
        <w:spacing w:line="316" w:lineRule="auto" w:before="19"/>
        <w:ind w:right="0" w:firstLine="360"/>
        <w:jc w:val="left"/>
      </w:pPr>
      <w:r>
        <w:rPr>
          <w:spacing w:val="-2"/>
        </w:rPr>
        <w:t>我们审计了福建榕基软件股份有限公司（以下简称榕基软件公司）财务报表，包括2018年12月31日的合并及公司资产负</w:t>
      </w:r>
      <w:r>
        <w:rPr/>
        <w:t> 债表，2018年度的合并及公司利润表、合并及公司现金流量表、合并及公司股东权益变动表以及相关财务报表附注。 </w:t>
      </w:r>
    </w:p>
    <w:p>
      <w:pPr>
        <w:pStyle w:val="BodyText"/>
        <w:spacing w:line="316" w:lineRule="auto" w:before="19"/>
        <w:ind w:right="0" w:firstLine="360"/>
        <w:jc w:val="left"/>
      </w:pPr>
      <w:r>
        <w:rPr>
          <w:spacing w:val="-2"/>
        </w:rPr>
        <w:t>我们认为，后附的财务报表在所有重大方面按照企业会计准则的规定编制，公允反映了榕基软件公司2018年12月31日的</w:t>
      </w:r>
      <w:r>
        <w:rPr/>
        <w:t> 合并及公司财务状况以及2018年度的合并及公司的经营成果和现金流量。 </w:t>
      </w:r>
    </w:p>
    <w:p>
      <w:pPr>
        <w:pStyle w:val="BodyText"/>
        <w:spacing w:line="316" w:lineRule="auto" w:before="19"/>
        <w:ind w:left="514" w:right="0"/>
        <w:jc w:val="left"/>
      </w:pPr>
      <w:r>
        <w:rPr/>
        <w:t>2、形成审计意见的基础 </w:t>
      </w:r>
      <w:r>
        <w:rPr>
          <w:spacing w:val="-2"/>
        </w:rPr>
        <w:t>我们按照中国注册会计师审计准则的规定执行了审计工作。审计报告的“注册会计师对财务报表审计的责任”部分进一</w:t>
      </w:r>
    </w:p>
    <w:p>
      <w:pPr>
        <w:pStyle w:val="BodyText"/>
        <w:spacing w:line="316" w:lineRule="auto" w:before="19"/>
        <w:ind w:right="1131"/>
        <w:jc w:val="both"/>
      </w:pPr>
      <w:r>
        <w:rPr>
          <w:spacing w:val="-2"/>
        </w:rPr>
        <w:t>步阐述了我们在这些准则下的责任。按照中国注册会计师职业道德守则，我们独立于榕基软件公司，并履行了职业道德方面</w:t>
      </w:r>
      <w:r>
        <w:rPr>
          <w:spacing w:val="-66"/>
        </w:rPr>
        <w:t> </w:t>
      </w:r>
      <w:r>
        <w:rPr>
          <w:spacing w:val="-66"/>
        </w:rPr>
      </w:r>
      <w:r>
        <w:rPr/>
        <w:t>的其他责任。我们相信，我们获取的审计证据是充分、适当的，为发表审计意见提供了基础。 </w:t>
      </w:r>
    </w:p>
    <w:p>
      <w:pPr>
        <w:pStyle w:val="BodyText"/>
        <w:spacing w:line="316" w:lineRule="auto" w:before="19"/>
        <w:ind w:left="514" w:right="0"/>
        <w:jc w:val="left"/>
      </w:pPr>
      <w:r>
        <w:rPr/>
        <w:t>3、关键审计事项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both"/>
      </w:pPr>
      <w:r>
        <w:rPr/>
        <w:t>审计并形成审计意见为背景，我们不对这些事项单独发表意见。 </w:t>
      </w:r>
    </w:p>
    <w:p>
      <w:pPr>
        <w:pStyle w:val="BodyText"/>
        <w:spacing w:line="316" w:lineRule="auto" w:before="76"/>
        <w:ind w:left="514" w:right="5530"/>
        <w:jc w:val="left"/>
      </w:pPr>
      <w:r>
        <w:rPr/>
        <w:t>（1）开发支出资本化 相关信息披露详见财务报表附注三之20及附注五之14。 </w:t>
      </w:r>
    </w:p>
    <w:p>
      <w:pPr>
        <w:pStyle w:val="BodyText"/>
        <w:spacing w:line="316" w:lineRule="auto" w:before="19"/>
        <w:ind w:left="514" w:right="1120"/>
        <w:jc w:val="left"/>
      </w:pPr>
      <w:r>
        <w:rPr/>
        <w:t>（一）事项描述 榕基软件公司2018年度开发支出总额10,424.10万元，其中2,660.74万元予以资本化计入“开发支出”项目，占开发支</w:t>
      </w:r>
    </w:p>
    <w:p>
      <w:pPr>
        <w:pStyle w:val="BodyText"/>
        <w:spacing w:line="316" w:lineRule="auto" w:before="19"/>
        <w:ind w:right="1130"/>
        <w:jc w:val="both"/>
      </w:pPr>
      <w:r>
        <w:rPr>
          <w:spacing w:val="-2"/>
        </w:rPr>
        <w:t>出总额的25.52%。开发支出只有在同时满足财务报表附注三之20中所列的所有资本化条件时才能予以资本化。鉴于确定开发</w:t>
      </w:r>
      <w:r>
        <w:rPr>
          <w:spacing w:val="-56"/>
        </w:rPr>
        <w:t> </w:t>
      </w:r>
      <w:r>
        <w:rPr>
          <w:spacing w:val="-56"/>
        </w:rPr>
      </w:r>
      <w:r>
        <w:rPr>
          <w:spacing w:val="-2"/>
        </w:rPr>
        <w:t>支出是否满足所有资本化条件需要管理层进行重大会计判断和估计，该事项对于我们的审计而言是重要的，因此我们将开发</w:t>
      </w:r>
      <w:r>
        <w:rPr>
          <w:spacing w:val="-64"/>
        </w:rPr>
        <w:t> </w:t>
      </w:r>
      <w:r>
        <w:rPr>
          <w:spacing w:val="-64"/>
        </w:rPr>
      </w:r>
      <w:r>
        <w:rPr/>
        <w:t>支出资本化确定为关键审计事项。 </w:t>
      </w:r>
    </w:p>
    <w:p>
      <w:pPr>
        <w:pStyle w:val="BodyText"/>
        <w:spacing w:line="316" w:lineRule="auto" w:before="19"/>
        <w:ind w:left="514" w:right="3730"/>
        <w:jc w:val="left"/>
      </w:pPr>
      <w:r>
        <w:rPr/>
        <w:t>（二）审计应对 我们针对开发支出资本化这一关键审计事项实施的审计程序主要包括： </w:t>
      </w:r>
    </w:p>
    <w:p>
      <w:pPr>
        <w:pStyle w:val="BodyText"/>
        <w:spacing w:line="316" w:lineRule="auto" w:before="19"/>
        <w:ind w:right="0" w:firstLine="360"/>
        <w:jc w:val="left"/>
      </w:pPr>
      <w:r>
        <w:rPr>
          <w:spacing w:val="-4"/>
        </w:rPr>
        <w:t>①了解及评价研发支出资本化的内部控制设计的有效性，并测试了关键控制运行的有效性，包括可行性研究、项目立项、</w:t>
      </w:r>
      <w:r>
        <w:rPr/>
        <w:t> 项目验收以及资本化的复核和审批等。 </w:t>
      </w:r>
    </w:p>
    <w:p>
      <w:pPr>
        <w:pStyle w:val="BodyText"/>
        <w:spacing w:line="316" w:lineRule="auto" w:before="19"/>
        <w:ind w:right="1117" w:firstLine="360"/>
        <w:jc w:val="left"/>
      </w:pPr>
      <w:r>
        <w:rPr>
          <w:spacing w:val="-2"/>
        </w:rPr>
        <w:t>②评价管理层确定的研发支出资本化的相关会计政策和会计估计是否符合企业会计准则的规定，并采用一致的会计处理</w:t>
      </w:r>
      <w:r>
        <w:rPr/>
        <w:t> 方法。 </w:t>
      </w:r>
    </w:p>
    <w:p>
      <w:pPr>
        <w:pStyle w:val="BodyText"/>
        <w:spacing w:line="240" w:lineRule="auto" w:before="19"/>
        <w:ind w:left="514" w:right="0"/>
        <w:jc w:val="left"/>
      </w:pPr>
      <w:r>
        <w:rPr/>
        <w:t>③获取项目立项书、研发节点报告等文件，检查企业研发活动的立项情况，确定研发项目处于研究阶段还是开发阶段</w:t>
      </w:r>
      <w:r>
        <w:rPr>
          <w:spacing w:val="-82"/>
        </w:rPr>
        <w:t>。</w:t>
      </w:r>
      <w:r>
        <w:rPr/>
        <w:t> </w:t>
      </w:r>
    </w:p>
    <w:p>
      <w:pPr>
        <w:pStyle w:val="BodyText"/>
        <w:spacing w:line="316" w:lineRule="auto" w:before="76"/>
        <w:ind w:right="0" w:firstLine="360"/>
        <w:jc w:val="left"/>
      </w:pPr>
      <w:r>
        <w:rPr>
          <w:spacing w:val="-2"/>
        </w:rPr>
        <w:t>④选取项目检查资本化的条件和依据是否合理，包括研究阶段和开发阶段界定时点是否合理，开发完成的时点的界定是</w:t>
      </w:r>
      <w:r>
        <w:rPr/>
        <w:t> 否合理；检查资本化支出范围是否合理等。 </w:t>
      </w:r>
    </w:p>
    <w:p>
      <w:pPr>
        <w:pStyle w:val="BodyText"/>
        <w:spacing w:line="240" w:lineRule="auto" w:before="19"/>
        <w:ind w:left="514" w:right="2239"/>
        <w:jc w:val="left"/>
      </w:pPr>
      <w:r>
        <w:rPr/>
        <w:t>⑤检查开发支出资本化披露的充分性。 </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513" w:right="5530"/>
        <w:jc w:val="left"/>
      </w:pPr>
      <w:r>
        <w:rPr/>
        <w:t>（2）收入确认 相关信息披露详见财务报表附注三之24及附注五之31。 </w:t>
      </w:r>
    </w:p>
    <w:p>
      <w:pPr>
        <w:pStyle w:val="BodyText"/>
        <w:spacing w:line="316" w:lineRule="auto" w:before="19"/>
        <w:ind w:left="513" w:right="0"/>
        <w:jc w:val="left"/>
      </w:pPr>
      <w:r>
        <w:rPr/>
        <w:t>（一）事项描述 </w:t>
      </w:r>
      <w:r>
        <w:rPr>
          <w:spacing w:val="-2"/>
        </w:rPr>
        <w:t>榕基软件公司2018年度系统集成、软件产品及服务收入为人民币80,834.02万元，占2018年度营业收入的比例为99.49%。</w:t>
      </w:r>
    </w:p>
    <w:p>
      <w:pPr>
        <w:pStyle w:val="BodyText"/>
        <w:spacing w:line="316" w:lineRule="auto" w:before="19"/>
        <w:ind w:left="153" w:right="0"/>
        <w:jc w:val="left"/>
      </w:pPr>
      <w:r>
        <w:rPr>
          <w:spacing w:val="-2"/>
        </w:rPr>
        <w:t>榕基软件公司对于系统集成、软件产品及服务收入，均需在产品交付或服务提供并经对方初验或试运行合格且取得合同约定</w:t>
      </w:r>
      <w:r>
        <w:rPr>
          <w:spacing w:val="-64"/>
        </w:rPr>
        <w:t> </w:t>
      </w:r>
      <w:r>
        <w:rPr>
          <w:spacing w:val="-64"/>
        </w:rPr>
      </w:r>
      <w:r>
        <w:rPr>
          <w:spacing w:val="-4"/>
        </w:rPr>
        <w:t>比例的回款后确认收入。鉴于该部分收入金额重大且为关键业绩指标，相关验收单据由分布在国内不同地区的众多客户提供，</w:t>
      </w:r>
      <w:r>
        <w:rPr>
          <w:spacing w:val="-44"/>
        </w:rPr>
        <w:t> </w:t>
      </w:r>
      <w:r>
        <w:rPr>
          <w:spacing w:val="-44"/>
        </w:rPr>
      </w:r>
      <w:r>
        <w:rPr/>
        <w:t>可能存在管理层为了达到特定目标或期望而操纵收入确认时点的固有风险，因此我们将收入确认确定为关键审计事项。 </w:t>
      </w:r>
    </w:p>
    <w:p>
      <w:pPr>
        <w:pStyle w:val="BodyText"/>
        <w:spacing w:line="316" w:lineRule="auto" w:before="19"/>
        <w:ind w:left="513" w:right="4990"/>
        <w:jc w:val="left"/>
      </w:pPr>
      <w:r>
        <w:rPr/>
        <w:t>（二）审计应对 我们针对收入确认这一关键审计事项实施的审计程序主要包括： </w:t>
      </w:r>
    </w:p>
    <w:p>
      <w:pPr>
        <w:pStyle w:val="BodyText"/>
        <w:spacing w:line="240" w:lineRule="auto" w:before="19"/>
        <w:ind w:left="513" w:right="2239"/>
        <w:jc w:val="left"/>
      </w:pPr>
      <w:r>
        <w:rPr/>
        <w:t>①了解及评价与收入确认有关的内部控制设计的有效性，并测试了关键控制运行的有效性。 </w:t>
      </w:r>
    </w:p>
    <w:p>
      <w:pPr>
        <w:pStyle w:val="BodyText"/>
        <w:spacing w:line="316" w:lineRule="auto" w:before="76"/>
        <w:ind w:left="153" w:right="0" w:firstLine="360"/>
        <w:jc w:val="left"/>
      </w:pPr>
      <w:r>
        <w:rPr>
          <w:spacing w:val="-2"/>
        </w:rPr>
        <w:t>②选取样本检查销售合同及对管理层进行访谈，对与收入确认有关的重大风险及报酬转移时点进行了分析评价，进而评</w:t>
      </w:r>
      <w:r>
        <w:rPr/>
        <w:t> 价公司的收入确认政策是否符合企业会计准则的规定，并采用一致的会计处理方法。 </w:t>
      </w:r>
    </w:p>
    <w:p>
      <w:pPr>
        <w:pStyle w:val="BodyText"/>
        <w:spacing w:line="240" w:lineRule="auto" w:before="19"/>
        <w:ind w:left="513" w:right="2239"/>
        <w:jc w:val="left"/>
      </w:pPr>
      <w:r>
        <w:rPr/>
        <w:t>③选取样本检查与收入确认相关的支持性文件，包括销售合同、发票、客户验收单据等。 </w:t>
      </w:r>
    </w:p>
    <w:p>
      <w:pPr>
        <w:pStyle w:val="BodyText"/>
        <w:spacing w:line="240" w:lineRule="auto" w:before="76"/>
        <w:ind w:left="513" w:right="0"/>
        <w:jc w:val="left"/>
      </w:pPr>
      <w:r>
        <w:rPr/>
        <w:t>④针对资产负债表日前后确认的销售收入核对至客户验收单据等支持性文件，以评价销售收入是否在恰当的期间确认</w:t>
      </w:r>
      <w:r>
        <w:rPr>
          <w:spacing w:val="-82"/>
        </w:rPr>
        <w:t>。</w:t>
      </w:r>
      <w:r>
        <w:rPr/>
        <w:t> </w:t>
      </w:r>
    </w:p>
    <w:p>
      <w:pPr>
        <w:pStyle w:val="BodyText"/>
        <w:spacing w:line="316" w:lineRule="auto" w:before="76"/>
        <w:ind w:left="153" w:right="0" w:firstLine="360"/>
        <w:jc w:val="left"/>
      </w:pPr>
      <w:r>
        <w:rPr>
          <w:spacing w:val="-2"/>
        </w:rPr>
        <w:t>⑤对重大、新增主要客户和与关联方的业务发生情况实施函证程序，并对这些客户进行背景调查等，检查相关业务的真</w:t>
      </w:r>
      <w:r>
        <w:rPr/>
        <w:t> 实性及交易的合理性。 </w:t>
      </w:r>
    </w:p>
    <w:p>
      <w:pPr>
        <w:pStyle w:val="BodyText"/>
        <w:spacing w:line="316" w:lineRule="auto" w:before="19"/>
        <w:ind w:left="513" w:right="1117"/>
        <w:jc w:val="left"/>
      </w:pPr>
      <w:r>
        <w:rPr/>
        <w:t>4、其他信息 </w:t>
      </w:r>
      <w:r>
        <w:rPr>
          <w:spacing w:val="-2"/>
        </w:rPr>
        <w:t>榕基软件公司管理层对其他信息负责。其他信息包括榕基软件公司2018年年度报告中涵盖的信息，但不包括财务报表和</w:t>
      </w:r>
    </w:p>
    <w:p>
      <w:pPr>
        <w:pStyle w:val="BodyText"/>
        <w:spacing w:line="316" w:lineRule="auto" w:before="19"/>
        <w:ind w:left="513" w:right="2239" w:hanging="360"/>
        <w:jc w:val="left"/>
      </w:pPr>
      <w:r>
        <w:rPr/>
        <w:t>我们的审计报告。 我们对财务报表发表的审计意见不涵盖其他信息，我们也不对其他信息发表任何形式的鉴证结论。 </w:t>
      </w:r>
    </w:p>
    <w:p>
      <w:pPr>
        <w:pStyle w:val="BodyText"/>
        <w:spacing w:line="316" w:lineRule="auto" w:before="19"/>
        <w:ind w:left="153" w:right="0" w:firstLine="360"/>
        <w:jc w:val="left"/>
      </w:pPr>
      <w:r>
        <w:rPr>
          <w:spacing w:val="-2"/>
        </w:rPr>
        <w:t>结合我们对财务报表的审计，我们的责任是阅读其他信息，在此过程中，考虑其他信息是否与财务报表或我们在审计过</w:t>
      </w:r>
      <w:r>
        <w:rPr/>
        <w:t> 程中了解到的情况存在重大不一致或者似乎存在重大错报。 </w:t>
      </w:r>
    </w:p>
    <w:p>
      <w:pPr>
        <w:pStyle w:val="BodyText"/>
        <w:spacing w:line="316" w:lineRule="auto" w:before="19"/>
        <w:ind w:left="153" w:right="1117" w:firstLine="360"/>
        <w:jc w:val="left"/>
      </w:pPr>
      <w:r>
        <w:rPr>
          <w:spacing w:val="-2"/>
        </w:rPr>
        <w:t>基于我们已执行的工作，如果我们确定其他信息存在重大错报，我们应当报告该事实。在这方面，我们无任何事项需要</w:t>
      </w:r>
      <w:r>
        <w:rPr/>
        <w:t> 报告。 </w:t>
      </w:r>
    </w:p>
    <w:p>
      <w:pPr>
        <w:pStyle w:val="BodyText"/>
        <w:spacing w:line="316" w:lineRule="auto" w:before="19"/>
        <w:ind w:left="513" w:right="0"/>
        <w:jc w:val="left"/>
      </w:pPr>
      <w:r>
        <w:rPr/>
        <w:t>5、管理层和治理层对财务报表的责任 </w:t>
      </w:r>
      <w:r>
        <w:rPr>
          <w:spacing w:val="-2"/>
        </w:rPr>
        <w:t>榕基软件公司管理层负责按照企业会计准则的规定编制财务报表，使其实现公允反映，并设计、执行和维护必要的内部</w:t>
      </w:r>
    </w:p>
    <w:p>
      <w:pPr>
        <w:pStyle w:val="BodyText"/>
        <w:spacing w:line="316" w:lineRule="auto" w:before="19"/>
        <w:ind w:left="513" w:right="0" w:hanging="360"/>
        <w:jc w:val="left"/>
      </w:pPr>
      <w:r>
        <w:rPr/>
        <w:t>控制，以使财务报表不存在由于舞弊或错误导致的重大错报。 </w:t>
      </w:r>
      <w:r>
        <w:rPr>
          <w:spacing w:val="-2"/>
        </w:rPr>
        <w:t>在编制财务报表时，管理层负责评估榕基软件公司的持续经营能力，披露与持续经营相关的事项（如适用），并运用持</w:t>
      </w:r>
    </w:p>
    <w:p>
      <w:pPr>
        <w:pStyle w:val="BodyText"/>
        <w:spacing w:line="316" w:lineRule="auto" w:before="19"/>
        <w:ind w:left="513" w:right="3730" w:hanging="360"/>
        <w:jc w:val="left"/>
      </w:pPr>
      <w:r>
        <w:rPr/>
        <w:t>续经营假设，除非管理层计划清算榕基软件公司、终止运营或别无其他现实的选择。 治理层负责监督榕基软件公司的财务报告过程。 6、注册会计师对财务报表审计的责任 </w:t>
      </w:r>
    </w:p>
    <w:p>
      <w:pPr>
        <w:pStyle w:val="BodyText"/>
        <w:spacing w:line="316" w:lineRule="auto" w:before="19"/>
        <w:ind w:left="153"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 </w:t>
      </w:r>
    </w:p>
    <w:p>
      <w:pPr>
        <w:pStyle w:val="BodyText"/>
        <w:spacing w:line="240" w:lineRule="auto" w:before="19"/>
        <w:ind w:left="513" w:right="0"/>
        <w:jc w:val="left"/>
      </w:pPr>
      <w:r>
        <w:rPr/>
        <w:t>在按照审计准则执行审计工作的过程中，我们运用职业判断，并保持职业怀疑。同时，我们也执行以下工作： </w:t>
      </w:r>
    </w:p>
    <w:p>
      <w:pPr>
        <w:pStyle w:val="BodyText"/>
        <w:spacing w:line="316" w:lineRule="auto" w:before="76"/>
        <w:ind w:left="153" w:right="1031"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 </w:t>
      </w:r>
    </w:p>
    <w:p>
      <w:pPr>
        <w:pStyle w:val="BodyText"/>
        <w:spacing w:line="240" w:lineRule="auto" w:before="19"/>
        <w:ind w:left="513" w:right="0"/>
        <w:jc w:val="left"/>
      </w:pPr>
      <w:r>
        <w:rPr/>
        <w:t>（2）了解与审计相关的内部控制，以设计恰当的审计程序，但目的并非对内部控制的有效性发表意见。 </w:t>
      </w:r>
    </w:p>
    <w:p>
      <w:pPr>
        <w:pStyle w:val="BodyText"/>
        <w:spacing w:line="240" w:lineRule="auto" w:before="76"/>
        <w:ind w:left="513" w:right="2239"/>
        <w:jc w:val="left"/>
      </w:pPr>
      <w:r>
        <w:rPr/>
        <w:t>（3）评价管理层选用会计政策的恰当性和作出会计估计及相关披露的合理性。 </w:t>
      </w:r>
    </w:p>
    <w:p>
      <w:pPr>
        <w:pStyle w:val="BodyText"/>
        <w:spacing w:line="316" w:lineRule="auto" w:before="76"/>
        <w:ind w:left="153" w:right="1130" w:firstLine="360"/>
        <w:jc w:val="both"/>
      </w:pPr>
      <w:r>
        <w:rPr/>
        <w:t>（4）对管理层使用持续经营假设的恰当性得出结论。同时，根据获取的审计证据，就可能导致对榕基软件公司的持续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p>
    <w:p>
      <w:pPr>
        <w:spacing w:after="0" w:line="316"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2239"/>
        <w:jc w:val="left"/>
      </w:pPr>
      <w:r>
        <w:rPr/>
        <w:t>结论基于截至审计报告日可获得的信息。然而，未来的事项或情况可能导致榕基软件公司不能持续经营。 </w:t>
      </w:r>
    </w:p>
    <w:p>
      <w:pPr>
        <w:pStyle w:val="BodyText"/>
        <w:spacing w:line="240" w:lineRule="auto" w:before="76"/>
        <w:ind w:left="513" w:right="0"/>
        <w:jc w:val="left"/>
      </w:pPr>
      <w:r>
        <w:rPr/>
        <w:t>（5）评价财务报表的总体列报、结构和内容（包括披露），并评价财务报表是否公允反映相关交易和事项。 </w:t>
      </w:r>
    </w:p>
    <w:p>
      <w:pPr>
        <w:pStyle w:val="BodyText"/>
        <w:spacing w:line="316" w:lineRule="auto" w:before="76"/>
        <w:ind w:left="153" w:right="1138" w:firstLine="360"/>
        <w:jc w:val="both"/>
      </w:pPr>
      <w:r>
        <w:rPr/>
        <w:t>（6）就榕基软件公司中实体或业务活动的财务信息获取充分、适当的审计证据，以对财务报表发表意见。我们负责指 导、监督和执行集团审计，并对审计意见承担全部责任。 </w:t>
      </w:r>
    </w:p>
    <w:p>
      <w:pPr>
        <w:pStyle w:val="BodyText"/>
        <w:spacing w:line="316" w:lineRule="auto" w:before="19"/>
        <w:ind w:left="153" w:right="1130" w:firstLine="360"/>
        <w:jc w:val="both"/>
      </w:pPr>
      <w:r>
        <w:rPr>
          <w:spacing w:val="-2"/>
        </w:rPr>
        <w:t>我们与治理层就计划的审计范围、时间安排和重大审计发现等事项进行沟通，包括沟通我们在审计中识别出的值得关注</w:t>
      </w:r>
      <w:r>
        <w:rPr/>
        <w:t> 的内部控制缺陷。 </w:t>
      </w:r>
    </w:p>
    <w:p>
      <w:pPr>
        <w:pStyle w:val="BodyText"/>
        <w:spacing w:line="316" w:lineRule="auto" w:before="19"/>
        <w:ind w:left="153" w:right="1130"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 </w:t>
      </w:r>
    </w:p>
    <w:p>
      <w:pPr>
        <w:pStyle w:val="BodyText"/>
        <w:spacing w:line="316" w:lineRule="auto" w:before="19"/>
        <w:ind w:left="153"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8" w:footer="977" w:top="1060" w:bottom="1160" w:left="980" w:right="0"/>
        </w:sectPr>
      </w:pPr>
    </w:p>
    <w:p>
      <w:pPr>
        <w:spacing w:line="240" w:lineRule="auto" w:before="3"/>
        <w:rPr>
          <w:rFonts w:ascii="宋体" w:hAnsi="宋体" w:cs="宋体" w:eastAsia="宋体" w:hint="default"/>
          <w:sz w:val="14"/>
          <w:szCs w:val="14"/>
        </w:rPr>
      </w:pPr>
    </w:p>
    <w:p>
      <w:pPr>
        <w:pStyle w:val="BodyText"/>
        <w:spacing w:line="240" w:lineRule="auto"/>
        <w:ind w:left="163" w:right="-20"/>
        <w:jc w:val="left"/>
      </w:pPr>
      <w:r>
        <w:rPr/>
        <w:t>致同会计师事务所</w:t>
      </w:r>
    </w:p>
    <w:p>
      <w:pPr>
        <w:pStyle w:val="BodyText"/>
        <w:spacing w:line="240" w:lineRule="auto" w:before="76"/>
        <w:ind w:left="163" w:right="-20"/>
        <w:jc w:val="left"/>
      </w:pPr>
      <w:r>
        <w:rPr/>
        <w:t>（特殊普通合伙）</w:t>
      </w:r>
    </w:p>
    <w:p>
      <w:pPr>
        <w:spacing w:line="240" w:lineRule="auto" w:before="3"/>
        <w:rPr>
          <w:rFonts w:ascii="宋体" w:hAnsi="宋体" w:cs="宋体" w:eastAsia="宋体" w:hint="default"/>
          <w:sz w:val="14"/>
          <w:szCs w:val="14"/>
        </w:rPr>
      </w:pPr>
      <w:r>
        <w:rPr/>
        <w:br w:type="column"/>
      </w:r>
      <w:r>
        <w:rPr>
          <w:rFonts w:ascii="宋体"/>
          <w:sz w:val="14"/>
        </w:rPr>
      </w:r>
    </w:p>
    <w:p>
      <w:pPr>
        <w:pStyle w:val="BodyText"/>
        <w:spacing w:line="240" w:lineRule="auto"/>
        <w:ind w:left="163" w:right="0"/>
        <w:jc w:val="left"/>
      </w:pPr>
      <w:r>
        <w:rPr/>
        <w:t>中国注册会计师</w:t>
      </w:r>
    </w:p>
    <w:p>
      <w:pPr>
        <w:pStyle w:val="BodyText"/>
        <w:spacing w:line="240" w:lineRule="auto" w:before="76"/>
        <w:ind w:left="163" w:right="0"/>
        <w:jc w:val="left"/>
      </w:pP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163" w:right="0"/>
        <w:jc w:val="left"/>
      </w:pPr>
      <w:r>
        <w:rPr/>
        <w:t>中国注册会计师</w:t>
      </w:r>
    </w:p>
    <w:p>
      <w:pPr>
        <w:spacing w:after="0" w:line="240" w:lineRule="auto"/>
        <w:jc w:val="left"/>
        <w:sectPr>
          <w:type w:val="continuous"/>
          <w:pgSz w:w="11910" w:h="16840"/>
          <w:pgMar w:top="1060" w:bottom="1160" w:left="980" w:right="0"/>
          <w:cols w:num="2" w:equalWidth="0">
            <w:col w:w="1604" w:space="3461"/>
            <w:col w:w="58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4591" w:val="left" w:leader="none"/>
        </w:tabs>
        <w:spacing w:line="240" w:lineRule="auto"/>
        <w:ind w:left="163" w:right="2239"/>
        <w:jc w:val="left"/>
      </w:pPr>
      <w:r>
        <w:rPr/>
        <w:t>中国</w:t>
      </w:r>
      <w:r>
        <w:rPr>
          <w:rFonts w:ascii="Times New Roman" w:hAnsi="Times New Roman" w:cs="Times New Roman" w:eastAsia="Times New Roman" w:hint="default"/>
        </w:rPr>
        <w:t>ꞏ</w:t>
      </w:r>
      <w:r>
        <w:rPr/>
        <w:t>北京</w:t>
        <w:tab/>
        <w:t>二Ｏ一九年 三</w:t>
      </w:r>
      <w:r>
        <w:rPr>
          <w:spacing w:val="-37"/>
        </w:rPr>
        <w:t> </w:t>
      </w:r>
      <w:r>
        <w:rPr/>
        <w:t>月二十九日</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t>财务附注中报表的单位为：人民币元</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240" w:lineRule="auto" w:before="44"/>
        <w:ind w:right="-20"/>
        <w:jc w:val="left"/>
      </w:pPr>
      <w:r>
        <w:rPr/>
        <w:t>编制单位：福建榕基软件股份有限公司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215" w:space="862"/>
            <w:col w:w="1639" w:space="3203"/>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328,903,731.81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207,736,984.65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损益的金融资产</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176,359,422.88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121,300,506.60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1,945,500.00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176,359,422.88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119,355,006.60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18,545,860.03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10,498,805.02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54,676,009.17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61,309,441.33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603,902.82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172,951.90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9,605,000.00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726,307,455.54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772,316,481.37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175,650,333.43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450,893,418.56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826,604,021.18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1,931,336,231.42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1,999,766,240.15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117,136,960.65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114,685,687.77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38,048,635.97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20,211,068.83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36,571,761.90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206,642,453.30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148,040,779.90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140,734,710.13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127,930,377.34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37,558,697.72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47,199,410.07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4,268,278.06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330,849.13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18,851,382.78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22,876,446.39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2,756,000.00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9,607,320.10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596,059,551.47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593,191,268.57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2,527,395,782.89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2,592,957,508.72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 损益的金融负债</w:t>
            </w:r>
          </w:p>
        </w:tc>
        <w:tc>
          <w:tcPr>
            <w:tcW w:w="3406" w:type="dxa"/>
            <w:tcBorders>
              <w:top w:val="single" w:sz="4" w:space="0" w:color="000000"/>
              <w:left w:val="single" w:sz="13" w:space="0" w:color="D3D3D3"/>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262,021,078.23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296,360,814.79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150,763,602.00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225,356,038.20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23,642,089.45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19,214,168.58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10,003,364.51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9,671,054.69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72,803,556.54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29,015,934.67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502,012.50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541,031.25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54,267,481.12</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19,900,891.16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20,431,377.14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1,023,402,063.01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1,095,049,388.07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40,332,777.79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63,352,018.49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40,332,777.79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63,352,018.49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1,063,734,840.80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1,158,401,406.56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369,358,612.29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369,358,612.29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7,403,655.99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3,222,576.52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67,571,711.68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62,544,866.36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390,446,966.99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366,831,675.06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1,456,980,946.95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1,424,157,730.23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6,679,995.14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10,398,371.93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1,463,660,942.09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1,434,556,102.16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2,527,395,782.89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2,592,957,508.72</w:t>
            </w:r>
          </w:p>
        </w:tc>
      </w:tr>
    </w:tbl>
    <w:p>
      <w:pPr>
        <w:spacing w:line="240" w:lineRule="auto" w:before="2"/>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28"/>
        <w:jc w:val="right"/>
      </w:pPr>
      <w:r>
        <w:rPr/>
        <w:t>法定代表人：鲁峰</w:t>
        <w:tab/>
        <w:t>主管会计工作负责人：侯伟</w:t>
        <w:tab/>
        <w:t>会计机构负责人：镇千金</w:t>
      </w:r>
    </w:p>
    <w:p>
      <w:pPr>
        <w:spacing w:line="240" w:lineRule="auto" w:before="0"/>
        <w:rPr>
          <w:rFonts w:ascii="宋体" w:hAnsi="宋体" w:cs="宋体" w:eastAsia="宋体" w:hint="default"/>
          <w:sz w:val="18"/>
          <w:szCs w:val="18"/>
        </w:rPr>
      </w:pPr>
    </w:p>
    <w:p>
      <w:pPr>
        <w:pStyle w:val="Heading3"/>
        <w:spacing w:line="240" w:lineRule="auto" w:before="118"/>
        <w:ind w:right="223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160,172,932.62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66,774,607.08</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益的金融资产</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164,739,644.24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88,278,569.36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164,739,644.24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88,278,569.36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40,722,122.77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10,726,787.63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1,015,266,047.43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639,583,112.83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其中：应收利息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48,215.49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12,857.46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141,620,030.24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178,002,585.74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336,560,742.86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688,181,160.27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1,909,081,520.16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1,671,546,822.91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641,760,404.11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690,243,266.07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12,918,264.27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24,051,361.83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37,897,557.11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32,049,009.43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开发支出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8,969,539.01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21,589,161.92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4,202,108.13</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2,678,762.48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2,871,050.90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751,826,635.11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814,203,850.15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2,660,908,155.27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2,485,750,673.06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495,000,000.00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    以公允价值计量且其变动计入当期损 益的金融负债</w:t>
            </w:r>
          </w:p>
        </w:tc>
        <w:tc>
          <w:tcPr>
            <w:tcW w:w="3301" w:type="dxa"/>
            <w:tcBorders>
              <w:top w:val="single" w:sz="4" w:space="0" w:color="000000"/>
              <w:left w:val="single" w:sz="10" w:space="0" w:color="D3D3D3"/>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244,264,679.20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168,528,647.56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115,195,422.00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181,285,041.27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10,082,456.22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7,658,071.71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5,399,464.04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6,292,755.74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340,483,288.98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152,057,254.15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其中：应付利息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502,012.50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541,031.25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12,791,565.70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13,124,076.70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1,158,216,876.14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1,023,945,847.13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888,333.33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4,048,333.35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1"/>
        <w:gridCol w:w="3301"/>
        <w:gridCol w:w="296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888,333.33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4,048,333.35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1,159,105,209.47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1,027,994,180.48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622,200,000.00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364,193,237.65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364,193,237.65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67,571,711.68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62,544,866.36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447,837,996.47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408,818,388.57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1,501,802,945.80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1,457,756,492.58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2,660,908,155.27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2,485,750,673.06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223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812,488,365.82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742,004,732.30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812,488,365.82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742,004,732.30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823,397,079.51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748,622,108.82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545,142,075.16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496,785,937.98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5,428,199.03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4,928,042.24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48,713,440.20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42,344,621.61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124,754,738.33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120,276,495.30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77,633,613.76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63,658,251.07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18,451,629.43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10,373,399.01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21,835,149.17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13,217,552.20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3,362,275.28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2,411,126.01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3,273,383.60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10,255,361.61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13,432,099.56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9,491,019.24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32,797,084.65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29,991,290.76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2,451,272.88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20,026,939.61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194"/>
              <w:jc w:val="left"/>
              <w:rPr>
                <w:rFonts w:ascii="宋体" w:hAnsi="宋体" w:cs="宋体" w:eastAsia="宋体" w:hint="default"/>
                <w:sz w:val="18"/>
                <w:szCs w:val="18"/>
              </w:rPr>
            </w:pPr>
            <w:r>
              <w:rPr>
                <w:rFonts w:ascii="宋体" w:hAnsi="宋体" w:cs="宋体" w:eastAsia="宋体" w:hint="default"/>
                <w:sz w:val="18"/>
                <w:szCs w:val="18"/>
              </w:rPr>
              <w:t>        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-64,734.89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-101,944.42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35,255,735.63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32,762,989.06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29,692.70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20,573.82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1,709,069.10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512,374.39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33,576,359.23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32,271,188.49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2,430,598.77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870,614.52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31,145,760.46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31,400,573.97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31,145,760.46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31,400,573.97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34,864,137.25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32,763,224.88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-3,718,376.79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-1,362,650.91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4,181,079.47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-6,029,132.25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  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4,181,079.47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-6,029,132.25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    （一）不能重分类进损益的其他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4,181,079.47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-6,029,132.25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98"/>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4,181,079.47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-6,029,132.25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归属于少数股东的其他综合收益的 税后净额</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35,326,839.93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25,371,441.72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39,045,216.72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26,734,092.63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-3,718,376.79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-1,362,650.91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0.0527</w:t>
            </w:r>
          </w:p>
        </w:tc>
      </w:tr>
    </w:tbl>
    <w:p>
      <w:pPr>
        <w:pStyle w:val="BodyText"/>
        <w:tabs>
          <w:tab w:pos="3573" w:val="left" w:leader="none"/>
          <w:tab w:pos="7713" w:val="left" w:leader="none"/>
        </w:tabs>
        <w:spacing w:line="624" w:lineRule="auto" w:before="51"/>
        <w:ind w:left="153" w:right="1228"/>
        <w:jc w:val="left"/>
      </w:pPr>
      <w:r>
        <w:rPr/>
        <w:t>本期发生同一控制下企业合并的，被合并方在合并前实现的净利润为：元，上期被合并方实现的净利润为：元。 法定代表人：鲁峰</w:t>
        <w:tab/>
        <w:t>主管会计工作负责人：侯伟</w:t>
        <w:tab/>
        <w:t>会计机构负责人：镇千金</w:t>
      </w:r>
    </w:p>
    <w:p>
      <w:pPr>
        <w:pStyle w:val="Heading3"/>
        <w:spacing w:line="240" w:lineRule="auto" w:before="64"/>
        <w:ind w:right="223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591,631,890.13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480,042,761.82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430,645,879.10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294,743,813.97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2,150,188.76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1,805,209.06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24,839,089.45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18,843,442.55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57,440,377.10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65,477,314.72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40,817,905.56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43,759,495.23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21,009,120.28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12,450,394.94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21,835,149.17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13,217,552.20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958,829.35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975,582.78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1,237,115.89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7,685,754.32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11,133,069.91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3,787,060.63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        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28,368,560.89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9,305,767.49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1,517,138.04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711,378.90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-425,334.96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52,982,399.25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47,944,830.19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959.10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1,678,546.68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468,024.39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51,303,852.72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47,477,764.90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1,035,399.50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1,670,441.59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50,268,453.22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45,807,323.31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50,268,453.22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45,807,323.31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97"/>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50,268,453.22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45,807,323.31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223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785,618,423.84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825,974,651.23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客户存款和同业存放款项净增加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向其他金融机构拆入资金净增加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492,659.52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1,910,985.29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42,237,963.17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16,888,640.29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828,349,046.53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844,774,276.81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565,426,690.10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551,576,048.63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存放中央银行和同业款项净增加 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107,302,150.13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86,409,016.35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20,666,869.60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14,455,711.04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108,558,073.67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102,697,698.55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801,953,783.50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755,138,474.57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26,395,263.03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89,635,802.24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2,350,791,180.00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1,207,501,322.00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36,764,482.12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14,645,449.29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420,321.27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183,200.00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2,430,975,983.39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1,222,329,971.29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261,998,249.61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166,679,340.50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1,954,608,800.00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1,844,147,702.00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2,216,607,049.61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2,010,827,042.50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214,368,933.78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-788,497,071.21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617,450,000.00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19,102,849.08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303,102,849.08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314,347,150.92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4,517,236.28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-5,372,025.39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152,185,265.17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-389,886,143.44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91,924,016.02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481,810,159.46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244,109,281.19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91,924,016.02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223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510,026,444.93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494,938,984.14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385,575.13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1,652,882.72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154,011,377.84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24,109,942.22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664,423,397.90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520,701,809.08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393,965,030.13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268,265,168.42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支付给职工以及为职工支付的现 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42,164,792.79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33,532,470.10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11,983,712.85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8,328,229.42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429,146,433.53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150,616,476.85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877,259,969.30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460,742,344.79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-212,836,571.40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59,959,464.29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793,009,400.00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26,816,064.82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12,565,214.28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    处置固定资产、无形资产和其他</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479,990.00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1,827,918,064.82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806,054,604.28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17,536,042.70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28,751,175.39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1,235,550,000.00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1,429,536,042.70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1,264,301,175.39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398,382,022.12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-458,246,571.11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    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19,102,849.08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523,096,167.92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303,102,849.08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-93,096,167.92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311,897,150.92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-41,196.65</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92,575,328.19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-86,431,152.55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54,458,770.45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140,889,923.00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147,034,098.64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54,458,770.45</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本期金额</w:t>
      </w:r>
    </w:p>
    <w:p>
      <w:pPr>
        <w:pStyle w:val="BodyText"/>
        <w:spacing w:line="240" w:lineRule="auto" w:before="116"/>
        <w:ind w:left="0" w:right="1131"/>
        <w:jc w:val="right"/>
      </w:pPr>
      <w:r>
        <w:rPr/>
        <w:t>单位：元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5pt;height:21.1pt;mso-position-horizontal-relative:char;mso-position-vertical-relative:line" coordorigin="0,0" coordsize="9590,422">
            <v:group style="position:absolute;left:1420;top:14;width:23;height:393" coordorigin="1420,14" coordsize="23,393">
              <v:shape style="position:absolute;left:1420;top:14;width:23;height:393" coordorigin="1420,14" coordsize="23,393" path="m1420,407l1442,407,1442,14,1420,14,142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1383;height:393" coordorigin="37,14" coordsize="1383,393">
              <v:shape style="position:absolute;left:37;top:14;width:1383;height:393" coordorigin="37,14" coordsize="1383,393" path="m37,407l1420,407,1420,14,37,14,37,407xe" filled="true" fillcolor="#d3d3d3" stroked="false">
                <v:path arrowok="t"/>
                <v:fill type="solid"/>
              </v:shape>
            </v:group>
            <v:group style="position:absolute;left:1452;top:14;width:24;height:393" coordorigin="1452,14" coordsize="24,393">
              <v:shape style="position:absolute;left:1452;top:14;width:24;height:393" coordorigin="1452,14" coordsize="24,393" path="m1452,407l1476,407,1476,14,1452,14,1452,407xe" filled="true" fillcolor="#d3d3d3"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d3d3d3" stroked="false">
                <v:path arrowok="t"/>
                <v:fill type="solid"/>
              </v:shape>
            </v:group>
            <v:group style="position:absolute;left:1476;top:14;width:8076;height:393" coordorigin="1476,14" coordsize="8076,393">
              <v:shape style="position:absolute;left:1476;top:14;width:8076;height:393" coordorigin="1476,14" coordsize="8076,393" path="m1476,407l9552,407,9552,14,1476,14,1476,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1438;height:2" coordorigin="5,412" coordsize="1438,2">
              <v:shape style="position:absolute;left:5;top:412;width:1438;height:2" coordorigin="5,412" coordsize="1438,0" path="m5,412l1442,412e" filled="false" stroked="true" strokeweight=".47998pt" strokecolor="#000000">
                <v:path arrowok="t"/>
              </v:shape>
            </v:group>
            <v:group style="position:absolute;left:1447;top:14;width:2;height:402" coordorigin="1447,14" coordsize="2,402">
              <v:shape style="position:absolute;left:1447;top:14;width:2;height:402" coordorigin="1447,14" coordsize="0,402" path="m1447,14l1447,416e" filled="false" stroked="true" strokeweight=".48001pt" strokecolor="#000000">
                <v:path arrowok="t"/>
              </v:shape>
            </v:group>
            <v:group style="position:absolute;left:1452;top:412;width:8123;height:2" coordorigin="1452,412" coordsize="8123,2">
              <v:shape style="position:absolute;left:1452;top:412;width:8123;height:2" coordorigin="1452,412" coordsize="8123,0" path="m1452,412l9575,412e" filled="false" stroked="true" strokeweight=".47998pt" strokecolor="#000000">
                <v:path arrowok="t"/>
              </v:shape>
            </v:group>
            <v:group style="position:absolute;left:9580;top:5;width:2;height:412" coordorigin="9580,5" coordsize="2,412">
              <v:shape style="position:absolute;left:9580;top:5;width:2;height:412" coordorigin="9580,5" coordsize="0,412" path="m9580,5l9580,416e" filled="false" stroked="true" strokeweight=".47998pt" strokecolor="#000000">
                <v:path arrowok="t"/>
              </v:shape>
              <v:shape style="position:absolute;left:10;top:10;width:143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33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3,222,5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366,831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,675.06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10,398,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371.93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56,102.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3,222,5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366,831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,675.06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10,398,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371.93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56,102.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4,181,0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45.32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23,615,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291.93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-3,718,3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29,104,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839.93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4,181,0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34,864,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137.25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-3,718,3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35,326,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839.93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45.32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-11,248,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845.32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45.32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45.32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7,403,6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67,571,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711.68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390,446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,966.99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6,679,9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95.14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1,463,6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60,942.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bl>
    <w:p>
      <w:pPr>
        <w:pStyle w:val="BodyText"/>
        <w:spacing w:line="240" w:lineRule="auto" w:before="51"/>
        <w:ind w:right="2239"/>
        <w:jc w:val="left"/>
      </w:pPr>
      <w:r>
        <w:rPr/>
        <w:t>上期金额</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9,251,7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344,871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,182.51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9,311,0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        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9,251,7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344,871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,182.51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9,311,0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21,960,</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492.55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1,087,3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49.09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21,599,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441.72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32,763,</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224.88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-1,362,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650.91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25,371,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441.72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-10,802,</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732.33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32.33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3,222,5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366,831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,675.06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10,398,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371.93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223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本期金额</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62,544,86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408,818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1,457,756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46"/>
              <w:jc w:val="left"/>
              <w:rPr>
                <w:rFonts w:ascii="宋体" w:hAnsi="宋体" w:cs="宋体" w:eastAsia="宋体" w:hint="default"/>
                <w:sz w:val="18"/>
                <w:szCs w:val="18"/>
              </w:rPr>
            </w:pPr>
            <w:r>
              <w:rPr>
                <w:rFonts w:ascii="宋体" w:hAnsi="宋体" w:cs="宋体" w:eastAsia="宋体" w:hint="default"/>
                <w:sz w:val="18"/>
                <w:szCs w:val="18"/>
              </w:rPr>
              <w:t>        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62,544,86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408,818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1,457,756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5,026,845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39,019,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607.90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44,046,45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3.22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453.22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50,268,45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3.22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5,026,845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-11,248,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845.32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5,026,845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-5,026,8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45.32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67,571,71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447,837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,996.47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1,501,802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,945.80</w:t>
            </w:r>
          </w:p>
        </w:tc>
      </w:tr>
    </w:tbl>
    <w:p>
      <w:pPr>
        <w:pStyle w:val="BodyText"/>
        <w:spacing w:line="240" w:lineRule="auto" w:before="51"/>
        <w:ind w:right="2239"/>
        <w:jc w:val="left"/>
      </w:pPr>
      <w:r>
        <w:rPr/>
        <w:t>上期金额</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57,964,13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373,813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1,418,171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,169.27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        前期差</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57,964,13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373,813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,797.59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1,418,171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,169.27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35,004,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590.98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39,585,32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-10,802,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732.33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32.33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0"/>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62,544,86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408,818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1,457,756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2239"/>
        <w:jc w:val="left"/>
      </w:pPr>
      <w:r>
        <w:rPr>
          <w:rFonts w:ascii="Times New Roman" w:hAnsi="Times New Roman" w:cs="Times New Roman" w:eastAsia="Times New Roman" w:hint="default"/>
        </w:rPr>
        <w:t>1</w:t>
      </w:r>
      <w:r>
        <w:rPr/>
        <w:t>、公司概况</w:t>
      </w:r>
    </w:p>
    <w:p>
      <w:pPr>
        <w:pStyle w:val="BodyText"/>
        <w:spacing w:line="528" w:lineRule="exact" w:before="66"/>
        <w:ind w:left="513" w:right="1125"/>
        <w:jc w:val="left"/>
      </w:pPr>
      <w:r>
        <w:rPr/>
        <w:t>（1）历史沿革 </w:t>
      </w:r>
      <w:r>
        <w:rPr>
          <w:spacing w:val="-1"/>
        </w:rPr>
        <w:t>福建榕基软件股份有限公司（原名</w:t>
      </w:r>
      <w:r>
        <w:rPr>
          <w:rFonts w:ascii="Times New Roman" w:hAnsi="Times New Roman" w:cs="Times New Roman" w:eastAsia="Times New Roman" w:hint="default"/>
          <w:spacing w:val="-1"/>
        </w:rPr>
        <w:t>“</w:t>
      </w:r>
      <w:r>
        <w:rPr>
          <w:spacing w:val="-1"/>
        </w:rPr>
        <w:t>福建榕基软件开发有限公司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）原由刘启鄂、侯伟及宁金成等三</w:t>
      </w:r>
    </w:p>
    <w:p>
      <w:pPr>
        <w:pStyle w:val="BodyText"/>
        <w:spacing w:line="300" w:lineRule="auto"/>
        <w:ind w:left="153" w:right="1129"/>
        <w:jc w:val="both"/>
      </w:pPr>
      <w:r>
        <w:rPr>
          <w:spacing w:val="-2"/>
        </w:rPr>
        <w:t>个自然人股东共同投资设立，于</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日取得《企业法人营业执照》。</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日采取发起方式整体变更为福建</w:t>
      </w:r>
      <w:r>
        <w:rPr>
          <w:spacing w:val="-50"/>
        </w:rPr>
        <w:t> </w:t>
      </w:r>
      <w:r>
        <w:rPr/>
        <w:t>榕基软件股份有限公司，取得福建省工商行政管理局核发的</w:t>
      </w:r>
      <w:r>
        <w:rPr>
          <w:rFonts w:ascii="Times New Roman" w:hAnsi="Times New Roman" w:cs="Times New Roman" w:eastAsia="Times New Roman" w:hint="default"/>
        </w:rPr>
        <w:t>350000100001214</w:t>
      </w:r>
      <w:r>
        <w:rPr/>
        <w:t>号《企业法人营业执照》，注册资本变更为人</w:t>
      </w:r>
      <w:r>
        <w:rPr>
          <w:spacing w:val="-84"/>
        </w:rPr>
        <w:t> </w:t>
      </w:r>
      <w:r>
        <w:rPr>
          <w:spacing w:val="-84"/>
        </w:rPr>
      </w:r>
      <w:r>
        <w:rPr>
          <w:spacing w:val="-2"/>
        </w:rPr>
        <w:t>民币</w:t>
      </w:r>
      <w:r>
        <w:rPr>
          <w:rFonts w:ascii="Times New Roman" w:hAnsi="Times New Roman" w:cs="Times New Roman" w:eastAsia="Times New Roman" w:hint="default"/>
          <w:spacing w:val="-2"/>
        </w:rPr>
        <w:t>7,770</w:t>
      </w:r>
      <w:r>
        <w:rPr>
          <w:spacing w:val="-2"/>
        </w:rPr>
        <w:t>万元，股本总额为</w:t>
      </w:r>
      <w:r>
        <w:rPr>
          <w:rFonts w:ascii="Times New Roman" w:hAnsi="Times New Roman" w:cs="Times New Roman" w:eastAsia="Times New Roman" w:hint="default"/>
          <w:spacing w:val="-2"/>
        </w:rPr>
        <w:t>7,770</w:t>
      </w:r>
      <w:r>
        <w:rPr>
          <w:spacing w:val="-2"/>
        </w:rPr>
        <w:t>万股，每股面值</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[2010]1099</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
        </w:rPr>
        <w:t> </w:t>
      </w:r>
      <w:r>
        <w:rPr>
          <w:spacing w:val="-2"/>
        </w:rPr>
        <w:t>文《关于核准福建榕基软件股份有限公司首次公开发行股票的批复》核准，本公司于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日首次向社会公开发行人民</w:t>
      </w:r>
      <w:r>
        <w:rPr>
          <w:spacing w:val="-60"/>
        </w:rPr>
        <w:t> </w:t>
      </w:r>
      <w:r>
        <w:rPr/>
        <w:t>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2,600</w:t>
      </w:r>
      <w:r>
        <w:rPr/>
        <w:t>万股，每股面值</w:t>
      </w:r>
      <w:r>
        <w:rPr>
          <w:rFonts w:ascii="Times New Roman" w:hAnsi="Times New Roman" w:cs="Times New Roman" w:eastAsia="Times New Roman" w:hint="default"/>
        </w:rPr>
        <w:t>1</w:t>
      </w:r>
      <w:r>
        <w:rPr/>
        <w:t>元，每股发行价格</w:t>
      </w:r>
      <w:r>
        <w:rPr>
          <w:rFonts w:ascii="Times New Roman" w:hAnsi="Times New Roman" w:cs="Times New Roman" w:eastAsia="Times New Roman" w:hint="default"/>
        </w:rPr>
        <w:t>37.00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日，本公司向社会公开发行的</w:t>
      </w:r>
      <w:r>
        <w:rPr>
          <w:rFonts w:ascii="Times New Roman" w:hAnsi="Times New Roman" w:cs="Times New Roman" w:eastAsia="Times New Roman" w:hint="default"/>
        </w:rPr>
        <w:t>2,600</w:t>
      </w:r>
      <w:r>
        <w:rPr/>
        <w:t>万股人</w:t>
      </w:r>
      <w:r>
        <w:rPr>
          <w:spacing w:val="-83"/>
        </w:rPr>
        <w:t> </w:t>
      </w:r>
      <w:r>
        <w:rPr>
          <w:spacing w:val="-83"/>
        </w:rPr>
      </w:r>
      <w:r>
        <w:rPr>
          <w:spacing w:val="-1"/>
        </w:rPr>
        <w:t>民币普通股（</w:t>
      </w:r>
      <w:r>
        <w:rPr>
          <w:rFonts w:ascii="Times New Roman" w:hAnsi="Times New Roman" w:cs="Times New Roman" w:eastAsia="Times New Roman" w:hint="default"/>
          <w:spacing w:val="-1"/>
        </w:rPr>
        <w:t>A</w:t>
      </w:r>
      <w:r>
        <w:rPr>
          <w:spacing w:val="-1"/>
        </w:rPr>
        <w:t>股）在深圳证券交易所挂牌上市（股票简称：榕基软件，股票代码</w:t>
      </w:r>
      <w:r>
        <w:rPr>
          <w:rFonts w:ascii="Times New Roman" w:hAnsi="Times New Roman" w:cs="Times New Roman" w:eastAsia="Times New Roman" w:hint="default"/>
          <w:spacing w:val="-1"/>
        </w:rPr>
        <w:t>002474</w:t>
      </w:r>
      <w:r>
        <w:rPr>
          <w:spacing w:val="-1"/>
        </w:rPr>
        <w:t>），发行后注册资本变更为人民币</w:t>
      </w:r>
      <w:r>
        <w:rPr>
          <w:spacing w:val="-69"/>
        </w:rPr>
        <w:t> </w:t>
      </w:r>
      <w:r>
        <w:rPr>
          <w:spacing w:val="-69"/>
        </w:rPr>
      </w:r>
      <w:r>
        <w:rPr>
          <w:rFonts w:ascii="Times New Roman" w:hAnsi="Times New Roman" w:cs="Times New Roman" w:eastAsia="Times New Roman" w:hint="default"/>
        </w:rPr>
        <w:t>10,370</w:t>
      </w:r>
      <w:r>
        <w:rPr/>
        <w:t>万元。</w:t>
      </w:r>
    </w:p>
    <w:p>
      <w:pPr>
        <w:spacing w:line="240" w:lineRule="auto" w:before="7"/>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日，本公司办理完成相关工商登记变更手续，注册资本和股本均由</w:t>
      </w:r>
      <w:r>
        <w:rPr>
          <w:rFonts w:ascii="Times New Roman" w:hAnsi="Times New Roman" w:cs="Times New Roman" w:eastAsia="Times New Roman" w:hint="default"/>
        </w:rPr>
        <w:t>7,770</w:t>
      </w:r>
      <w:r>
        <w:rPr/>
        <w:t>万元变更为</w:t>
      </w:r>
      <w:r>
        <w:rPr>
          <w:rFonts w:ascii="Times New Roman" w:hAnsi="Times New Roman" w:cs="Times New Roman" w:eastAsia="Times New Roman" w:hint="default"/>
        </w:rPr>
        <w:t>10,370</w:t>
      </w:r>
      <w:r>
        <w:rPr/>
        <w:t>万元。</w:t>
      </w:r>
    </w:p>
    <w:p>
      <w:pPr>
        <w:spacing w:line="240" w:lineRule="auto" w:before="4"/>
        <w:rPr>
          <w:rFonts w:ascii="宋体" w:hAnsi="宋体" w:cs="宋体" w:eastAsia="宋体" w:hint="default"/>
          <w:sz w:val="21"/>
          <w:szCs w:val="21"/>
        </w:rPr>
      </w:pPr>
    </w:p>
    <w:p>
      <w:pPr>
        <w:pStyle w:val="BodyText"/>
        <w:spacing w:line="300" w:lineRule="auto"/>
        <w:ind w:left="153" w:right="1121"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日，本公司将资本公积</w:t>
      </w:r>
      <w:r>
        <w:rPr>
          <w:rFonts w:ascii="Times New Roman" w:hAnsi="Times New Roman" w:cs="Times New Roman" w:eastAsia="Times New Roman" w:hint="default"/>
        </w:rPr>
        <w:t>10,370</w:t>
      </w:r>
      <w:r>
        <w:rPr/>
        <w:t>万元转增资本，转增后注册资本变更为人民币</w:t>
      </w:r>
      <w:r>
        <w:rPr>
          <w:rFonts w:ascii="Times New Roman" w:hAnsi="Times New Roman" w:cs="Times New Roman" w:eastAsia="Times New Roman" w:hint="default"/>
        </w:rPr>
        <w:t>20,740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r>
        <w:rPr>
          <w:spacing w:val="1"/>
        </w:rPr>
        <w:t> </w:t>
      </w:r>
      <w:r>
        <w:rPr/>
        <w:t>本公司办理完成相关工商登记变更手续，注册资本和股本均由</w:t>
      </w:r>
      <w:r>
        <w:rPr>
          <w:rFonts w:ascii="Times New Roman" w:hAnsi="Times New Roman" w:cs="Times New Roman" w:eastAsia="Times New Roman" w:hint="default"/>
        </w:rPr>
        <w:t>10,370</w:t>
      </w:r>
      <w:r>
        <w:rPr/>
        <w:t>万元变更为</w:t>
      </w:r>
      <w:r>
        <w:rPr>
          <w:rFonts w:ascii="Times New Roman" w:hAnsi="Times New Roman" w:cs="Times New Roman" w:eastAsia="Times New Roman" w:hint="default"/>
        </w:rPr>
        <w:t>20,740</w:t>
      </w:r>
      <w:r>
        <w:rPr/>
        <w:t>万元。</w:t>
      </w:r>
    </w:p>
    <w:p>
      <w:pPr>
        <w:spacing w:line="240" w:lineRule="auto" w:before="7"/>
        <w:rPr>
          <w:rFonts w:ascii="宋体" w:hAnsi="宋体" w:cs="宋体" w:eastAsia="宋体" w:hint="default"/>
          <w:sz w:val="17"/>
          <w:szCs w:val="17"/>
        </w:rPr>
      </w:pPr>
    </w:p>
    <w:p>
      <w:pPr>
        <w:pStyle w:val="BodyText"/>
        <w:spacing w:line="300" w:lineRule="auto"/>
        <w:ind w:right="0"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日，本公司将资本公积</w:t>
      </w:r>
      <w:r>
        <w:rPr>
          <w:rFonts w:ascii="Times New Roman" w:hAnsi="Times New Roman" w:cs="Times New Roman" w:eastAsia="Times New Roman" w:hint="default"/>
          <w:spacing w:val="-2"/>
        </w:rPr>
        <w:t>10,370</w:t>
      </w:r>
      <w:r>
        <w:rPr>
          <w:spacing w:val="-2"/>
        </w:rPr>
        <w:t>万元转增资本，转增后注册资本变更为</w:t>
      </w:r>
      <w:r>
        <w:rPr>
          <w:rFonts w:ascii="Times New Roman" w:hAnsi="Times New Roman" w:cs="Times New Roman" w:eastAsia="Times New Roman" w:hint="default"/>
          <w:spacing w:val="-2"/>
        </w:rPr>
        <w:t>31,110</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日，本公司办</w:t>
      </w:r>
      <w:r>
        <w:rPr/>
        <w:t> 理完成相关工商登记变更手续，注册资本和股本均由</w:t>
      </w:r>
      <w:r>
        <w:rPr>
          <w:rFonts w:ascii="Times New Roman" w:hAnsi="Times New Roman" w:cs="Times New Roman" w:eastAsia="Times New Roman" w:hint="default"/>
        </w:rPr>
        <w:t>20,740</w:t>
      </w:r>
      <w:r>
        <w:rPr/>
        <w:t>万元变更为</w:t>
      </w:r>
      <w:r>
        <w:rPr>
          <w:rFonts w:ascii="Times New Roman" w:hAnsi="Times New Roman" w:cs="Times New Roman" w:eastAsia="Times New Roman" w:hint="default"/>
        </w:rPr>
        <w:t>31,110</w:t>
      </w:r>
      <w:r>
        <w:rPr/>
        <w:t>万元。</w:t>
      </w:r>
    </w:p>
    <w:p>
      <w:pPr>
        <w:spacing w:line="240" w:lineRule="auto" w:before="7"/>
        <w:rPr>
          <w:rFonts w:ascii="宋体" w:hAnsi="宋体" w:cs="宋体" w:eastAsia="宋体" w:hint="default"/>
          <w:sz w:val="17"/>
          <w:szCs w:val="17"/>
        </w:rPr>
      </w:pPr>
    </w:p>
    <w:p>
      <w:pPr>
        <w:pStyle w:val="BodyText"/>
        <w:spacing w:line="300" w:lineRule="auto"/>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日，本公司将资本公积</w:t>
      </w:r>
      <w:r>
        <w:rPr>
          <w:rFonts w:ascii="Times New Roman" w:hAnsi="Times New Roman" w:cs="Times New Roman" w:eastAsia="Times New Roman" w:hint="default"/>
          <w:spacing w:val="-2"/>
        </w:rPr>
        <w:t>31,110</w:t>
      </w:r>
      <w:r>
        <w:rPr>
          <w:spacing w:val="-2"/>
        </w:rPr>
        <w:t>万元转增资本，转增后注册资本变更为</w:t>
      </w:r>
      <w:r>
        <w:rPr>
          <w:rFonts w:ascii="Times New Roman" w:hAnsi="Times New Roman" w:cs="Times New Roman" w:eastAsia="Times New Roman" w:hint="default"/>
          <w:spacing w:val="-2"/>
        </w:rPr>
        <w:t>62,220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日，本公司办</w:t>
      </w:r>
      <w:r>
        <w:rPr/>
        <w:t> 理完成相关工商登记变更手续，注册资本和股本均由</w:t>
      </w:r>
      <w:r>
        <w:rPr>
          <w:rFonts w:ascii="Times New Roman" w:hAnsi="Times New Roman" w:cs="Times New Roman" w:eastAsia="Times New Roman" w:hint="default"/>
        </w:rPr>
        <w:t>31,110</w:t>
      </w:r>
      <w:r>
        <w:rPr/>
        <w:t>万元变更为</w:t>
      </w:r>
      <w:r>
        <w:rPr>
          <w:rFonts w:ascii="Times New Roman" w:hAnsi="Times New Roman" w:cs="Times New Roman" w:eastAsia="Times New Roman" w:hint="default"/>
        </w:rPr>
        <w:t>62,220</w:t>
      </w:r>
      <w:r>
        <w:rPr/>
        <w:t>万元。</w:t>
      </w:r>
    </w:p>
    <w:p>
      <w:pPr>
        <w:spacing w:line="240" w:lineRule="auto" w:before="7"/>
        <w:rPr>
          <w:rFonts w:ascii="宋体" w:hAnsi="宋体" w:cs="宋体" w:eastAsia="宋体" w:hint="default"/>
          <w:sz w:val="17"/>
          <w:szCs w:val="17"/>
        </w:rPr>
      </w:pPr>
    </w:p>
    <w:p>
      <w:pPr>
        <w:pStyle w:val="BodyText"/>
        <w:spacing w:line="300" w:lineRule="auto"/>
        <w:ind w:right="0"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日，本公司向福建省工商行政管理局申请并完成了</w:t>
      </w:r>
      <w:r>
        <w:rPr>
          <w:rFonts w:ascii="Times New Roman" w:hAnsi="Times New Roman" w:cs="Times New Roman" w:eastAsia="Times New Roman" w:hint="default"/>
        </w:rPr>
        <w:t>“</w:t>
      </w:r>
      <w:r>
        <w:rPr/>
        <w:t>三证合一</w:t>
      </w:r>
      <w:r>
        <w:rPr>
          <w:rFonts w:ascii="Times New Roman" w:hAnsi="Times New Roman" w:cs="Times New Roman" w:eastAsia="Times New Roman" w:hint="default"/>
        </w:rPr>
        <w:t>”</w:t>
      </w:r>
      <w:r>
        <w:rPr/>
        <w:t>的工商变更登记，新取得的《营业执照》统 一社会信用代码为</w:t>
      </w:r>
      <w:r>
        <w:rPr>
          <w:rFonts w:ascii="Times New Roman" w:hAnsi="Times New Roman" w:cs="Times New Roman" w:eastAsia="Times New Roman" w:hint="default"/>
        </w:rPr>
        <w:t>913500006285075795</w:t>
      </w:r>
      <w:r>
        <w:rPr/>
        <w:t>。</w:t>
      </w:r>
    </w:p>
    <w:p>
      <w:pPr>
        <w:spacing w:line="240" w:lineRule="auto" w:before="7"/>
        <w:rPr>
          <w:rFonts w:ascii="宋体" w:hAnsi="宋体" w:cs="宋体" w:eastAsia="宋体" w:hint="default"/>
          <w:sz w:val="17"/>
          <w:szCs w:val="17"/>
        </w:rPr>
      </w:pPr>
    </w:p>
    <w:p>
      <w:pPr>
        <w:pStyle w:val="BodyText"/>
        <w:spacing w:line="537" w:lineRule="auto"/>
        <w:ind w:left="514" w:right="3730"/>
        <w:jc w:val="left"/>
      </w:pPr>
      <w:r>
        <w:rPr/>
        <w:t>（2）法人代表及公司地址 本公司法定代表人为鲁峰，本公司住址为福州市鼓楼区铜盘路福州软件园产业基地。</w:t>
      </w:r>
    </w:p>
    <w:p>
      <w:pPr>
        <w:pStyle w:val="BodyText"/>
        <w:spacing w:line="240" w:lineRule="auto" w:before="69"/>
        <w:ind w:left="514" w:right="2239"/>
        <w:jc w:val="left"/>
      </w:pPr>
      <w:r>
        <w:rPr/>
        <w:t>（3）组织架构</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本公司建立了股东大会、董事会、监事会的法人治理结构，目前设总裁办公室、研发部、财务部、证券部、人力资源部</w:t>
      </w:r>
      <w:r>
        <w:rPr/>
        <w:t> 等部门，拥有浙江榕基信息技术有限公司、榕基五一（北京）信息技术有限公司等</w:t>
      </w:r>
      <w:r>
        <w:rPr>
          <w:rFonts w:ascii="Times New Roman" w:hAnsi="Times New Roman" w:cs="Times New Roman" w:eastAsia="Times New Roman" w:hint="default"/>
        </w:rPr>
        <w:t>15</w:t>
      </w:r>
      <w:r>
        <w:rPr/>
        <w:t>家子公司及</w:t>
      </w:r>
      <w:r>
        <w:rPr>
          <w:rFonts w:ascii="Times New Roman" w:hAnsi="Times New Roman" w:cs="Times New Roman" w:eastAsia="Times New Roman" w:hint="default"/>
        </w:rPr>
        <w:t>5</w:t>
      </w:r>
      <w:r>
        <w:rPr/>
        <w:t>家孙公司。</w:t>
      </w:r>
    </w:p>
    <w:p>
      <w:pPr>
        <w:spacing w:line="240" w:lineRule="auto" w:before="6"/>
        <w:rPr>
          <w:rFonts w:ascii="宋体" w:hAnsi="宋体" w:cs="宋体" w:eastAsia="宋体" w:hint="default"/>
          <w:sz w:val="16"/>
          <w:szCs w:val="16"/>
        </w:rPr>
      </w:pPr>
    </w:p>
    <w:p>
      <w:pPr>
        <w:pStyle w:val="BodyText"/>
        <w:spacing w:line="240" w:lineRule="auto"/>
        <w:ind w:left="514" w:right="2239"/>
        <w:jc w:val="left"/>
      </w:pPr>
      <w:r>
        <w:rPr/>
        <w:t>（4）行业性质及经营范围</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09" w:lineRule="auto" w:before="44"/>
        <w:ind w:left="153" w:right="1130" w:firstLine="360"/>
        <w:jc w:val="both"/>
      </w:pPr>
      <w:r>
        <w:rPr>
          <w:spacing w:val="-2"/>
        </w:rPr>
        <w:t>本公司及子公司（以下简称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）所处行业主要为信息技术行业，本集团经营范围主要包括：计算机及网络软件开</w:t>
      </w:r>
      <w:r>
        <w:rPr/>
        <w:t> </w:t>
      </w:r>
      <w:r>
        <w:rPr>
          <w:spacing w:val="-2"/>
        </w:rPr>
        <w:t>发服务；计算机硬件技术服务；电子计算机及配件的批发零售；对外贸易；电子与智能化工程设计与施工服务；建筑机电安</w:t>
      </w:r>
      <w:r>
        <w:rPr>
          <w:spacing w:val="-66"/>
        </w:rPr>
        <w:t> </w:t>
      </w:r>
      <w:r>
        <w:rPr>
          <w:spacing w:val="-66"/>
        </w:rPr>
      </w:r>
      <w:r>
        <w:rPr/>
        <w:t>装工程设计与施工服务；安防工程设计与施工服务；房地产业的投资。</w:t>
      </w:r>
    </w:p>
    <w:p>
      <w:pPr>
        <w:spacing w:line="240" w:lineRule="auto" w:before="5"/>
        <w:rPr>
          <w:rFonts w:ascii="宋体" w:hAnsi="宋体" w:cs="宋体" w:eastAsia="宋体" w:hint="default"/>
          <w:sz w:val="18"/>
          <w:szCs w:val="18"/>
        </w:rPr>
      </w:pPr>
    </w:p>
    <w:p>
      <w:pPr>
        <w:pStyle w:val="BodyText"/>
        <w:spacing w:line="300" w:lineRule="auto"/>
        <w:ind w:left="153" w:right="0" w:firstLine="360"/>
        <w:jc w:val="left"/>
      </w:pPr>
      <w:r>
        <w:rPr/>
        <w:t>本集团</w:t>
      </w:r>
      <w:r>
        <w:rPr>
          <w:rFonts w:ascii="Times New Roman" w:hAnsi="Times New Roman" w:cs="Times New Roman" w:eastAsia="Times New Roman" w:hint="default"/>
        </w:rPr>
        <w:t>2018</w:t>
      </w:r>
      <w:r>
        <w:rPr/>
        <w:t>年度纳入合并范围的子公司</w:t>
      </w:r>
      <w:r>
        <w:rPr>
          <w:rFonts w:ascii="Times New Roman" w:hAnsi="Times New Roman" w:cs="Times New Roman" w:eastAsia="Times New Roman" w:hint="default"/>
        </w:rPr>
        <w:t>15</w:t>
      </w:r>
      <w:r>
        <w:rPr/>
        <w:t>家、孙公司</w:t>
      </w:r>
      <w:r>
        <w:rPr>
          <w:rFonts w:ascii="Times New Roman" w:hAnsi="Times New Roman" w:cs="Times New Roman" w:eastAsia="Times New Roman" w:hint="default"/>
        </w:rPr>
        <w:t>5</w:t>
      </w:r>
      <w:r>
        <w:rPr/>
        <w:t>家，各家子、孙公司情况详见附注</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 本集团本年度合并范围与上年度相同。</w:t>
      </w:r>
    </w:p>
    <w:p>
      <w:pPr>
        <w:spacing w:line="240" w:lineRule="auto" w:before="9"/>
        <w:rPr>
          <w:rFonts w:ascii="宋体" w:hAnsi="宋体" w:cs="宋体" w:eastAsia="宋体" w:hint="default"/>
          <w:sz w:val="21"/>
          <w:szCs w:val="21"/>
        </w:rPr>
      </w:pPr>
    </w:p>
    <w:p>
      <w:pPr>
        <w:pStyle w:val="Heading2"/>
        <w:spacing w:line="240" w:lineRule="auto"/>
        <w:ind w:right="2239"/>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60"/>
        <w:jc w:val="left"/>
      </w:pPr>
      <w:r>
        <w:rPr>
          <w:spacing w:val="-4"/>
        </w:rPr>
        <w:t>本财务报表按照财政部颁布的企业会计准则及其应用指南、解释及其他有关规定（统称“企业会计准则”）编制。此外，</w:t>
      </w:r>
      <w:r>
        <w:rPr/>
        <w:t> </w:t>
      </w:r>
      <w:r>
        <w:rPr>
          <w:spacing w:val="-2"/>
        </w:rPr>
        <w:t>本集团还按照中国证监会《公开发行证券的公司信息披露编报规则第15号—财务报告的一般规定》（2014年修订）披露有关</w:t>
      </w:r>
      <w:r>
        <w:rPr>
          <w:spacing w:val="-59"/>
        </w:rPr>
        <w:t> </w:t>
      </w:r>
      <w:r>
        <w:rPr>
          <w:spacing w:val="-59"/>
        </w:rPr>
      </w:r>
      <w:r>
        <w:rPr/>
        <w:t>财务信息。 </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、持续经营</w:t>
      </w:r>
      <w:r>
        <w:rPr>
          <w:b w:val="0"/>
          <w:bCs w:val="0"/>
        </w:rPr>
      </w:r>
    </w:p>
    <w:p>
      <w:pPr>
        <w:pStyle w:val="BodyText"/>
        <w:spacing w:line="520" w:lineRule="atLeast" w:before="62"/>
        <w:ind w:left="514" w:right="0"/>
        <w:jc w:val="left"/>
      </w:pPr>
      <w:r>
        <w:rPr/>
        <w:t>本财务报表以持续经营为基础列报。 </w:t>
      </w:r>
      <w:r>
        <w:rPr>
          <w:spacing w:val="-2"/>
        </w:rPr>
        <w:t>本集团会计核算以权责发生制为基础。除某些金融工具外，本财务报表均以历史成本为计量基础。持有待售的非流动资</w:t>
      </w:r>
    </w:p>
    <w:p>
      <w:pPr>
        <w:pStyle w:val="BodyText"/>
        <w:spacing w:line="316" w:lineRule="auto" w:before="76"/>
        <w:ind w:right="0"/>
        <w:jc w:val="left"/>
      </w:pPr>
      <w:r>
        <w:rPr>
          <w:spacing w:val="-4"/>
        </w:rPr>
        <w:t>产，按公允价值减去预计出售费用后的金额，以及符合持有待售条件时的原账面价值，取两者孰低计价。资产如果发生减值，</w:t>
      </w:r>
      <w:r>
        <w:rPr>
          <w:spacing w:val="-46"/>
        </w:rPr>
        <w:t> </w:t>
      </w:r>
      <w:r>
        <w:rPr>
          <w:spacing w:val="-46"/>
        </w:rPr>
      </w:r>
      <w:r>
        <w:rPr/>
        <w:t>则按照相关规定计提相应的减值准备。</w:t>
      </w:r>
    </w:p>
    <w:p>
      <w:pPr>
        <w:spacing w:line="240" w:lineRule="auto" w:before="10"/>
        <w:rPr>
          <w:rFonts w:ascii="宋体" w:hAnsi="宋体" w:cs="宋体" w:eastAsia="宋体" w:hint="default"/>
          <w:sz w:val="20"/>
          <w:szCs w:val="20"/>
        </w:rPr>
      </w:pPr>
    </w:p>
    <w:p>
      <w:pPr>
        <w:pStyle w:val="Heading2"/>
        <w:spacing w:line="240" w:lineRule="auto"/>
        <w:ind w:right="2239"/>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357" w:lineRule="auto" w:before="26"/>
        <w:ind w:left="153" w:right="8231"/>
        <w:jc w:val="left"/>
      </w:pPr>
      <w:r>
        <w:rPr/>
        <w:t>软件与信息技术服务业 具体会计政策和会计估计提示：</w:t>
      </w:r>
    </w:p>
    <w:p>
      <w:pPr>
        <w:pStyle w:val="BodyText"/>
        <w:spacing w:line="240" w:lineRule="auto" w:before="29"/>
        <w:ind w:left="513" w:right="0"/>
        <w:jc w:val="left"/>
      </w:pPr>
      <w:r>
        <w:rPr>
          <w:spacing w:val="-4"/>
        </w:rPr>
        <w:t>本集团根据自身生产经营特点，确定研发费用资本化条件以及收入确认政策，具体会计政策见附注三、20和附注三、24。</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本财务报表符合企业会计准则的要求，真实、完整地反映了本公司2018年12月31日的合并及公司财务状况以及2018年度</w:t>
      </w:r>
      <w:r>
        <w:rPr/>
        <w:t> 的合并及公司经营成果和合并及公司现金流量等有关信息。</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本集团会计期间采用公历年度，即每年自1月1日起至12月31日止。</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本集团的营业周期为12个月。</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本公司及境内子公司以人民币为记账本位币。本公司之境外子公司根据其经营所处的主要经济环境中的货币确定港币为</w:t>
      </w:r>
      <w:r>
        <w:rPr/>
        <w:t> 其记账本位币。本集团编制本财务报表时所采用的货币为人民币。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520" w:lineRule="atLeast" w:before="62"/>
        <w:ind w:left="514" w:right="0"/>
        <w:jc w:val="left"/>
      </w:pPr>
      <w:r>
        <w:rPr/>
        <w:t>（1）同一控制下的企业合并 </w:t>
      </w:r>
      <w:r>
        <w:rPr>
          <w:spacing w:val="-2"/>
        </w:rPr>
        <w:t>对于同一控制下的企业合并，合并方在合并中取得的被合并方的资产、负债，除因会计政策不同而进行的调整以外，按</w:t>
      </w:r>
    </w:p>
    <w:p>
      <w:pPr>
        <w:pStyle w:val="BodyText"/>
        <w:spacing w:line="316" w:lineRule="auto" w:before="76"/>
        <w:ind w:left="153" w:right="0"/>
        <w:jc w:val="left"/>
      </w:pPr>
      <w:r>
        <w:rPr>
          <w:spacing w:val="-2"/>
        </w:rPr>
        <w:t>合并日被合并方在最终控制方合并财务报表中的账面价值计量。合并对价的账面价值与合并中取得的净资产账面价值的差额</w:t>
      </w:r>
      <w:r>
        <w:rPr>
          <w:spacing w:val="-64"/>
        </w:rPr>
        <w:t> </w:t>
      </w:r>
      <w:r>
        <w:rPr>
          <w:spacing w:val="-64"/>
        </w:rPr>
      </w:r>
      <w:r>
        <w:rPr/>
        <w:t>调整资本公积（股本溢价），资本公积（股本溢价）不足冲减的，调整留存收益。 </w:t>
      </w:r>
    </w:p>
    <w:p>
      <w:pPr>
        <w:pStyle w:val="BodyText"/>
        <w:spacing w:line="528" w:lineRule="exact" w:before="22"/>
        <w:ind w:left="513" w:right="0"/>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316" w:lineRule="auto"/>
        <w:ind w:left="153" w:right="0"/>
        <w:jc w:val="left"/>
      </w:pP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额，调整资本公积（股本溢价），资本公积（股本溢价）不足冲减的，调整留存收益。 </w:t>
      </w:r>
    </w:p>
    <w:p>
      <w:pPr>
        <w:spacing w:line="240" w:lineRule="auto" w:before="12"/>
        <w:rPr>
          <w:rFonts w:ascii="宋体" w:hAnsi="宋体" w:cs="宋体" w:eastAsia="宋体" w:hint="default"/>
          <w:sz w:val="17"/>
          <w:szCs w:val="17"/>
        </w:rPr>
      </w:pPr>
    </w:p>
    <w:p>
      <w:pPr>
        <w:pStyle w:val="BodyText"/>
        <w:spacing w:line="316" w:lineRule="auto"/>
        <w:ind w:left="153" w:right="1041"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取得的净资产账面价值的差额，调整资本公积（股本溢价），资本公积（股本溢价）不足冲减的，调整留存收益。合并方在</w:t>
      </w:r>
      <w:r>
        <w:rPr>
          <w:spacing w:val="-67"/>
        </w:rPr>
        <w:t> </w:t>
      </w:r>
      <w:r>
        <w:rPr>
          <w:spacing w:val="-67"/>
        </w:rPr>
      </w:r>
      <w:r>
        <w:rPr>
          <w:spacing w:val="-2"/>
        </w:rPr>
        <w:t>取得被合并方控制权之前持有的长期股权投资，在取得原股权之日与合并方与被合并方同处于同一方最终控制之日孰晚日起</w:t>
      </w:r>
      <w:r>
        <w:rPr>
          <w:spacing w:val="-64"/>
        </w:rPr>
        <w:t> </w:t>
      </w:r>
      <w:r>
        <w:rPr>
          <w:spacing w:val="-64"/>
        </w:rPr>
      </w:r>
      <w:r>
        <w:rPr>
          <w:spacing w:val="-5"/>
        </w:rPr>
        <w:t>至合并日之间已确认有关损益、其他综合收益和其他所有者权益变动，应分别冲减比较报表期间的期初留存收益或当期损益。</w:t>
      </w:r>
      <w:r>
        <w:rPr/>
        <w:t> </w:t>
      </w:r>
    </w:p>
    <w:p>
      <w:pPr>
        <w:pStyle w:val="BodyText"/>
        <w:spacing w:line="528" w:lineRule="exact" w:before="22"/>
        <w:ind w:left="514" w:right="0"/>
        <w:jc w:val="left"/>
      </w:pPr>
      <w:r>
        <w:rPr/>
        <w:t>（2）企业合并中有关交易费用的处理 </w:t>
      </w:r>
      <w:r>
        <w:rPr>
          <w:spacing w:val="-2"/>
        </w:rPr>
        <w:t>为进行企业合并发生的审计、法律服务、评估咨询等中介费用以及其他相关管理费用，于发生时计入当期损益。作为合</w:t>
      </w:r>
    </w:p>
    <w:p>
      <w:pPr>
        <w:pStyle w:val="BodyText"/>
        <w:spacing w:line="232" w:lineRule="exact"/>
        <w:ind w:right="2239"/>
        <w:jc w:val="left"/>
      </w:pPr>
      <w:r>
        <w:rPr/>
        <w:t>并对价发行的权益性证券或债务性证券的交易费用，计入权益性证券或债务性证券的初始确认金额。</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20" w:lineRule="atLeast" w:before="62"/>
        <w:ind w:left="514" w:right="1117"/>
        <w:jc w:val="left"/>
      </w:pPr>
      <w:r>
        <w:rPr/>
        <w:t>（1）合并范围 </w:t>
      </w:r>
      <w:r>
        <w:rPr>
          <w:spacing w:val="-2"/>
        </w:rPr>
        <w:t>合并财务报表的合并范围以控制为基础予以确定。控制，是指本公司拥有对被投资单位的权力，通过参与被投资单位的</w:t>
      </w:r>
    </w:p>
    <w:p>
      <w:pPr>
        <w:pStyle w:val="BodyText"/>
        <w:spacing w:line="316" w:lineRule="auto" w:before="76"/>
        <w:ind w:right="0"/>
        <w:jc w:val="left"/>
      </w:pPr>
      <w:r>
        <w:rPr>
          <w:spacing w:val="-2"/>
        </w:rPr>
        <w:t>相关活动而享有可变回报，并且有能力运用对被投资单位的权力影响其回报金额。子公司，是指被本公司控制的主体（含企</w:t>
      </w:r>
      <w:r>
        <w:rPr>
          <w:spacing w:val="-66"/>
        </w:rPr>
        <w:t> </w:t>
      </w:r>
      <w:r>
        <w:rPr>
          <w:spacing w:val="-66"/>
        </w:rPr>
      </w:r>
      <w:r>
        <w:rPr/>
        <w:t>业、被投资单位中可分割的部分、结构化主体等）。 </w:t>
      </w:r>
    </w:p>
    <w:p>
      <w:pPr>
        <w:pStyle w:val="BodyText"/>
        <w:spacing w:line="528" w:lineRule="exact" w:before="22"/>
        <w:ind w:left="514" w:right="0"/>
        <w:jc w:val="left"/>
      </w:pPr>
      <w:r>
        <w:rPr/>
        <w:t>（2）合并财务报表的编制方法 </w:t>
      </w:r>
      <w:r>
        <w:rPr>
          <w:spacing w:val="-2"/>
        </w:rPr>
        <w:t>合并财务报表以本公司和子公司的财务报表为基础，根据其他有关资料，由本公司编制。在编制合并财务报表时，本公</w:t>
      </w:r>
    </w:p>
    <w:p>
      <w:pPr>
        <w:pStyle w:val="BodyText"/>
        <w:spacing w:line="232" w:lineRule="exact"/>
        <w:ind w:right="2239"/>
        <w:jc w:val="left"/>
      </w:pPr>
      <w:r>
        <w:rPr/>
        <w:t>司和子公司的会计政策和会计期间要求保持一致，公司间的重大交易和往来余额予以抵销。 </w:t>
      </w:r>
    </w:p>
    <w:p>
      <w:pPr>
        <w:spacing w:line="240" w:lineRule="auto" w:before="5"/>
        <w:rPr>
          <w:rFonts w:ascii="宋体" w:hAnsi="宋体" w:cs="宋体" w:eastAsia="宋体" w:hint="default"/>
          <w:sz w:val="22"/>
          <w:szCs w:val="22"/>
        </w:rPr>
      </w:pPr>
    </w:p>
    <w:p>
      <w:pPr>
        <w:pStyle w:val="BodyText"/>
        <w:spacing w:line="316" w:lineRule="auto"/>
        <w:ind w:left="153" w:right="1131" w:firstLine="360"/>
        <w:jc w:val="both"/>
      </w:pPr>
      <w:r>
        <w:rPr>
          <w:spacing w:val="-2"/>
        </w:rPr>
        <w:t>在报告期内因同一控制下企业合并增加的子公司以及业务，视同该子公司以及业务自同受最终控制方控制之日起纳入本</w:t>
      </w:r>
      <w:r>
        <w:rPr/>
        <w:t> 公司的合并范围，将其自同受最终控制方控制之日起的经营成果、现金流量分别纳入合并利润表、合并现金流量表中。 </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子公司的股东权益中不属于本公司所拥有的部分，作为少数股东权益在合并资产负债表中股东权益项下单独列示；子公</w:t>
      </w:r>
      <w:r>
        <w:rPr/>
        <w:t> </w:t>
      </w:r>
      <w:r>
        <w:rPr>
          <w:spacing w:val="-2"/>
        </w:rPr>
        <w:t>司当期净损益中属于少数股东权益的份额，在合并利润表中净利润项目下以“少数股东损益”项目列示。少数股东分担的子</w:t>
      </w:r>
    </w:p>
    <w:p>
      <w:pPr>
        <w:spacing w:after="0" w:line="316"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0"/>
        <w:jc w:val="both"/>
      </w:pPr>
      <w:r>
        <w:rPr/>
        <w:t>公司的亏损超过了少数股东在该子公司期初所有者权益中所享有的份额，其余额仍冲减少数股东权益。 </w:t>
      </w:r>
    </w:p>
    <w:p>
      <w:pPr>
        <w:pStyle w:val="BodyText"/>
        <w:spacing w:line="520" w:lineRule="atLeast" w:before="8"/>
        <w:ind w:left="513" w:right="0"/>
        <w:jc w:val="left"/>
      </w:pPr>
      <w:r>
        <w:rPr/>
        <w:t>（3）购买子公司少数股东股权 因购买少数股权新取得的长期股权投资成本与按照新增持股比例计算应享有子公司自购买日或合并日开始持续计算的</w:t>
      </w:r>
    </w:p>
    <w:p>
      <w:pPr>
        <w:pStyle w:val="BodyText"/>
        <w:spacing w:line="316" w:lineRule="auto" w:before="76"/>
        <w:ind w:left="153" w:right="1130"/>
        <w:jc w:val="both"/>
      </w:pPr>
      <w:r>
        <w:rPr>
          <w:spacing w:val="-2"/>
        </w:rPr>
        <w:t>净资产份额之间的差额，以及在不丧失控制权的情况下因部分处置对子公司的股权投资而取得的处置价款与处置长期股权投</w:t>
      </w:r>
      <w:r>
        <w:rPr>
          <w:spacing w:val="-64"/>
        </w:rPr>
        <w:t> </w:t>
      </w:r>
      <w:r>
        <w:rPr>
          <w:spacing w:val="-64"/>
        </w:rPr>
      </w:r>
      <w:r>
        <w:rPr>
          <w:spacing w:val="-2"/>
        </w:rPr>
        <w:t>资相对应享有子公司自购买日或合并日开始持续计算的净资产份额之间的差额，均调整合并资产负债表中的资本公积（股本</w:t>
      </w:r>
      <w:r>
        <w:rPr>
          <w:spacing w:val="-64"/>
        </w:rPr>
        <w:t> </w:t>
      </w:r>
      <w:r>
        <w:rPr>
          <w:spacing w:val="-64"/>
        </w:rPr>
      </w:r>
      <w:r>
        <w:rPr/>
        <w:t>溢价），资本公积（股本溢价）不足冲减的，调整留存收益。 </w:t>
      </w:r>
    </w:p>
    <w:p>
      <w:pPr>
        <w:pStyle w:val="BodyText"/>
        <w:spacing w:line="528" w:lineRule="exact" w:before="22"/>
        <w:ind w:left="513" w:right="0"/>
        <w:jc w:val="left"/>
      </w:pPr>
      <w:r>
        <w:rPr/>
        <w:t>（4）丧失子公司控制权的处理 </w:t>
      </w:r>
      <w:r>
        <w:rPr>
          <w:spacing w:val="-2"/>
        </w:rPr>
        <w:t>因处置部分股权投资或其他原因丧失了对原有子公司控制权的，剩余股权按照其在丧失控制权日的公允价值进行重新计</w:t>
      </w:r>
    </w:p>
    <w:p>
      <w:pPr>
        <w:pStyle w:val="BodyText"/>
        <w:spacing w:line="316" w:lineRule="auto"/>
        <w:ind w:left="153" w:right="0"/>
        <w:jc w:val="left"/>
      </w:pPr>
      <w:r>
        <w:rPr>
          <w:spacing w:val="-2"/>
        </w:rPr>
        <w:t>量；处置股权取得的对价与剩余股权公允价值之和，减去按原持股比例计算应享有原有子公司自购买日开始持续计算的净资</w:t>
      </w:r>
      <w:r>
        <w:rPr>
          <w:spacing w:val="-64"/>
        </w:rPr>
        <w:t> </w:t>
      </w:r>
      <w:r>
        <w:rPr>
          <w:spacing w:val="-64"/>
        </w:rPr>
      </w:r>
      <w:r>
        <w:rPr/>
        <w:t>产账面价值的份额与商誉之和，形成的差额计入丧失控制权当期的投资收益。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与原有子公司的股权投资相关的其他综合收益等，在丧失控制权时转入当期损益，由于被投资方重新计量设定收益计划</w:t>
      </w:r>
      <w:r>
        <w:rPr/>
        <w:t> 净负债或净资产变动而产生的其他综合收益除外。</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537" w:lineRule="auto"/>
        <w:ind w:left="514" w:right="3730"/>
        <w:jc w:val="left"/>
      </w:pPr>
      <w:r>
        <w:rPr/>
        <w:t>（1）外币业务 本集团发生外币业务，按交易发生日的即期汇率折算为记账本位币金额。 </w:t>
      </w:r>
    </w:p>
    <w:p>
      <w:pPr>
        <w:pStyle w:val="BodyText"/>
        <w:spacing w:line="316" w:lineRule="auto" w:before="69"/>
        <w:ind w:right="1131" w:firstLine="360"/>
        <w:jc w:val="both"/>
      </w:pPr>
      <w:r>
        <w:rPr>
          <w:spacing w:val="-2"/>
        </w:rPr>
        <w:t>资产负债表日，对外币货币性项目，采用资产负债表日即期汇率折算。因资产负债表日即期汇率与初始确认时或者前一</w:t>
      </w:r>
      <w:r>
        <w:rPr/>
        <w:t> </w:t>
      </w:r>
      <w:r>
        <w:rPr>
          <w:spacing w:val="-2"/>
        </w:rPr>
        <w:t>资产负债表日即期汇率不同而产生的汇兑差额，计入当期损益；对以历史成本计量的外币非货币性项目，仍采用交易发生日</w:t>
      </w:r>
      <w:r>
        <w:rPr>
          <w:spacing w:val="-66"/>
        </w:rPr>
        <w:t> </w:t>
      </w:r>
      <w:r>
        <w:rPr>
          <w:spacing w:val="-66"/>
        </w:rPr>
      </w:r>
      <w:r>
        <w:rPr>
          <w:spacing w:val="-2"/>
        </w:rPr>
        <w:t>的即期汇率折算；对以公允价值计量的外币非货币性项目，采用公允价值确定日的即期汇率折算，折算后的记账本位币金额</w:t>
      </w:r>
      <w:r>
        <w:rPr>
          <w:spacing w:val="-66"/>
        </w:rPr>
        <w:t> </w:t>
      </w:r>
      <w:r>
        <w:rPr>
          <w:spacing w:val="-66"/>
        </w:rPr>
      </w:r>
      <w:r>
        <w:rPr/>
        <w:t>与原记账本位币金额的差额，计入当期损益。 </w:t>
      </w:r>
    </w:p>
    <w:p>
      <w:pPr>
        <w:pStyle w:val="BodyText"/>
        <w:spacing w:line="528" w:lineRule="exact" w:before="22"/>
        <w:ind w:left="514" w:right="0"/>
        <w:jc w:val="left"/>
      </w:pPr>
      <w:r>
        <w:rPr/>
        <w:t>（2）外币财务报表的折算 </w:t>
      </w:r>
      <w:r>
        <w:rPr>
          <w:spacing w:val="-2"/>
        </w:rPr>
        <w:t>资产负债表日，对境外子公司外币财务报表进行折算时，资产负债表中的资产和负债项目，采用资产负债表日的即期汇</w:t>
      </w:r>
    </w:p>
    <w:p>
      <w:pPr>
        <w:pStyle w:val="BodyText"/>
        <w:spacing w:line="232" w:lineRule="exact"/>
        <w:ind w:right="0"/>
        <w:jc w:val="both"/>
      </w:pPr>
      <w:r>
        <w:rPr/>
        <w:t>率折算，股东权益项目除“未分配利润”外，其他项目采用发生日的即期汇率折算。 </w:t>
      </w:r>
    </w:p>
    <w:p>
      <w:pPr>
        <w:pStyle w:val="BodyText"/>
        <w:spacing w:line="520" w:lineRule="atLeast" w:before="8"/>
        <w:ind w:left="514" w:right="0"/>
        <w:jc w:val="left"/>
      </w:pPr>
      <w:r>
        <w:rPr/>
        <w:t>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w:t>
      </w:r>
    </w:p>
    <w:p>
      <w:pPr>
        <w:pStyle w:val="BodyText"/>
        <w:spacing w:line="240" w:lineRule="auto" w:before="76"/>
        <w:ind w:right="0"/>
        <w:jc w:val="both"/>
      </w:pPr>
      <w:r>
        <w:rPr/>
        <w:t>响额作为调节项目，在现金流量表中单独列示“汇率变动对现金及现金等价物的影响” 项目反映。 </w:t>
      </w:r>
    </w:p>
    <w:p>
      <w:pPr>
        <w:spacing w:after="0" w:line="240"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513" w:right="2239"/>
        <w:jc w:val="left"/>
      </w:pPr>
      <w:r>
        <w:rPr/>
        <w:t>由于财务报表折算而产生的差额，在资产负债表股东权益项目下的“其他综合收益”项目反映。 </w:t>
      </w:r>
    </w:p>
    <w:p>
      <w:pPr>
        <w:spacing w:line="240" w:lineRule="auto" w:before="5"/>
        <w:rPr>
          <w:rFonts w:ascii="宋体" w:hAnsi="宋体" w:cs="宋体" w:eastAsia="宋体" w:hint="default"/>
          <w:sz w:val="22"/>
          <w:szCs w:val="22"/>
        </w:rPr>
      </w:pPr>
    </w:p>
    <w:p>
      <w:pPr>
        <w:pStyle w:val="BodyText"/>
        <w:spacing w:line="316" w:lineRule="auto"/>
        <w:ind w:left="153" w:right="0" w:firstLine="360"/>
        <w:jc w:val="left"/>
      </w:pPr>
      <w:r>
        <w:rPr>
          <w:spacing w:val="-2"/>
        </w:rPr>
        <w:t>处置境外经营并丧失控制权时，将资产负债表中股东权益项目下列示的、与该境外经营相关的外币报表折算差额，全部</w:t>
      </w:r>
      <w:r>
        <w:rPr/>
        <w:t> 或按处置该境外经营的比例转入处置当期损益。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金融工具是指形成一个企业的金融资产，并形成其他单位的金融负债或权益工具的合同。 </w:t>
      </w:r>
    </w:p>
    <w:p>
      <w:pPr>
        <w:spacing w:line="240" w:lineRule="auto" w:before="5"/>
        <w:rPr>
          <w:rFonts w:ascii="宋体" w:hAnsi="宋体" w:cs="宋体" w:eastAsia="宋体" w:hint="default"/>
          <w:sz w:val="22"/>
          <w:szCs w:val="22"/>
        </w:rPr>
      </w:pPr>
    </w:p>
    <w:p>
      <w:pPr>
        <w:pStyle w:val="BodyText"/>
        <w:spacing w:line="537" w:lineRule="auto"/>
        <w:ind w:left="514" w:right="2650"/>
        <w:jc w:val="left"/>
      </w:pPr>
      <w:r>
        <w:rPr/>
        <w:t>（1）金融工具的确认和终止确认 本集团于成为金融工具合同的一方时确认一项金融资产或金融负债。 金融资产满足下列条件之一的，终止确认： </w:t>
      </w:r>
    </w:p>
    <w:p>
      <w:pPr>
        <w:pStyle w:val="BodyText"/>
        <w:spacing w:line="240" w:lineRule="auto" w:before="69"/>
        <w:ind w:left="514" w:right="2239"/>
        <w:jc w:val="left"/>
      </w:pPr>
      <w:r>
        <w:rPr/>
        <w:t>① 收取该金融资产现金流量的合同权利终止； </w:t>
      </w:r>
    </w:p>
    <w:p>
      <w:pPr>
        <w:pStyle w:val="BodyText"/>
        <w:spacing w:line="520" w:lineRule="atLeast" w:before="8"/>
        <w:ind w:left="514" w:right="0"/>
        <w:jc w:val="left"/>
      </w:pPr>
      <w:r>
        <w:rPr/>
        <w:t>② 该金融资产已转移，且符合下述金融资产转移的终止确认条件。 </w:t>
      </w:r>
      <w:r>
        <w:rPr>
          <w:spacing w:val="-2"/>
        </w:rPr>
        <w:t>金融负债的现时义务全部或部分已经解除的，终止确认该金融负债或其一部分。本集团（债务人）与债权人之间签订协</w:t>
      </w:r>
    </w:p>
    <w:p>
      <w:pPr>
        <w:pStyle w:val="BodyText"/>
        <w:spacing w:line="316" w:lineRule="auto" w:before="76"/>
        <w:ind w:right="1131"/>
        <w:jc w:val="both"/>
      </w:pP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w:t>
      </w:r>
    </w:p>
    <w:p>
      <w:pPr>
        <w:spacing w:line="240" w:lineRule="auto" w:before="12"/>
        <w:rPr>
          <w:rFonts w:ascii="宋体" w:hAnsi="宋体" w:cs="宋体" w:eastAsia="宋体" w:hint="default"/>
          <w:sz w:val="17"/>
          <w:szCs w:val="17"/>
        </w:rPr>
      </w:pPr>
    </w:p>
    <w:p>
      <w:pPr>
        <w:pStyle w:val="BodyText"/>
        <w:spacing w:line="240" w:lineRule="auto"/>
        <w:ind w:left="514" w:right="2239"/>
        <w:jc w:val="left"/>
      </w:pPr>
      <w:r>
        <w:rPr/>
        <w:t>以常规方式买卖金融资产，按交易日进行会计确认和终止确认。 </w:t>
      </w:r>
    </w:p>
    <w:p>
      <w:pPr>
        <w:spacing w:line="240" w:lineRule="auto" w:before="5"/>
        <w:rPr>
          <w:rFonts w:ascii="宋体" w:hAnsi="宋体" w:cs="宋体" w:eastAsia="宋体" w:hint="default"/>
          <w:sz w:val="22"/>
          <w:szCs w:val="22"/>
        </w:rPr>
      </w:pPr>
    </w:p>
    <w:p>
      <w:pPr>
        <w:pStyle w:val="BodyText"/>
        <w:spacing w:line="537" w:lineRule="auto"/>
        <w:ind w:left="514" w:right="2239"/>
        <w:jc w:val="left"/>
      </w:pPr>
      <w:r>
        <w:rPr/>
        <w:t>（2）金融资产分类和计量 本集团的金融资产于初始确认时分为以下两类：应收款项、可供出售金融资产。 </w:t>
      </w:r>
    </w:p>
    <w:p>
      <w:pPr>
        <w:pStyle w:val="BodyText"/>
        <w:spacing w:line="316" w:lineRule="auto" w:before="69"/>
        <w:ind w:right="0" w:firstLine="360"/>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 </w:t>
      </w:r>
    </w:p>
    <w:p>
      <w:pPr>
        <w:pStyle w:val="BodyText"/>
        <w:spacing w:line="528" w:lineRule="exact" w:before="22"/>
        <w:ind w:left="514" w:right="1117"/>
        <w:jc w:val="left"/>
      </w:pPr>
      <w:r>
        <w:rPr/>
        <w:t>应收款项 </w:t>
      </w:r>
      <w:r>
        <w:rPr>
          <w:spacing w:val="-2"/>
        </w:rPr>
        <w:t>应收款项，是指在活跃市场中没有报价、回收金额固定或可确定的非衍生金融资产，包括应收票据、应收账款和其他应</w:t>
      </w:r>
    </w:p>
    <w:p>
      <w:pPr>
        <w:pStyle w:val="BodyText"/>
        <w:spacing w:line="316" w:lineRule="auto"/>
        <w:ind w:right="1131"/>
        <w:jc w:val="both"/>
      </w:pPr>
      <w:r>
        <w:rPr>
          <w:spacing w:val="-2"/>
        </w:rPr>
        <w:t>收款等（附注三、11）。应收款项采用实际利率法，按摊余成本进行后续计量，在终止确认、发生减值或摊销时产生的利得</w:t>
      </w:r>
      <w:r>
        <w:rPr>
          <w:spacing w:val="-63"/>
        </w:rPr>
        <w:t> </w:t>
      </w:r>
      <w:r>
        <w:rPr>
          <w:spacing w:val="-63"/>
        </w:rPr>
      </w:r>
      <w:r>
        <w:rPr/>
        <w:t>或损失，计入当期损益。 </w:t>
      </w:r>
    </w:p>
    <w:p>
      <w:pPr>
        <w:pStyle w:val="BodyText"/>
        <w:spacing w:line="528" w:lineRule="exact" w:before="22"/>
        <w:ind w:left="514" w:right="1030"/>
        <w:jc w:val="left"/>
      </w:pPr>
      <w:r>
        <w:rPr/>
        <w:t>可供出售金融资产 可供出售金融资产，是指初始确认时即指定为可供出售的非衍生金融资产，以及除上述金融资产类别以外的金融资产。</w:t>
      </w:r>
    </w:p>
    <w:p>
      <w:pPr>
        <w:pStyle w:val="BodyText"/>
        <w:spacing w:line="316" w:lineRule="auto"/>
        <w:ind w:right="1130"/>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金融资产的汇兑差额确认为当期损益外，可供出售金融资产的公允价值变动确认为其他综合收益，在该金融资产终止确认时</w:t>
      </w:r>
      <w:r>
        <w:rPr>
          <w:spacing w:val="-64"/>
        </w:rPr>
        <w:t> </w:t>
      </w:r>
      <w:r>
        <w:rPr>
          <w:spacing w:val="-64"/>
        </w:rPr>
      </w:r>
      <w:r>
        <w:rPr/>
        <w:t>转出，计入当期损益。与可供出售金融资产相关的股利或利息收入，计入当期损益。 </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对于在活跃市场中没有报价且其公允价值不能可靠计量的权益工具投资，以及与该权益工具挂钩并须通过交付该权益工</w:t>
      </w:r>
      <w:r>
        <w:rPr/>
        <w:t> 具结算的衍生金融资产，按成本计量。 </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（3）金融负债分类和计量 </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0" w:firstLine="360"/>
        <w:jc w:val="left"/>
      </w:pPr>
      <w:r>
        <w:rPr>
          <w:spacing w:val="-2"/>
        </w:rPr>
        <w:t>本集团的金融负债于初始确认时分类为其他金融负债。对于未划分为以公允价值计量且其变动计入当期损益的金融负债</w:t>
      </w:r>
      <w:r>
        <w:rPr/>
        <w:t> 的，相关交易费用计入其初始确认金额。 </w:t>
      </w:r>
    </w:p>
    <w:p>
      <w:pPr>
        <w:pStyle w:val="BodyText"/>
        <w:spacing w:line="528" w:lineRule="exact" w:before="22"/>
        <w:ind w:left="513" w:right="1117"/>
        <w:jc w:val="left"/>
      </w:pPr>
      <w:r>
        <w:rPr/>
        <w:t>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left="153" w:right="1117"/>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 </w:t>
      </w:r>
    </w:p>
    <w:p>
      <w:pPr>
        <w:spacing w:line="240" w:lineRule="auto" w:before="12"/>
        <w:rPr>
          <w:rFonts w:ascii="宋体" w:hAnsi="宋体" w:cs="宋体" w:eastAsia="宋体" w:hint="default"/>
          <w:sz w:val="17"/>
          <w:szCs w:val="17"/>
        </w:rPr>
      </w:pPr>
    </w:p>
    <w:p>
      <w:pPr>
        <w:pStyle w:val="BodyText"/>
        <w:spacing w:line="537" w:lineRule="auto"/>
        <w:ind w:left="513" w:right="6790"/>
        <w:jc w:val="left"/>
      </w:pPr>
      <w:r>
        <w:rPr/>
        <w:t>金融负债与权益工具的区分 金融负债，是指符合下列条件之一的负债： </w:t>
      </w:r>
    </w:p>
    <w:p>
      <w:pPr>
        <w:pStyle w:val="BodyText"/>
        <w:spacing w:line="240" w:lineRule="auto" w:before="69"/>
        <w:ind w:left="513" w:right="2239"/>
        <w:jc w:val="left"/>
      </w:pPr>
      <w:r>
        <w:rPr/>
        <w:t>①向其他方交付现金或其他金融资产的合同义务。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②在潜在不利条件下，与其他方交换金融资产或金融负债的合同义务。 </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③将来须用或可用企业自身权益工具进行结算的非衍生工具合同，且企业根据该合同将交付可变数量的自身权益工具</w:t>
      </w:r>
      <w:r>
        <w:rPr>
          <w:spacing w:val="-82"/>
        </w:rPr>
        <w:t>。</w:t>
      </w:r>
      <w:r>
        <w:rPr/>
        <w:t> </w:t>
      </w:r>
    </w:p>
    <w:p>
      <w:pPr>
        <w:spacing w:line="240" w:lineRule="auto" w:before="5"/>
        <w:rPr>
          <w:rFonts w:ascii="宋体" w:hAnsi="宋体" w:cs="宋体" w:eastAsia="宋体" w:hint="default"/>
          <w:sz w:val="22"/>
          <w:szCs w:val="22"/>
        </w:rPr>
      </w:pPr>
    </w:p>
    <w:p>
      <w:pPr>
        <w:pStyle w:val="BodyText"/>
        <w:spacing w:line="316" w:lineRule="auto"/>
        <w:ind w:left="153" w:right="0" w:firstLine="360"/>
        <w:jc w:val="left"/>
      </w:pPr>
      <w:r>
        <w:rPr>
          <w:spacing w:val="-2"/>
        </w:rPr>
        <w:t>④将来须用或可用企业自身权益工具进行结算的衍生工具合同，但以固定数量的自身权益工具交换固定金额的现金或其</w:t>
      </w:r>
      <w:r>
        <w:rPr/>
        <w:t> 他金融资产的衍生工具合同除外。 </w:t>
      </w:r>
    </w:p>
    <w:p>
      <w:pPr>
        <w:pStyle w:val="BodyText"/>
        <w:spacing w:line="528" w:lineRule="exact" w:before="22"/>
        <w:ind w:left="513" w:right="0"/>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w:t>
      </w:r>
    </w:p>
    <w:p>
      <w:pPr>
        <w:pStyle w:val="BodyText"/>
        <w:spacing w:line="316" w:lineRule="auto"/>
        <w:ind w:left="153" w:right="1031"/>
        <w:jc w:val="left"/>
      </w:pPr>
      <w:r>
        <w:rPr/>
        <w:t>现金或其他金融资产的替代品，还是为了使该工具持有方享有在发行方扣除所有负债后的资产中的剩余权益。如果是前者， 该工具是本集团的金融负债；如果是后者，该工具是本集团的权益工具。 </w:t>
      </w:r>
    </w:p>
    <w:p>
      <w:pPr>
        <w:spacing w:line="240" w:lineRule="auto" w:before="12"/>
        <w:rPr>
          <w:rFonts w:ascii="宋体" w:hAnsi="宋体" w:cs="宋体" w:eastAsia="宋体" w:hint="default"/>
          <w:sz w:val="17"/>
          <w:szCs w:val="17"/>
        </w:rPr>
      </w:pPr>
    </w:p>
    <w:p>
      <w:pPr>
        <w:pStyle w:val="BodyText"/>
        <w:spacing w:line="537" w:lineRule="auto"/>
        <w:ind w:left="513" w:right="5530"/>
        <w:jc w:val="left"/>
      </w:pPr>
      <w:r>
        <w:rPr/>
        <w:t>（4）金融工具的公允价值 金融资产和金融负债的公允价值确定方法见附注三、10。 </w:t>
      </w:r>
    </w:p>
    <w:p>
      <w:pPr>
        <w:pStyle w:val="BodyText"/>
        <w:spacing w:line="240" w:lineRule="auto" w:before="69"/>
        <w:ind w:left="513" w:right="2239"/>
        <w:jc w:val="left"/>
      </w:pPr>
      <w:r>
        <w:rPr/>
        <w:t>（5）金融资产减值 </w:t>
      </w:r>
    </w:p>
    <w:p>
      <w:pPr>
        <w:spacing w:line="240" w:lineRule="auto" w:before="5"/>
        <w:rPr>
          <w:rFonts w:ascii="宋体" w:hAnsi="宋体" w:cs="宋体" w:eastAsia="宋体" w:hint="default"/>
          <w:sz w:val="22"/>
          <w:szCs w:val="22"/>
        </w:rPr>
      </w:pPr>
    </w:p>
    <w:p>
      <w:pPr>
        <w:pStyle w:val="BodyText"/>
        <w:spacing w:line="316" w:lineRule="auto"/>
        <w:ind w:left="153" w:right="1125" w:firstLine="360"/>
        <w:jc w:val="both"/>
      </w:pPr>
      <w:r>
        <w:rPr/>
        <w:t>除了以公允价值计量且其变动计入当期损益的金融资产外，本集团于资产负债表日对其他金融资产的账面价值进行检</w:t>
      </w:r>
      <w:r>
        <w:rPr>
          <w:spacing w:val="2"/>
        </w:rPr>
        <w:t> </w:t>
      </w:r>
      <w:r>
        <w:rPr>
          <w:spacing w:val="-2"/>
        </w:rPr>
        <w:t>查，有客观证据表明该金融资产发生减值的，计提减值准备。表明金融资产发生减值的客观证据，是指金融资产初始确认后</w:t>
      </w:r>
      <w:r>
        <w:rPr>
          <w:spacing w:val="-66"/>
        </w:rPr>
        <w:t> </w:t>
      </w:r>
      <w:r>
        <w:rPr>
          <w:spacing w:val="-66"/>
        </w:rPr>
      </w:r>
      <w:r>
        <w:rPr/>
        <w:t>实际发生的、对该金融资产的预计未来现金流量有影响，且企业能够对该影响进行可靠计量的事项。 </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金融资产发生减值的客观证据，包括下列可观察到的情形：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①发行方或债务人发生严重财务困难；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②债务人违反了合同条款，如偿付利息或本金发生违约或逾期等；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③本集团出于经济或法律等方面因素的考虑，对发生财务困难的债务人作出让步；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④债务人很可能倒闭或者进行其他财务重组；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⑤因发行方发生重大财务困难，导致金融资产无法在活跃市场继续交易； </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130" w:firstLine="360"/>
        <w:jc w:val="both"/>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 </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spacing w:val="-30"/>
        </w:rPr>
        <w:t> </w:t>
      </w:r>
      <w:r>
        <w:rPr/>
        <w:t>- 该组金融资产的债务人支付能力逐步恶化；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spacing w:val="-30"/>
        </w:rPr>
        <w:t> </w:t>
      </w:r>
      <w:r>
        <w:rPr/>
        <w:t>- 债务人所在国家或地区经济出现了可能导致该组金融资产无法支付的状况； </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⑦债务人经营所处的技术、市场、经济或法律环境等发生重大不利变化，使权益工具投资人可能无法收回投资成本； </w:t>
      </w:r>
    </w:p>
    <w:p>
      <w:pPr>
        <w:spacing w:line="240" w:lineRule="auto" w:before="5"/>
        <w:rPr>
          <w:rFonts w:ascii="宋体" w:hAnsi="宋体" w:cs="宋体" w:eastAsia="宋体" w:hint="default"/>
          <w:sz w:val="22"/>
          <w:szCs w:val="22"/>
        </w:rPr>
      </w:pPr>
    </w:p>
    <w:p>
      <w:pPr>
        <w:pStyle w:val="BodyText"/>
        <w:spacing w:line="316" w:lineRule="auto"/>
        <w:ind w:left="153" w:right="1130" w:firstLine="360"/>
        <w:jc w:val="both"/>
      </w:pPr>
      <w:r>
        <w:rPr>
          <w:spacing w:val="-2"/>
        </w:rPr>
        <w:t>⑧权益工具投资的公允价值发生严重或非暂时性下跌，如权益工具投资于资产负债表日的公允价值低于其初始投资成本</w:t>
      </w:r>
      <w:r>
        <w:rPr/>
        <w:t> 超过50%（含50%）或低于其初始投资成本持续时间超过12个月（含12个月）。 </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低于其初始投资成本持续时间超过12个月（含12个月）是指，权益工具投资公允价值月度均值连续12个月均低于其初始</w:t>
      </w:r>
      <w:r>
        <w:rPr/>
        <w:t> 投资成本。 </w:t>
      </w:r>
    </w:p>
    <w:p>
      <w:pPr>
        <w:spacing w:line="240" w:lineRule="auto" w:before="12"/>
        <w:rPr>
          <w:rFonts w:ascii="宋体" w:hAnsi="宋体" w:cs="宋体" w:eastAsia="宋体" w:hint="default"/>
          <w:sz w:val="17"/>
          <w:szCs w:val="17"/>
        </w:rPr>
      </w:pPr>
    </w:p>
    <w:p>
      <w:pPr>
        <w:pStyle w:val="BodyText"/>
        <w:spacing w:line="537" w:lineRule="auto"/>
        <w:ind w:left="513" w:right="6790"/>
        <w:jc w:val="left"/>
      </w:pPr>
      <w:r>
        <w:rPr/>
        <w:t>⑨其他表明金融资产发生减值的客观证据。 以摊余成本计量的金融资产 </w:t>
      </w:r>
    </w:p>
    <w:p>
      <w:pPr>
        <w:pStyle w:val="BodyText"/>
        <w:spacing w:line="316" w:lineRule="auto" w:before="69"/>
        <w:ind w:left="153" w:right="1130"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6"/>
        </w:rPr>
        <w:t> </w:t>
      </w:r>
      <w:r>
        <w:rPr>
          <w:spacing w:val="-66"/>
        </w:rPr>
      </w:r>
      <w:r>
        <w:rPr/>
        <w:t>保物的价值。 </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对单项金额重大的金融资产单独进行减值测试，如有客观证据表明其已发生减值，确认减值损失，计入当期损益；对单</w:t>
      </w:r>
      <w:r>
        <w:rPr/>
        <w:t> 项金额不重大的金融资产，单独进行减值测试或包括在具有类似信用风险特征的金融资产组合中进行减值测试。 </w:t>
      </w:r>
    </w:p>
    <w:p>
      <w:pPr>
        <w:spacing w:line="240" w:lineRule="auto" w:before="12"/>
        <w:rPr>
          <w:rFonts w:ascii="宋体" w:hAnsi="宋体" w:cs="宋体" w:eastAsia="宋体" w:hint="default"/>
          <w:sz w:val="17"/>
          <w:szCs w:val="17"/>
        </w:rPr>
      </w:pPr>
    </w:p>
    <w:p>
      <w:pPr>
        <w:pStyle w:val="BodyText"/>
        <w:spacing w:line="316" w:lineRule="auto"/>
        <w:ind w:left="153" w:right="1040" w:firstLine="360"/>
        <w:jc w:val="both"/>
      </w:pPr>
      <w:r>
        <w:rPr>
          <w:spacing w:val="-2"/>
        </w:rPr>
        <w:t>单独测试未发生减值的金融资产（包括单项金额重大和不重大的金融资产），包括在具有类似信用风险特征的金融资产</w:t>
      </w:r>
      <w:r>
        <w:rPr/>
        <w:t> </w:t>
      </w:r>
      <w:r>
        <w:rPr>
          <w:spacing w:val="-5"/>
        </w:rPr>
        <w:t>组合中再进行减值测试；已单项确认减值损失的金融资产，不包括在具有类似信用风险特征的金融资产组合中进行减值测试。</w:t>
      </w:r>
      <w:r>
        <w:rPr/>
        <w:t> </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 </w:t>
      </w:r>
    </w:p>
    <w:p>
      <w:pPr>
        <w:pStyle w:val="BodyText"/>
        <w:spacing w:line="528" w:lineRule="exact" w:before="22"/>
        <w:ind w:left="513" w:right="0"/>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316" w:lineRule="auto"/>
        <w:ind w:left="153" w:right="0"/>
        <w:jc w:val="left"/>
      </w:pPr>
      <w:r>
        <w:rPr>
          <w:spacing w:val="-2"/>
        </w:rPr>
        <w:t>入当期损益。该转出的累计损失，为可供出售金融资产的初始取得成本扣除已收回本金和已摊销金额、当前公允价值和原已</w:t>
      </w:r>
      <w:r>
        <w:rPr>
          <w:spacing w:val="-66"/>
        </w:rPr>
        <w:t> </w:t>
      </w:r>
      <w:r>
        <w:rPr>
          <w:spacing w:val="-66"/>
        </w:rPr>
      </w:r>
      <w:r>
        <w:rPr/>
        <w:t>计入损益的减值损失后的余额。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 </w:t>
      </w:r>
    </w:p>
    <w:p>
      <w:pPr>
        <w:pStyle w:val="BodyText"/>
        <w:spacing w:line="528" w:lineRule="exact" w:before="22"/>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left="153"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 </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（6）金融资产转移 </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513" w:right="2239"/>
        <w:jc w:val="left"/>
      </w:pPr>
      <w:r>
        <w:rPr/>
        <w:t>金融资产转移，是指将金融资产让与或交付给该金融资产发行方以外的另一方（转入方）。 </w:t>
      </w:r>
    </w:p>
    <w:p>
      <w:pPr>
        <w:spacing w:line="240" w:lineRule="auto" w:before="5"/>
        <w:rPr>
          <w:rFonts w:ascii="宋体" w:hAnsi="宋体" w:cs="宋体" w:eastAsia="宋体" w:hint="default"/>
          <w:sz w:val="22"/>
          <w:szCs w:val="22"/>
        </w:rPr>
      </w:pPr>
    </w:p>
    <w:p>
      <w:pPr>
        <w:pStyle w:val="BodyText"/>
        <w:spacing w:line="316" w:lineRule="auto"/>
        <w:ind w:left="153" w:right="1130"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 </w:t>
      </w:r>
    </w:p>
    <w:p>
      <w:pPr>
        <w:pStyle w:val="BodyText"/>
        <w:spacing w:line="528" w:lineRule="exact" w:before="22"/>
        <w:ind w:left="513" w:right="0"/>
        <w:jc w:val="left"/>
      </w:pPr>
      <w:r>
        <w:rPr/>
        <w:t>（7）金融资产和金融负债的抵销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ind w:left="153"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 </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 项金额重大的应收款项。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合并报表范围内各单位之间往来款项</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2239"/>
        <w:jc w:val="left"/>
      </w:pPr>
      <w:r>
        <w:rPr/>
        <w:t>组合中，采用账龄分析法计提坏账准备的：</w:t>
      </w:r>
    </w:p>
    <w:p>
      <w:pPr>
        <w:pStyle w:val="BodyText"/>
        <w:spacing w:line="240" w:lineRule="auto" w:before="116"/>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pStyle w:val="BodyText"/>
        <w:spacing w:line="240" w:lineRule="auto" w:before="51"/>
        <w:ind w:right="2239"/>
        <w:jc w:val="left"/>
      </w:pPr>
      <w:r>
        <w:rPr/>
        <w:t>组合中，采用余额百分比法计提坏账准备的：</w:t>
      </w:r>
    </w:p>
    <w:p>
      <w:pPr>
        <w:pStyle w:val="BodyText"/>
        <w:spacing w:line="338" w:lineRule="auto" w:before="116"/>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338"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应收款项的未来现金流量现值与以企业整体经营情况为信用 风险特征的应收款项组合的未来现金流量现值存在显著差异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691"/>
        <w:jc w:val="left"/>
      </w:pPr>
      <w:r>
        <w:rPr/>
        <w:t>公司是否需要遵守特殊行业的披露要求 是</w:t>
      </w:r>
    </w:p>
    <w:p>
      <w:pPr>
        <w:pStyle w:val="BodyText"/>
        <w:spacing w:line="240" w:lineRule="auto" w:before="26"/>
        <w:ind w:left="153" w:right="2239"/>
        <w:jc w:val="left"/>
      </w:pPr>
      <w:r>
        <w:rPr/>
        <w:t>软件与信息技术服务业</w:t>
      </w:r>
    </w:p>
    <w:p>
      <w:pPr>
        <w:pStyle w:val="BodyText"/>
        <w:spacing w:line="537" w:lineRule="auto" w:before="116"/>
        <w:ind w:left="513" w:right="2650"/>
        <w:jc w:val="left"/>
      </w:pPr>
      <w:r>
        <w:rPr/>
        <w:t>（1）存货的分类 本集团存货分为库存商品、周转材料、发出商品、劳务成本、开发成本、开发产品等。 </w:t>
      </w:r>
    </w:p>
    <w:p>
      <w:pPr>
        <w:pStyle w:val="BodyText"/>
        <w:spacing w:line="537" w:lineRule="auto" w:before="69"/>
        <w:ind w:left="513" w:right="2239"/>
        <w:jc w:val="left"/>
      </w:pPr>
      <w:r>
        <w:rPr/>
        <w:t>（2）发出存货的计价方法 本集团存货取得时按实际成本计价。库存商品、发出商品等发出时采用个别计价法计价。  </w:t>
      </w:r>
    </w:p>
    <w:p>
      <w:pPr>
        <w:pStyle w:val="BodyText"/>
        <w:spacing w:line="316" w:lineRule="auto" w:before="69"/>
        <w:ind w:left="153" w:right="0" w:firstLine="360"/>
        <w:jc w:val="left"/>
      </w:pPr>
      <w:r>
        <w:rPr>
          <w:spacing w:val="-2"/>
        </w:rPr>
        <w:t>开发产品的实际成本包括土地出让金、基础配套设施支出、建筑安装工程支出、开发项目完工之前所发生的借款费用及</w:t>
      </w:r>
      <w:r>
        <w:rPr/>
        <w:t> 开发过程中的其他相关费用。开发产品发出时，采用个别计价法确定其实际成本。 </w:t>
      </w:r>
    </w:p>
    <w:p>
      <w:pPr>
        <w:pStyle w:val="BodyText"/>
        <w:spacing w:line="528" w:lineRule="exact" w:before="22"/>
        <w:ind w:left="513" w:right="0"/>
        <w:jc w:val="left"/>
      </w:pPr>
      <w:r>
        <w:rPr/>
        <w:t>（3）存货可变现净值的确定依据及存货跌价准备的计提方法 </w:t>
      </w:r>
      <w:r>
        <w:rPr>
          <w:spacing w:val="-2"/>
        </w:rPr>
        <w:t>存货可变现净值是按存货的估计售价减去至完工时估计将要发生的成本、估计的销售费用以及相关税费后的金额。在确</w:t>
      </w:r>
    </w:p>
    <w:p>
      <w:pPr>
        <w:pStyle w:val="BodyText"/>
        <w:spacing w:line="232" w:lineRule="exact"/>
        <w:ind w:left="153" w:right="0"/>
        <w:jc w:val="left"/>
      </w:pPr>
      <w:r>
        <w:rPr/>
        <w:t>定存货的可变现净值时，以取得的确凿证据为基础，同时考虑持有存货的目的以及资产负债表日后事项的影响。 </w:t>
      </w:r>
    </w:p>
    <w:p>
      <w:pPr>
        <w:spacing w:line="240" w:lineRule="auto" w:before="5"/>
        <w:rPr>
          <w:rFonts w:ascii="宋体" w:hAnsi="宋体" w:cs="宋体" w:eastAsia="宋体" w:hint="default"/>
          <w:sz w:val="22"/>
          <w:szCs w:val="22"/>
        </w:rPr>
      </w:pPr>
    </w:p>
    <w:p>
      <w:pPr>
        <w:pStyle w:val="BodyText"/>
        <w:spacing w:line="316" w:lineRule="auto"/>
        <w:ind w:left="153" w:right="1031" w:firstLine="360"/>
        <w:jc w:val="left"/>
      </w:pPr>
      <w:r>
        <w:rPr/>
        <w:t>资产负债表日，存货成本高于其可变现净值的，计提存货跌价准备。本集团通常按照单个存货项目计提存货跌价准备， 资产负债表日，以前减记存货价值的影响因素已经消失的，存货跌价准备在原已计提的金额内转回。 </w:t>
      </w:r>
    </w:p>
    <w:p>
      <w:pPr>
        <w:spacing w:line="240" w:lineRule="auto" w:before="12"/>
        <w:rPr>
          <w:rFonts w:ascii="宋体" w:hAnsi="宋体" w:cs="宋体" w:eastAsia="宋体" w:hint="default"/>
          <w:sz w:val="17"/>
          <w:szCs w:val="17"/>
        </w:rPr>
      </w:pPr>
    </w:p>
    <w:p>
      <w:pPr>
        <w:pStyle w:val="BodyText"/>
        <w:spacing w:line="537" w:lineRule="auto"/>
        <w:ind w:left="513" w:right="6790"/>
        <w:jc w:val="left"/>
      </w:pPr>
      <w:r>
        <w:rPr/>
        <w:t>（4）存货的盘存制度 本集团存货盘存制度采用永续盘存制。 </w:t>
      </w:r>
    </w:p>
    <w:p>
      <w:pPr>
        <w:pStyle w:val="BodyText"/>
        <w:spacing w:line="537" w:lineRule="auto" w:before="69"/>
        <w:ind w:left="513" w:right="6470"/>
        <w:jc w:val="left"/>
      </w:pPr>
      <w:r>
        <w:rPr/>
        <w:t>（5）低值易耗品的摊销方法 本集团低值易耗品领用时采用一次转销法摊销。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right="2239"/>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537" w:lineRule="auto"/>
        <w:ind w:left="514" w:right="0"/>
        <w:jc w:val="left"/>
      </w:pPr>
      <w:r>
        <w:rPr/>
        <w:t>（1）持有待售的非流动资产或处置组的分类与计量 </w:t>
      </w:r>
      <w:r>
        <w:rPr>
          <w:spacing w:val="-2"/>
        </w:rPr>
        <w:t>本集团主要通过出售（包括具有商业实质的非货币性资产交换）而非持续使用一项非流动资产或处置组收回其账面价值</w:t>
      </w:r>
    </w:p>
    <w:p>
      <w:pPr>
        <w:spacing w:after="0" w:line="537"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2239"/>
        <w:jc w:val="left"/>
      </w:pPr>
      <w:r>
        <w:rPr/>
        <w:t>时，该非流动资产或处置组被划分为持有待售类别。 </w:t>
      </w:r>
    </w:p>
    <w:p>
      <w:pPr>
        <w:spacing w:line="240" w:lineRule="auto" w:before="5"/>
        <w:rPr>
          <w:rFonts w:ascii="宋体" w:hAnsi="宋体" w:cs="宋体" w:eastAsia="宋体" w:hint="default"/>
          <w:sz w:val="22"/>
          <w:szCs w:val="22"/>
        </w:rPr>
      </w:pPr>
    </w:p>
    <w:p>
      <w:pPr>
        <w:pStyle w:val="BodyText"/>
        <w:spacing w:line="316" w:lineRule="auto"/>
        <w:ind w:left="153" w:right="0" w:firstLine="360"/>
        <w:jc w:val="left"/>
      </w:pPr>
      <w:r>
        <w:rPr>
          <w:spacing w:val="-2"/>
        </w:rPr>
        <w:t>上述非流动资产不包括采用公允价值模式进行后续计量的投资性房地产、采用公允价值减去出售费用后的净额计量的生</w:t>
      </w:r>
      <w:r>
        <w:rPr/>
        <w:t> 物资产、职工薪酬形成的资产、金融资产、递延所得税资产及保险合同产生的权利。 </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处置组，是指在一项交易中作为整体通过出售或其他方式一并处置的一组资产，以及在该交易中转让的与这些资产直接</w:t>
      </w:r>
      <w:r>
        <w:rPr/>
        <w:t> 相关的负债。在特定情况下，处置组包括企业合并中取得的商誉等。 </w:t>
      </w:r>
    </w:p>
    <w:p>
      <w:pPr>
        <w:spacing w:line="240" w:lineRule="auto" w:before="12"/>
        <w:rPr>
          <w:rFonts w:ascii="宋体" w:hAnsi="宋体" w:cs="宋体" w:eastAsia="宋体" w:hint="default"/>
          <w:sz w:val="17"/>
          <w:szCs w:val="17"/>
        </w:rPr>
      </w:pPr>
    </w:p>
    <w:p>
      <w:pPr>
        <w:pStyle w:val="BodyText"/>
        <w:spacing w:line="316" w:lineRule="auto"/>
        <w:ind w:left="153" w:right="1031" w:firstLine="360"/>
        <w:jc w:val="left"/>
      </w:pPr>
      <w:r>
        <w:rPr>
          <w:spacing w:val="-2"/>
        </w:rPr>
        <w:t>同时满足下列条件的非流动资产或处置组被划分为持有待售类别：根据类似交易中出售此类资产或处置组的惯例，该非</w:t>
      </w:r>
      <w:r>
        <w:rPr/>
        <w:t> 流动资产或处置组在当前状况下即可立即出售；出售极可能发生，即已经就一项出售计划作出决议且获得确定的购买承诺， </w:t>
      </w:r>
      <w:r>
        <w:rPr>
          <w:spacing w:val="-2"/>
        </w:rPr>
        <w:t>预计出售将在一年内完成。因出售对子公司的投资等原因导致丧失对子公司控制权的，无论出售后本集团是否保留部分权益</w:t>
      </w:r>
      <w:r>
        <w:rPr>
          <w:spacing w:val="-64"/>
        </w:rPr>
        <w:t> </w:t>
      </w:r>
      <w:r>
        <w:rPr>
          <w:spacing w:val="-64"/>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初始计量或在资产负债表日重新计量持有待售的非流动资产或处置组时，账面价值高于公允价值减去出售费用后净额的</w:t>
      </w:r>
      <w:r>
        <w:rPr/>
        <w:t> </w:t>
      </w:r>
      <w:r>
        <w:rPr>
          <w:spacing w:val="-2"/>
        </w:rPr>
        <w:t>差额确认为资产减值损失。对于持有待售的处置组确认的资产减值损失金额，先抵减处置组中商誉的账面价值，再根据处置</w:t>
      </w:r>
      <w:r>
        <w:rPr>
          <w:spacing w:val="-66"/>
        </w:rPr>
        <w:t> </w:t>
      </w:r>
      <w:r>
        <w:rPr>
          <w:spacing w:val="-66"/>
        </w:rPr>
      </w:r>
      <w:r>
        <w:rPr/>
        <w:t>组中的各项非流动资产账面价值所占比重，按比例抵减其账面价值。 </w:t>
      </w:r>
    </w:p>
    <w:p>
      <w:pPr>
        <w:spacing w:line="240" w:lineRule="auto" w:before="12"/>
        <w:rPr>
          <w:rFonts w:ascii="宋体" w:hAnsi="宋体" w:cs="宋体" w:eastAsia="宋体" w:hint="default"/>
          <w:sz w:val="17"/>
          <w:szCs w:val="17"/>
        </w:rPr>
      </w:pPr>
    </w:p>
    <w:p>
      <w:pPr>
        <w:pStyle w:val="BodyText"/>
        <w:spacing w:line="316" w:lineRule="auto"/>
        <w:ind w:left="153" w:right="1031" w:firstLine="360"/>
        <w:jc w:val="left"/>
      </w:pPr>
      <w:r>
        <w:rPr/>
        <w:t>后续资产负债表日持有待售的非流动资产或处置组公允价值减去出售费用后的净额增加的，以前减记的金额予以恢复， 并在划分为持有待售类别后确认的资产减值损失金额内转回，转回金额计入当期损益。已抵减的商誉账面价值不得转回。 </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持有待售的非流动资产和持有待售的处置组中的资产不计提折旧或进行摊销；持有待售的处置组中负债的利息和其他费</w:t>
      </w:r>
      <w:r>
        <w:rPr/>
        <w:t> </w:t>
      </w:r>
      <w:r>
        <w:rPr>
          <w:spacing w:val="-4"/>
        </w:rPr>
        <w:t>用继续予以确认。被划分为持有待售的联营企业或合营企业的全部或部分投资，对于划分为持有待售的部分停止权益法核算，</w:t>
      </w:r>
      <w:r>
        <w:rPr>
          <w:spacing w:val="-44"/>
        </w:rPr>
        <w:t> </w:t>
      </w:r>
      <w:r>
        <w:rPr>
          <w:spacing w:val="-44"/>
        </w:rPr>
      </w:r>
      <w:r>
        <w:rPr>
          <w:spacing w:val="-4"/>
        </w:rPr>
        <w:t>保留的部分（未被划分为持有待售类别）则继续采用权益法核算；当本集团因出售丧失对联营企业和合营企业的重大影响时，</w:t>
      </w:r>
      <w:r>
        <w:rPr>
          <w:spacing w:val="-44"/>
        </w:rPr>
        <w:t> </w:t>
      </w:r>
      <w:r>
        <w:rPr>
          <w:spacing w:val="-44"/>
        </w:rPr>
      </w:r>
      <w:r>
        <w:rPr/>
        <w:t>停止使用权益法。 </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某项非流动资产或处置组被划分为持有待售类别，但后来不再满足持有待售类别划分条件的，本集团停止将其划分为持</w:t>
      </w:r>
      <w:r>
        <w:rPr/>
        <w:t> 有待售类别，并按照下列两项金额中较低者计量： </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①该资产或处置组被划分为持有待售类别之前的账面价值，按照其假定在没有被划分为持有待售类别的情况下本应确认</w:t>
      </w:r>
      <w:r>
        <w:rPr/>
        <w:t> 的折旧、摊销或减值进行调整后的金额； </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②可收回金额。 </w:t>
      </w:r>
    </w:p>
    <w:p>
      <w:pPr>
        <w:spacing w:line="240" w:lineRule="auto" w:before="5"/>
        <w:rPr>
          <w:rFonts w:ascii="宋体" w:hAnsi="宋体" w:cs="宋体" w:eastAsia="宋体" w:hint="default"/>
          <w:sz w:val="22"/>
          <w:szCs w:val="22"/>
        </w:rPr>
      </w:pPr>
    </w:p>
    <w:p>
      <w:pPr>
        <w:pStyle w:val="BodyText"/>
        <w:spacing w:line="537" w:lineRule="auto"/>
        <w:ind w:left="513" w:right="1117"/>
        <w:jc w:val="left"/>
      </w:pPr>
      <w:r>
        <w:rPr/>
        <w:t>（2）终止经营 终止经营，是指满足下列条件之一的已被本集团处置或被本集团划分为持有待售类别的、能够单独区分的组成部分： </w:t>
      </w:r>
    </w:p>
    <w:p>
      <w:pPr>
        <w:pStyle w:val="BodyText"/>
        <w:spacing w:line="240" w:lineRule="auto" w:before="69"/>
        <w:ind w:left="513" w:right="2239"/>
        <w:jc w:val="left"/>
      </w:pPr>
      <w:r>
        <w:rPr/>
        <w:t>①该组成部分代表一项独立的主要业务或一个单独的主要经营地区。 </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②该组成部分是拟对一项独立的主要业务或一个单独的主要经营地区进行处置的一项相关联计划的一部分。 </w:t>
      </w:r>
    </w:p>
    <w:p>
      <w:pPr>
        <w:spacing w:line="240" w:lineRule="auto" w:before="5"/>
        <w:rPr>
          <w:rFonts w:ascii="宋体" w:hAnsi="宋体" w:cs="宋体" w:eastAsia="宋体" w:hint="default"/>
          <w:sz w:val="22"/>
          <w:szCs w:val="22"/>
        </w:rPr>
      </w:pPr>
    </w:p>
    <w:p>
      <w:pPr>
        <w:pStyle w:val="BodyText"/>
        <w:spacing w:line="240" w:lineRule="auto"/>
        <w:ind w:left="513" w:right="2239"/>
        <w:jc w:val="left"/>
      </w:pPr>
      <w:r>
        <w:rPr/>
        <w:t>③该组成部分是专为转售而取得的子公司。 </w:t>
      </w:r>
    </w:p>
    <w:p>
      <w:pPr>
        <w:pStyle w:val="BodyText"/>
        <w:spacing w:line="520" w:lineRule="atLeast" w:before="8"/>
        <w:ind w:left="513" w:right="1117"/>
        <w:jc w:val="left"/>
      </w:pPr>
      <w:r>
        <w:rPr/>
        <w:t>（3）列报 </w:t>
      </w:r>
      <w:r>
        <w:rPr>
          <w:spacing w:val="-2"/>
        </w:rPr>
        <w:t>本集团在资产负债表中将持有待售的非流动资产或持有待售的处置组中的资产列报于“持有待售资产”，将持有待售的</w:t>
      </w:r>
    </w:p>
    <w:p>
      <w:pPr>
        <w:pStyle w:val="BodyText"/>
        <w:spacing w:line="537" w:lineRule="auto" w:before="76"/>
        <w:ind w:left="513" w:right="0" w:hanging="360"/>
        <w:jc w:val="left"/>
      </w:pPr>
      <w:r>
        <w:rPr/>
        <w:t>处置组中的负债列报于“持有待售负债”。 </w:t>
      </w:r>
      <w:r>
        <w:rPr>
          <w:spacing w:val="-2"/>
        </w:rPr>
        <w:t>本集团在利润表中分别列示持续经营损益和终止经营损益。不符合终止经营定义的持有待售的非流动资产或处置组，其</w:t>
      </w:r>
    </w:p>
    <w:p>
      <w:pPr>
        <w:spacing w:after="0" w:line="537"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117"/>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 </w:t>
      </w:r>
    </w:p>
    <w:p>
      <w:pPr>
        <w:pStyle w:val="BodyText"/>
        <w:spacing w:line="528" w:lineRule="exact" w:before="22"/>
        <w:ind w:left="513" w:right="0"/>
        <w:jc w:val="left"/>
      </w:pPr>
      <w:r>
        <w:rPr/>
        <w:t>拟结束使用而非出售且满足终止经营定义中有关组成部分的条件的处置组，自其停止使用日起作为终止经营列报。 </w:t>
      </w:r>
      <w:r>
        <w:rPr>
          <w:spacing w:val="-2"/>
        </w:rPr>
        <w:t>对于当期列报的终止经营，在当期财务报表中，原来作为持续经营损益列报的信息被重新作为可比会计期间的终止经营</w:t>
      </w:r>
    </w:p>
    <w:p>
      <w:pPr>
        <w:pStyle w:val="BodyText"/>
        <w:spacing w:line="316" w:lineRule="auto"/>
        <w:ind w:left="153" w:right="0"/>
        <w:jc w:val="left"/>
      </w:pPr>
      <w:r>
        <w:rPr>
          <w:spacing w:val="-2"/>
        </w:rPr>
        <w:t>损益列报。终止经营不再满足持有待售类别划分条件的，在当期财务报表中，原来作为终止经营损益列报的信息被重新作为</w:t>
      </w:r>
      <w:r>
        <w:rPr>
          <w:spacing w:val="-66"/>
        </w:rPr>
        <w:t> </w:t>
      </w:r>
      <w:r>
        <w:rPr>
          <w:spacing w:val="-66"/>
        </w:rPr>
      </w:r>
      <w:r>
        <w:rPr/>
        <w:t>可比会计期间的持续经营损益列报。</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长期股权投资包括对子公司、合营企业和联营企业的权益性投资。本集团能够对被投资单位施加重大影响的，为本集团</w:t>
      </w:r>
      <w:r>
        <w:rPr/>
        <w:t> 的联营企业。 </w:t>
      </w:r>
    </w:p>
    <w:p>
      <w:pPr>
        <w:pStyle w:val="BodyText"/>
        <w:spacing w:line="528" w:lineRule="exact" w:before="22"/>
        <w:ind w:left="514" w:right="0"/>
        <w:jc w:val="left"/>
      </w:pPr>
      <w:r>
        <w:rPr/>
        <w:t>（1）初始投资成本确定 </w:t>
      </w:r>
      <w:r>
        <w:rPr>
          <w:spacing w:val="-2"/>
        </w:rPr>
        <w:t>形成企业合并的长期股权投资：同一控制下企业合并取得的长期股权投资，在合并日按照取得被合并方所有者权益在最</w:t>
      </w:r>
    </w:p>
    <w:p>
      <w:pPr>
        <w:pStyle w:val="BodyText"/>
        <w:spacing w:line="316" w:lineRule="auto"/>
        <w:ind w:right="0"/>
        <w:jc w:val="left"/>
      </w:pPr>
      <w:r>
        <w:rPr>
          <w:spacing w:val="-2"/>
        </w:rPr>
        <w:t>终控制方合并财务报表中的账面价值份额作为投资成本；非同一控制下企业合并取得的长期股权投资，按照合并成本作为长</w:t>
      </w:r>
      <w:r>
        <w:rPr>
          <w:spacing w:val="-64"/>
        </w:rPr>
        <w:t> </w:t>
      </w:r>
      <w:r>
        <w:rPr>
          <w:spacing w:val="-64"/>
        </w:rPr>
      </w:r>
      <w:r>
        <w:rPr/>
        <w:t>期股权投资的投资成本。 </w:t>
      </w:r>
    </w:p>
    <w:p>
      <w:pPr>
        <w:spacing w:line="240" w:lineRule="auto" w:before="12"/>
        <w:rPr>
          <w:rFonts w:ascii="宋体" w:hAnsi="宋体" w:cs="宋体" w:eastAsia="宋体" w:hint="default"/>
          <w:sz w:val="17"/>
          <w:szCs w:val="17"/>
        </w:rPr>
      </w:pPr>
    </w:p>
    <w:p>
      <w:pPr>
        <w:pStyle w:val="BodyText"/>
        <w:spacing w:line="316" w:lineRule="auto"/>
        <w:ind w:right="1131" w:firstLine="360"/>
        <w:jc w:val="both"/>
      </w:pPr>
      <w:r>
        <w:rPr>
          <w:spacing w:val="-2"/>
        </w:rPr>
        <w:t>对于其他方式取得的长期股权投资：支付现金取得的长期股权投资，按照实际支付的购买价款作为初始投资成本；发行</w:t>
      </w:r>
      <w:r>
        <w:rPr/>
        <w:t> 权益性证券取得的长期股权投资，以发行权益性证券的公允价值作为初始投资成本。 </w:t>
      </w:r>
    </w:p>
    <w:p>
      <w:pPr>
        <w:pStyle w:val="BodyText"/>
        <w:spacing w:line="528" w:lineRule="exact" w:before="22"/>
        <w:ind w:left="514" w:right="0"/>
        <w:jc w:val="left"/>
      </w:pPr>
      <w:r>
        <w:rPr/>
        <w:t>（2）后续计量及损益确认方法 </w:t>
      </w:r>
      <w:r>
        <w:rPr>
          <w:spacing w:val="-2"/>
        </w:rPr>
        <w:t>对子公司的投资，采用成本法核算，除非投资符合持有待售的条件；对联营企业和合营企业的投资，采用权益法核算。</w:t>
      </w:r>
      <w:r>
        <w:rPr>
          <w:spacing w:val="-76"/>
        </w:rPr>
        <w:t> </w:t>
      </w:r>
      <w:r>
        <w:rPr/>
        <w:t>采用成本法核算的长期股权投资，除取得投资时实际支付的价款或对价中包含的已宣告但尚未发放的现金股利或利润</w:t>
      </w:r>
    </w:p>
    <w:p>
      <w:pPr>
        <w:pStyle w:val="BodyText"/>
        <w:spacing w:line="232" w:lineRule="exact"/>
        <w:ind w:right="2239"/>
        <w:jc w:val="left"/>
      </w:pPr>
      <w:r>
        <w:rPr/>
        <w:t>外，被投资单位宣告分派的现金股利或利润，确认为投资收益计入当期损益。 </w:t>
      </w:r>
    </w:p>
    <w:p>
      <w:pPr>
        <w:spacing w:line="240" w:lineRule="auto" w:before="5"/>
        <w:rPr>
          <w:rFonts w:ascii="宋体" w:hAnsi="宋体" w:cs="宋体" w:eastAsia="宋体" w:hint="default"/>
          <w:sz w:val="22"/>
          <w:szCs w:val="22"/>
        </w:rPr>
      </w:pPr>
    </w:p>
    <w:p>
      <w:pPr>
        <w:pStyle w:val="BodyText"/>
        <w:spacing w:line="316" w:lineRule="auto"/>
        <w:ind w:right="1130" w:firstLine="360"/>
        <w:jc w:val="both"/>
      </w:pPr>
      <w:r>
        <w:rPr>
          <w:spacing w:val="-2"/>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 </w:t>
      </w:r>
    </w:p>
    <w:p>
      <w:pPr>
        <w:spacing w:line="240" w:lineRule="auto" w:before="12"/>
        <w:rPr>
          <w:rFonts w:ascii="宋体" w:hAnsi="宋体" w:cs="宋体" w:eastAsia="宋体" w:hint="default"/>
          <w:sz w:val="17"/>
          <w:szCs w:val="17"/>
        </w:rPr>
      </w:pPr>
    </w:p>
    <w:p>
      <w:pPr>
        <w:pStyle w:val="BodyText"/>
        <w:spacing w:line="316" w:lineRule="auto"/>
        <w:ind w:right="1129"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期股权投资的账面价值；被投资单位除净损益、其他综合收益和利润分配以外所有者权益的其他变动，调整长期股权投资的</w:t>
      </w:r>
      <w:r>
        <w:rPr>
          <w:spacing w:val="-66"/>
        </w:rPr>
        <w:t> </w:t>
      </w:r>
      <w:r>
        <w:rPr>
          <w:spacing w:val="-66"/>
        </w:rPr>
      </w:r>
      <w:r>
        <w:rPr>
          <w:spacing w:val="-2"/>
        </w:rPr>
        <w:t>账面价值并计入资本公积（其他资本公积）。在确认应享有被投资单位净损益的份额时，以取得投资时被投资单位各项可辨</w:t>
      </w:r>
      <w:r>
        <w:rPr>
          <w:spacing w:val="-66"/>
        </w:rPr>
        <w:t> </w:t>
      </w:r>
      <w:r>
        <w:rPr>
          <w:spacing w:val="-66"/>
        </w:rPr>
      </w:r>
      <w:r>
        <w:rPr/>
        <w:t>认资产等的公允价值为基础，并按照本集团的会计政策及会计期间，对被投资单位的净利润进行调整后确认。 </w:t>
      </w:r>
    </w:p>
    <w:p>
      <w:pPr>
        <w:spacing w:line="240" w:lineRule="auto" w:before="12"/>
        <w:rPr>
          <w:rFonts w:ascii="宋体" w:hAnsi="宋体" w:cs="宋体" w:eastAsia="宋体" w:hint="default"/>
          <w:sz w:val="17"/>
          <w:szCs w:val="17"/>
        </w:rPr>
      </w:pPr>
    </w:p>
    <w:p>
      <w:pPr>
        <w:pStyle w:val="BodyText"/>
        <w:spacing w:line="316" w:lineRule="auto"/>
        <w:ind w:right="1130"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6"/>
        </w:rPr>
        <w:t> </w:t>
      </w:r>
      <w:r>
        <w:rPr>
          <w:spacing w:val="-66"/>
        </w:rPr>
      </w:r>
      <w:r>
        <w:rPr/>
        <w:t>计入其他综合收益的累计公允价值变动转入改按权益法核算的当期损益。  </w:t>
      </w:r>
    </w:p>
    <w:p>
      <w:pPr>
        <w:spacing w:line="240" w:lineRule="auto" w:before="12"/>
        <w:rPr>
          <w:rFonts w:ascii="宋体" w:hAnsi="宋体" w:cs="宋体" w:eastAsia="宋体" w:hint="default"/>
          <w:sz w:val="17"/>
          <w:szCs w:val="17"/>
        </w:rPr>
      </w:pPr>
    </w:p>
    <w:p>
      <w:pPr>
        <w:pStyle w:val="BodyText"/>
        <w:spacing w:line="316" w:lineRule="auto"/>
        <w:ind w:right="1030" w:firstLine="360"/>
        <w:jc w:val="left"/>
      </w:pPr>
      <w:r>
        <w:rPr>
          <w:spacing w:val="-2"/>
        </w:rPr>
        <w:t>因处置部分股权投资等原因丧失了对被投资单位的共同控制或重大影响的，处置后的剩余股权在丧失共同控制或重大影</w:t>
      </w:r>
      <w:r>
        <w:rPr/>
        <w:t> 响之日改按《企业会计准则第22号—金融工具确认和计量》进行会计处理，公允价值与账面价值之间的差额计入当期损益。 </w:t>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 </w:t>
      </w:r>
    </w:p>
    <w:p>
      <w:pPr>
        <w:spacing w:after="0" w:line="316"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131"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6"/>
        </w:rPr>
        <w:t> </w:t>
      </w:r>
      <w:r>
        <w:rPr>
          <w:spacing w:val="-66"/>
        </w:rPr>
      </w:r>
      <w:r>
        <w:rPr>
          <w:spacing w:val="-2"/>
        </w:rPr>
        <w:t>位实施共同控制或施加重大影响的，改按《企业会计准则第22号—金融工具确认和计量》的有关规定进行会计处理，其在丧</w:t>
      </w:r>
      <w:r>
        <w:rPr>
          <w:spacing w:val="-64"/>
        </w:rPr>
        <w:t> </w:t>
      </w:r>
      <w:r>
        <w:rPr>
          <w:spacing w:val="-64"/>
        </w:rPr>
      </w:r>
      <w:r>
        <w:rPr/>
        <w:t>失控制之日的公允价值与账面价值之间的差额计入当期损益。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right"/>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73"/>
        </w:rPr>
        <w:t> </w:t>
      </w:r>
      <w:r>
        <w:rPr>
          <w:spacing w:val="-73"/>
        </w:rPr>
      </w:r>
      <w:r>
        <w:rPr/>
        <w:t>股权投资原账面价值之间的差额计入当期损益；然后，按照新的持股比例视同自取得投资时即采用权益法核算进行调整。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本集团与联营企业及合营企业之间发生的未实现内部交易损益按照持股比例计算归属于本集团的部分，在抵销基础上确</w:t>
      </w:r>
      <w:r>
        <w:rPr/>
        <w:t> 认投资损益。但本集团与被投资单位发生的未实现内部交易损失，属于所转让资产减值损失的，不予以抵销。 </w:t>
      </w:r>
    </w:p>
    <w:p>
      <w:pPr>
        <w:pStyle w:val="BodyText"/>
        <w:spacing w:line="528" w:lineRule="exact" w:before="22"/>
        <w:ind w:left="513" w:right="0"/>
        <w:jc w:val="left"/>
      </w:pPr>
      <w:r>
        <w:rPr/>
        <w:t>（3）确定对被投资单位具有共同控制、重大影响的依据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ind w:left="153" w:right="1130"/>
        <w:jc w:val="both"/>
      </w:pPr>
      <w:r>
        <w:rPr>
          <w:spacing w:val="-2"/>
        </w:rPr>
        <w:t>后才能决策。在判断是否存在共同控制时，首先判断是否由所有参与方或参与方组合集体控制该安排，其次再判断该安排相</w:t>
      </w:r>
      <w:r>
        <w:rPr>
          <w:spacing w:val="-66"/>
        </w:rPr>
        <w:t> </w:t>
      </w:r>
      <w:r>
        <w:rPr>
          <w:spacing w:val="-66"/>
        </w:rPr>
      </w: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4"/>
        </w:rPr>
        <w:t> </w:t>
      </w:r>
      <w:r>
        <w:rPr>
          <w:spacing w:val="-64"/>
        </w:rPr>
      </w:r>
      <w:r>
        <w:rPr/>
        <w:t>某项安排的，不构成共同控制。判断是否存在共同控制时，不考虑享有的保护性权利。 </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 </w:t>
      </w:r>
    </w:p>
    <w:p>
      <w:pPr>
        <w:spacing w:line="240" w:lineRule="auto" w:before="12"/>
        <w:rPr>
          <w:rFonts w:ascii="宋体" w:hAnsi="宋体" w:cs="宋体" w:eastAsia="宋体" w:hint="default"/>
          <w:sz w:val="17"/>
          <w:szCs w:val="17"/>
        </w:rPr>
      </w:pPr>
    </w:p>
    <w:p>
      <w:pPr>
        <w:pStyle w:val="BodyText"/>
        <w:spacing w:line="316" w:lineRule="auto"/>
        <w:ind w:left="153" w:right="1128" w:firstLine="360"/>
        <w:jc w:val="both"/>
      </w:pPr>
      <w:r>
        <w:rPr/>
        <w:t>当本公司直接或通过子公司间接拥有被投资单位20%（含20%）以上但低于50%的表决权股份时，一般认为对被投资单位 </w:t>
      </w:r>
      <w:r>
        <w:rPr>
          <w:spacing w:val="-2"/>
        </w:rPr>
        <w:t>具有重大影响，除非有明确证据表明该种情况下不能参与被投资单位的生产经营决策，不形成重大影响；本集团拥有被投资</w:t>
      </w:r>
      <w:r>
        <w:rPr>
          <w:spacing w:val="-66"/>
        </w:rPr>
        <w:t> </w:t>
      </w:r>
      <w:r>
        <w:rPr>
          <w:spacing w:val="-66"/>
        </w:rPr>
      </w:r>
      <w:r>
        <w:rPr/>
        <w:t>单位20%（不含）以下的表决权股份时，一般不认为对被投资单位具有重大影响，除非有明确证据表明该种情况下能够参与</w:t>
      </w:r>
      <w:r>
        <w:rPr>
          <w:spacing w:val="-83"/>
        </w:rPr>
        <w:t> </w:t>
      </w:r>
      <w:r>
        <w:rPr>
          <w:spacing w:val="-83"/>
        </w:rPr>
      </w:r>
      <w:r>
        <w:rPr/>
        <w:t>被投资单位的生产经营决策，形成重大影响。 </w:t>
      </w:r>
    </w:p>
    <w:p>
      <w:pPr>
        <w:pStyle w:val="BodyText"/>
        <w:spacing w:line="528" w:lineRule="exact" w:before="22"/>
        <w:ind w:left="513" w:right="1117"/>
        <w:jc w:val="left"/>
      </w:pPr>
      <w:r>
        <w:rPr/>
        <w:t>（4）持有待售的权益性投资 对联营企业或合营企业的权益性投资全部或部分分类为持有待售资产的，相关会计处理见附注三、13。 对于未划分为持有待售资产的剩余权益性投资，采用权益法进行会计处理。 </w:t>
      </w:r>
      <w:r>
        <w:rPr>
          <w:spacing w:val="-2"/>
        </w:rPr>
        <w:t>已划分为持有待售的对联营企业或合营企业的权益性投资，不再符合持有待售资产分类条件的，从被分类为持有待售资</w:t>
      </w:r>
    </w:p>
    <w:p>
      <w:pPr>
        <w:pStyle w:val="BodyText"/>
        <w:spacing w:line="232" w:lineRule="exact"/>
        <w:ind w:left="153" w:right="2239"/>
        <w:jc w:val="left"/>
      </w:pPr>
      <w:r>
        <w:rPr/>
        <w:t>产之日起采用权益法进行追溯调整。 </w:t>
      </w:r>
    </w:p>
    <w:p>
      <w:pPr>
        <w:spacing w:line="240" w:lineRule="auto" w:before="5"/>
        <w:rPr>
          <w:rFonts w:ascii="宋体" w:hAnsi="宋体" w:cs="宋体" w:eastAsia="宋体" w:hint="default"/>
          <w:sz w:val="22"/>
          <w:szCs w:val="22"/>
        </w:rPr>
      </w:pPr>
    </w:p>
    <w:p>
      <w:pPr>
        <w:pStyle w:val="BodyText"/>
        <w:spacing w:line="537" w:lineRule="auto"/>
        <w:ind w:left="513" w:right="4271"/>
        <w:jc w:val="left"/>
      </w:pPr>
      <w:r>
        <w:rPr/>
        <w:t>（5）减值测试方法及减值准备计提方法 对子公司、联营企业及合营企业的投资，计提资产减值的方法见附注三、21。</w:t>
      </w:r>
    </w:p>
    <w:p>
      <w:pPr>
        <w:pStyle w:val="Heading3"/>
        <w:spacing w:line="240" w:lineRule="auto" w:before="129"/>
        <w:ind w:right="2239"/>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spacing w:after="0" w:line="36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041" w:firstLine="360"/>
        <w:jc w:val="both"/>
      </w:pPr>
      <w:r>
        <w:rPr>
          <w:spacing w:val="-4"/>
        </w:rPr>
        <w:t>投资性房地产是指为赚取租金或资本增值，或两者兼有而持有的房地产。本集团投资性房地产包括已出租的土地使用权、</w:t>
      </w:r>
      <w:r>
        <w:rPr/>
        <w:t> 持有并准备增值后转让的土地使用权、已出租的建筑物。 </w:t>
      </w:r>
    </w:p>
    <w:p>
      <w:pPr>
        <w:spacing w:line="240" w:lineRule="auto" w:before="12"/>
        <w:rPr>
          <w:rFonts w:ascii="宋体" w:hAnsi="宋体" w:cs="宋体" w:eastAsia="宋体" w:hint="default"/>
          <w:sz w:val="17"/>
          <w:szCs w:val="17"/>
        </w:rPr>
      </w:pPr>
    </w:p>
    <w:p>
      <w:pPr>
        <w:pStyle w:val="BodyText"/>
        <w:spacing w:line="537" w:lineRule="auto"/>
        <w:ind w:left="513" w:right="0"/>
        <w:jc w:val="left"/>
      </w:pPr>
      <w:r>
        <w:rPr>
          <w:spacing w:val="-2"/>
        </w:rPr>
        <w:t>本集团投资性房地产按照取得时的成本进行初始计量，并按照固定资产或无形资产的有关规定，按期计提折旧或摊销。</w:t>
      </w:r>
      <w:r>
        <w:rPr>
          <w:spacing w:val="-76"/>
        </w:rPr>
        <w:t> </w:t>
      </w:r>
      <w:r>
        <w:rPr/>
        <w:t>采用成本模式进行后续计量的投资性房地产，计提资产减值方法见附注三、21。 投资性房地产出售、转让、报废或毁损的处置收入扣除其账面价值和相关税费后的差额计入当期损益。</w:t>
      </w:r>
    </w:p>
    <w:p>
      <w:pPr>
        <w:pStyle w:val="Heading3"/>
        <w:spacing w:line="240" w:lineRule="auto" w:before="129"/>
        <w:ind w:right="2239"/>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本集团固定资产是指为生产商品、提供劳务、出租或经营管理而持有的，使用寿命超过一个会计年度的有形资产。与该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固定资产有关的经济利益很可能流入企业，并且该固定资产的成本能够可靠地计量时，固定资产才能予以确认。本集团固定</w:t>
      </w:r>
      <w:r>
        <w:rPr>
          <w:spacing w:val="-66"/>
        </w:rPr>
        <w:t> </w:t>
      </w:r>
      <w:r>
        <w:rPr>
          <w:spacing w:val="-66"/>
        </w:rPr>
      </w:r>
      <w:r>
        <w:rPr/>
        <w:t>资产按照取得时的实际成本进行初始计量。</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50"/>
        <w:ind w:right="1129" w:firstLine="360"/>
        <w:jc w:val="both"/>
      </w:pPr>
      <w:r>
        <w:rPr>
          <w:spacing w:val="-2"/>
        </w:rPr>
        <w:t>本集团采用年限平均法计提折旧。固定资产自达到预定可使用状态时开始计提折旧，终止确认时或划分为持有待售非流</w:t>
      </w:r>
      <w:r>
        <w:rPr/>
        <w:t> </w:t>
      </w:r>
      <w:r>
        <w:rPr>
          <w:spacing w:val="-2"/>
        </w:rPr>
        <w:t>动资产时停止计提折旧。在不考虑减值准备的情况下，按固定资产类别、预计使用寿命和预计残值，本集团确定各类固定资</w:t>
      </w:r>
      <w:r>
        <w:rPr>
          <w:spacing w:val="-66"/>
        </w:rPr>
        <w:t> </w:t>
      </w:r>
      <w:r>
        <w:rPr>
          <w:spacing w:val="-66"/>
        </w:rPr>
      </w:r>
      <w:r>
        <w:rPr/>
        <w:t>产的年折旧率如下：</w:t>
      </w:r>
    </w:p>
    <w:p>
      <w:pPr>
        <w:spacing w:line="240" w:lineRule="auto" w:before="9"/>
        <w:rPr>
          <w:rFonts w:ascii="宋体" w:hAnsi="宋体" w:cs="宋体" w:eastAsia="宋体" w:hint="default"/>
          <w:sz w:val="3"/>
          <w:szCs w:val="3"/>
        </w:rPr>
      </w:pPr>
    </w:p>
    <w:tbl>
      <w:tblPr>
        <w:tblW w:w="0" w:type="auto"/>
        <w:jc w:val="left"/>
        <w:tblInd w:w="389" w:type="dxa"/>
        <w:tblLayout w:type="fixed"/>
        <w:tblCellMar>
          <w:top w:w="0" w:type="dxa"/>
          <w:left w:w="0" w:type="dxa"/>
          <w:bottom w:w="0" w:type="dxa"/>
          <w:right w:w="0" w:type="dxa"/>
        </w:tblCellMar>
        <w:tblLook w:val="01E0"/>
      </w:tblPr>
      <w:tblGrid>
        <w:gridCol w:w="1985"/>
        <w:gridCol w:w="1843"/>
        <w:gridCol w:w="2693"/>
        <w:gridCol w:w="2632"/>
      </w:tblGrid>
      <w:tr>
        <w:trPr>
          <w:trHeight w:val="427" w:hRule="exact"/>
        </w:trPr>
        <w:tc>
          <w:tcPr>
            <w:tcW w:w="19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84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627" w:right="0"/>
              <w:jc w:val="left"/>
              <w:rPr>
                <w:rFonts w:ascii="宋体" w:hAnsi="宋体" w:cs="宋体" w:eastAsia="宋体" w:hint="default"/>
                <w:sz w:val="18"/>
                <w:szCs w:val="18"/>
              </w:rPr>
            </w:pPr>
            <w:r>
              <w:rPr>
                <w:rFonts w:ascii="宋体" w:hAnsi="宋体" w:cs="宋体" w:eastAsia="宋体" w:hint="default"/>
                <w:sz w:val="18"/>
                <w:szCs w:val="18"/>
              </w:rPr>
              <w:t>使用年限</w:t>
            </w:r>
          </w:p>
        </w:tc>
        <w:tc>
          <w:tcPr>
            <w:tcW w:w="269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1309"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263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1189"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20.00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77"/>
              <w:jc w:val="right"/>
              <w:rPr>
                <w:rFonts w:ascii="Times New Roman" w:hAnsi="Times New Roman" w:cs="Times New Roman" w:eastAsia="Times New Roman" w:hint="default"/>
                <w:sz w:val="18"/>
                <w:szCs w:val="18"/>
              </w:rPr>
            </w:pPr>
            <w:r>
              <w:rPr>
                <w:rFonts w:ascii="Times New Roman"/>
                <w:sz w:val="18"/>
              </w:rPr>
              <w:t>5.00</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26"/>
              <w:jc w:val="right"/>
              <w:rPr>
                <w:rFonts w:ascii="Times New Roman" w:hAnsi="Times New Roman" w:cs="Times New Roman" w:eastAsia="Times New Roman" w:hint="default"/>
                <w:sz w:val="18"/>
                <w:szCs w:val="18"/>
              </w:rPr>
            </w:pPr>
            <w:r>
              <w:rPr>
                <w:rFonts w:ascii="Times New Roman"/>
                <w:sz w:val="18"/>
              </w:rPr>
              <w:t>4.75</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10.00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77"/>
              <w:jc w:val="right"/>
              <w:rPr>
                <w:rFonts w:ascii="Times New Roman" w:hAnsi="Times New Roman" w:cs="Times New Roman" w:eastAsia="Times New Roman" w:hint="default"/>
                <w:sz w:val="18"/>
                <w:szCs w:val="18"/>
              </w:rPr>
            </w:pPr>
            <w:r>
              <w:rPr>
                <w:rFonts w:ascii="Times New Roman"/>
                <w:sz w:val="18"/>
              </w:rPr>
              <w:t>5.00</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26"/>
              <w:jc w:val="right"/>
              <w:rPr>
                <w:rFonts w:ascii="Times New Roman" w:hAnsi="Times New Roman" w:cs="Times New Roman" w:eastAsia="Times New Roman" w:hint="default"/>
                <w:sz w:val="18"/>
                <w:szCs w:val="18"/>
              </w:rPr>
            </w:pPr>
            <w:r>
              <w:rPr>
                <w:rFonts w:ascii="Times New Roman"/>
                <w:sz w:val="18"/>
              </w:rPr>
              <w:t>9.50</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5.00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78"/>
              <w:jc w:val="right"/>
              <w:rPr>
                <w:rFonts w:ascii="Times New Roman" w:hAnsi="Times New Roman" w:cs="Times New Roman" w:eastAsia="Times New Roman" w:hint="default"/>
                <w:sz w:val="18"/>
                <w:szCs w:val="18"/>
              </w:rPr>
            </w:pPr>
            <w:r>
              <w:rPr>
                <w:rFonts w:ascii="Times New Roman"/>
                <w:sz w:val="18"/>
              </w:rPr>
              <w:t>5.00</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24"/>
              <w:jc w:val="right"/>
              <w:rPr>
                <w:rFonts w:ascii="Times New Roman" w:hAnsi="Times New Roman" w:cs="Times New Roman" w:eastAsia="Times New Roman" w:hint="default"/>
                <w:sz w:val="18"/>
                <w:szCs w:val="18"/>
              </w:rPr>
            </w:pPr>
            <w:r>
              <w:rPr>
                <w:rFonts w:ascii="Times New Roman"/>
                <w:sz w:val="18"/>
              </w:rPr>
              <w:t>19.00</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z w:val="18"/>
              </w:rPr>
              <w:t>5.00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8"/>
              <w:jc w:val="right"/>
              <w:rPr>
                <w:rFonts w:ascii="Times New Roman" w:hAnsi="Times New Roman" w:cs="Times New Roman" w:eastAsia="Times New Roman" w:hint="default"/>
                <w:sz w:val="18"/>
                <w:szCs w:val="18"/>
              </w:rPr>
            </w:pPr>
            <w:r>
              <w:rPr>
                <w:rFonts w:ascii="Times New Roman"/>
                <w:sz w:val="18"/>
              </w:rPr>
              <w:t>5.00</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24"/>
              <w:jc w:val="righ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51"/>
        <w:ind w:left="514" w:right="2239"/>
        <w:jc w:val="left"/>
      </w:pPr>
      <w:r>
        <w:rPr/>
        <w:t>其中，已计提减值准备的固定资产，还应扣除已计提的固定资产减值准备累计金额计算确定折旧率。</w:t>
      </w:r>
    </w:p>
    <w:p>
      <w:pPr>
        <w:pStyle w:val="BodyText"/>
        <w:spacing w:line="240" w:lineRule="auto" w:before="116"/>
        <w:ind w:left="513" w:right="2239"/>
        <w:jc w:val="left"/>
      </w:pPr>
      <w:r>
        <w:rPr/>
        <w:t>（</w:t>
      </w:r>
      <w:r>
        <w:rPr>
          <w:rFonts w:ascii="Times New Roman" w:hAnsi="Times New Roman" w:cs="Times New Roman" w:eastAsia="Times New Roman" w:hint="default"/>
        </w:rPr>
        <w:t>3</w:t>
      </w:r>
      <w:r>
        <w:rPr/>
        <w:t>）固定资产的减值测试方法、减值准备计提方法见附注三、</w:t>
      </w:r>
      <w:r>
        <w:rPr>
          <w:rFonts w:ascii="Times New Roman" w:hAnsi="Times New Roman" w:cs="Times New Roman" w:eastAsia="Times New Roman" w:hint="default"/>
        </w:rPr>
        <w:t>21</w:t>
      </w:r>
      <w:r>
        <w:rPr/>
        <w:t>。</w:t>
      </w:r>
    </w:p>
    <w:p>
      <w:pPr>
        <w:pStyle w:val="BodyText"/>
        <w:spacing w:line="338" w:lineRule="auto" w:before="102"/>
        <w:ind w:left="513" w:right="0"/>
        <w:jc w:val="left"/>
      </w:pPr>
      <w:r>
        <w:rPr/>
        <w:t>（</w:t>
      </w:r>
      <w:r>
        <w:rPr>
          <w:rFonts w:ascii="Times New Roman" w:hAnsi="Times New Roman" w:cs="Times New Roman" w:eastAsia="Times New Roman" w:hint="default"/>
        </w:rPr>
        <w:t>4</w:t>
      </w:r>
      <w:r>
        <w:rPr/>
        <w:t>）每年年度终了，本集团对固定资产的使用寿命、预计净残值和折旧方法进行复核。 </w:t>
      </w:r>
      <w:r>
        <w:rPr>
          <w:spacing w:val="-2"/>
        </w:rPr>
        <w:t>使用寿命预计数与原先估计数有差异的，调整固定资产使用寿命；预计净残值预计数与原先估计数有差异的，调整预计</w:t>
      </w:r>
    </w:p>
    <w:p>
      <w:pPr>
        <w:pStyle w:val="BodyText"/>
        <w:spacing w:line="240" w:lineRule="auto" w:before="2"/>
        <w:ind w:left="153" w:right="2239"/>
        <w:jc w:val="left"/>
      </w:pPr>
      <w:r>
        <w:rPr/>
        <w:t>净残值。</w:t>
      </w:r>
    </w:p>
    <w:p>
      <w:pPr>
        <w:pStyle w:val="BodyText"/>
        <w:spacing w:line="338" w:lineRule="auto" w:before="117"/>
        <w:ind w:left="513" w:right="0"/>
        <w:jc w:val="left"/>
      </w:pPr>
      <w:r>
        <w:rPr/>
        <w:t>（</w:t>
      </w:r>
      <w:r>
        <w:rPr>
          <w:rFonts w:ascii="Times New Roman" w:hAnsi="Times New Roman" w:cs="Times New Roman" w:eastAsia="Times New Roman" w:hint="default"/>
        </w:rPr>
        <w:t>5</w:t>
      </w:r>
      <w:r>
        <w:rPr/>
        <w:t>）大修理费用 </w:t>
      </w:r>
      <w:r>
        <w:rPr>
          <w:spacing w:val="-4"/>
        </w:rPr>
        <w:t>本集团对固定资产进行定期检查发生的大修理费用，有确凿证据表明符合固定资产确认条件的部分，计入固定资产成本，</w:t>
      </w:r>
    </w:p>
    <w:p>
      <w:pPr>
        <w:pStyle w:val="BodyText"/>
        <w:spacing w:line="240" w:lineRule="auto" w:before="2"/>
        <w:ind w:left="153" w:right="2239"/>
        <w:jc w:val="left"/>
      </w:pPr>
      <w:r>
        <w:rPr/>
        <w:t>不符合固定资产确认条件的计入当期损益。固定资产在定期大修理间隔期间，照提折旧。</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357" w:lineRule="auto" w:before="29"/>
        <w:ind w:left="513" w:right="0" w:hanging="360"/>
        <w:jc w:val="left"/>
      </w:pPr>
      <w:r>
        <w:rPr/>
        <w:t>软件与信息技术服务业 </w:t>
      </w:r>
      <w:r>
        <w:rPr>
          <w:spacing w:val="-2"/>
        </w:rPr>
        <w:t>本集团在建工程成本按实际工程支出确定，包括在建期间发生的各项必要工程支出、工程达到预定可使用状态前的应予</w:t>
      </w:r>
    </w:p>
    <w:p>
      <w:pPr>
        <w:pStyle w:val="BodyText"/>
        <w:spacing w:line="224" w:lineRule="exact"/>
        <w:ind w:left="153" w:right="2239"/>
        <w:jc w:val="left"/>
      </w:pPr>
      <w:r>
        <w:rPr/>
        <w:t>资本化的借款费用以及其他相关费用等。</w:t>
      </w:r>
    </w:p>
    <w:p>
      <w:pPr>
        <w:pStyle w:val="BodyText"/>
        <w:spacing w:line="360" w:lineRule="auto" w:before="116"/>
        <w:ind w:left="513" w:right="6431"/>
        <w:jc w:val="left"/>
      </w:pPr>
      <w:r>
        <w:rPr/>
        <w:t>在建工程在达到预定可使用状态时转入固定资产。 在建工程计提资产减值方法见附注三、</w:t>
      </w:r>
      <w:r>
        <w:rPr>
          <w:rFonts w:ascii="Times New Roman" w:hAnsi="Times New Roman" w:cs="Times New Roman" w:eastAsia="Times New Roman" w:hint="default"/>
        </w:rPr>
        <w:t>21</w:t>
      </w:r>
      <w:r>
        <w:rPr/>
        <w:t>。</w:t>
      </w:r>
    </w:p>
    <w:p>
      <w:pPr>
        <w:spacing w:line="240" w:lineRule="auto" w:before="3"/>
        <w:rPr>
          <w:rFonts w:ascii="宋体" w:hAnsi="宋体" w:cs="宋体" w:eastAsia="宋体" w:hint="default"/>
          <w:sz w:val="18"/>
          <w:szCs w:val="18"/>
        </w:rPr>
      </w:pPr>
    </w:p>
    <w:p>
      <w:pPr>
        <w:pStyle w:val="Heading3"/>
        <w:spacing w:line="240" w:lineRule="auto"/>
        <w:ind w:right="2239"/>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0"/>
        <w:jc w:val="left"/>
      </w:pPr>
      <w:r>
        <w:rPr/>
        <w:t>（</w:t>
      </w:r>
      <w:r>
        <w:rPr>
          <w:rFonts w:ascii="Times New Roman" w:hAnsi="Times New Roman" w:cs="Times New Roman" w:eastAsia="Times New Roman" w:hint="default"/>
        </w:rPr>
        <w:t>1</w:t>
      </w:r>
      <w:r>
        <w:rPr/>
        <w:t>）借款费用资本化的确认原则 </w:t>
      </w:r>
      <w:r>
        <w:rPr>
          <w:spacing w:val="-2"/>
        </w:rPr>
        <w:t>本集团发生的借款费用，可直接归属于符合资本化条件的资产的购建或者生产的，予以资本化，计入相关资产成本；其</w:t>
      </w:r>
    </w:p>
    <w:p>
      <w:pPr>
        <w:pStyle w:val="BodyText"/>
        <w:spacing w:line="240" w:lineRule="auto" w:before="2"/>
        <w:ind w:left="153" w:right="0"/>
        <w:jc w:val="left"/>
      </w:pPr>
      <w:r>
        <w:rPr/>
        <w:t>他借款费用，在发生时根据其发生额确认为费用，计入当期损益。借款费用同时满足下列条件的，开始资本化：</w:t>
      </w:r>
    </w:p>
    <w:p>
      <w:pPr>
        <w:pStyle w:val="BodyText"/>
        <w:spacing w:line="316" w:lineRule="auto" w:before="117"/>
        <w:ind w:left="153" w:right="1121" w:firstLine="360"/>
        <w:jc w:val="left"/>
      </w:pPr>
      <w:r>
        <w:rPr/>
        <w:t>① 资产支出已经发生，资产支出包括为购建或者生产符合资本化条件的资产而以支付现金、转移非现金资产或者承担 带息债务形式发生的支出；</w:t>
      </w:r>
    </w:p>
    <w:p>
      <w:pPr>
        <w:pStyle w:val="BodyText"/>
        <w:spacing w:line="240" w:lineRule="auto" w:before="58"/>
        <w:ind w:left="513" w:right="2239"/>
        <w:jc w:val="left"/>
      </w:pPr>
      <w:r>
        <w:rPr/>
        <w:t>② 借款费用已经发生；</w:t>
      </w:r>
    </w:p>
    <w:p>
      <w:pPr>
        <w:pStyle w:val="BodyText"/>
        <w:spacing w:line="240" w:lineRule="auto" w:before="116"/>
        <w:ind w:left="513" w:right="2239"/>
        <w:jc w:val="left"/>
      </w:pPr>
      <w:r>
        <w:rPr/>
        <w:t>③ 为使资产达到预定可使用或者可销售状态所必要的购建或者生产活动已经开始。</w:t>
      </w:r>
    </w:p>
    <w:p>
      <w:pPr>
        <w:pStyle w:val="BodyText"/>
        <w:spacing w:line="338" w:lineRule="auto" w:before="117"/>
        <w:ind w:left="513" w:right="0"/>
        <w:jc w:val="left"/>
      </w:pPr>
      <w:r>
        <w:rPr/>
        <w:t>（</w:t>
      </w:r>
      <w:r>
        <w:rPr>
          <w:rFonts w:ascii="Times New Roman" w:hAnsi="Times New Roman" w:cs="Times New Roman" w:eastAsia="Times New Roman" w:hint="default"/>
        </w:rPr>
        <w:t>2</w:t>
      </w:r>
      <w:r>
        <w:rPr/>
        <w:t>）借款费用资本化期间 </w:t>
      </w:r>
      <w:r>
        <w:rPr>
          <w:spacing w:val="-2"/>
        </w:rPr>
        <w:t>本集团购建或者生产符合资本化条件的资产达到预定可使用或者可销售状态时，借款费用停止资本化。在符合资本化条</w:t>
      </w:r>
    </w:p>
    <w:p>
      <w:pPr>
        <w:pStyle w:val="BodyText"/>
        <w:spacing w:line="357" w:lineRule="auto" w:before="2"/>
        <w:ind w:left="514" w:right="1025" w:hanging="360"/>
        <w:jc w:val="left"/>
      </w:pPr>
      <w:r>
        <w:rPr/>
        <w:t>件的资产达到预定可使用或者可销售状态之后所发生的借款费用，在发生时根据其发生额确认为费用，计入当期损益。 </w:t>
      </w:r>
      <w:r>
        <w:rPr>
          <w:spacing w:val="-3"/>
        </w:rPr>
        <w:t>符合资本化条件的资产在购建或者生产过程中发生非正常中断、且中断时间连续超过</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6"/>
        </w:rPr>
        <w:t>个月的，暂停借款费用的资本化；</w:t>
      </w:r>
    </w:p>
    <w:p>
      <w:pPr>
        <w:pStyle w:val="BodyText"/>
        <w:spacing w:line="201" w:lineRule="exact"/>
        <w:ind w:right="2239"/>
        <w:jc w:val="left"/>
      </w:pPr>
      <w:r>
        <w:rPr/>
        <w:t>正常中断期间的借款费用继续资本化。</w:t>
      </w:r>
    </w:p>
    <w:p>
      <w:pPr>
        <w:pStyle w:val="BodyText"/>
        <w:spacing w:line="338" w:lineRule="auto" w:before="117"/>
        <w:ind w:left="514" w:right="0"/>
        <w:jc w:val="left"/>
      </w:pPr>
      <w:r>
        <w:rPr/>
        <w:t>（</w:t>
      </w:r>
      <w:r>
        <w:rPr>
          <w:rFonts w:ascii="Times New Roman" w:hAnsi="Times New Roman" w:cs="Times New Roman" w:eastAsia="Times New Roman"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316" w:lineRule="auto" w:before="2"/>
        <w:ind w:right="0"/>
        <w:jc w:val="left"/>
      </w:pP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58"/>
        <w:ind w:left="514" w:right="2239"/>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pStyle w:val="Heading3"/>
        <w:spacing w:line="240" w:lineRule="auto" w:before="118"/>
        <w:ind w:right="2239"/>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jc w:val="left"/>
      </w:pPr>
      <w:r>
        <w:rPr/>
        <w:t>本集团无形资产包括土地使用权、计算机软件、自行开发软件等。 </w:t>
      </w:r>
      <w:r>
        <w:rPr>
          <w:spacing w:val="-2"/>
        </w:rPr>
        <w:t>无形资产按照成本进行初始计量，并于取得无形资产时分析判断其使用寿命。使用寿命为有限的，自无形资产可供使用</w:t>
      </w:r>
    </w:p>
    <w:p>
      <w:pPr>
        <w:pStyle w:val="BodyText"/>
        <w:spacing w:line="224" w:lineRule="exact"/>
        <w:ind w:left="153" w:right="0"/>
        <w:jc w:val="left"/>
      </w:pPr>
      <w:r>
        <w:rPr/>
        <w:t>时起，采用能反映与该资产有关的经济利益的预期实现方式的摊销方法，在预计使用年限内摊销；无法可靠确定预期实现方</w:t>
      </w:r>
    </w:p>
    <w:p>
      <w:pPr>
        <w:pStyle w:val="BodyText"/>
        <w:spacing w:line="360" w:lineRule="auto" w:before="76"/>
        <w:ind w:left="513" w:right="5531" w:hanging="360"/>
        <w:jc w:val="left"/>
      </w:pPr>
      <w:r>
        <w:rPr/>
        <w:t>式的，采用直线法摊销；使用寿命不确定的无形资产，不作摊销。 使用寿命有限的无形资产摊销方法如下：</w:t>
      </w:r>
    </w:p>
    <w:tbl>
      <w:tblPr>
        <w:tblW w:w="0" w:type="auto"/>
        <w:jc w:val="left"/>
        <w:tblInd w:w="324" w:type="dxa"/>
        <w:tblLayout w:type="fixed"/>
        <w:tblCellMar>
          <w:top w:w="0" w:type="dxa"/>
          <w:left w:w="0" w:type="dxa"/>
          <w:bottom w:w="0" w:type="dxa"/>
          <w:right w:w="0" w:type="dxa"/>
        </w:tblCellMar>
        <w:tblLook w:val="01E0"/>
      </w:tblPr>
      <w:tblGrid>
        <w:gridCol w:w="3041"/>
        <w:gridCol w:w="2017"/>
        <w:gridCol w:w="2365"/>
        <w:gridCol w:w="1859"/>
      </w:tblGrid>
      <w:tr>
        <w:trPr>
          <w:trHeight w:val="347" w:hRule="exact"/>
        </w:trPr>
        <w:tc>
          <w:tcPr>
            <w:tcW w:w="304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1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640" w:right="0"/>
              <w:jc w:val="left"/>
              <w:rPr>
                <w:rFonts w:ascii="宋体" w:hAnsi="宋体" w:cs="宋体" w:eastAsia="宋体" w:hint="default"/>
                <w:sz w:val="18"/>
                <w:szCs w:val="18"/>
              </w:rPr>
            </w:pPr>
            <w:r>
              <w:rPr>
                <w:rFonts w:ascii="宋体" w:hAnsi="宋体" w:cs="宋体" w:eastAsia="宋体" w:hint="default"/>
                <w:sz w:val="18"/>
                <w:szCs w:val="18"/>
              </w:rPr>
              <w:t>使用寿命</w:t>
            </w:r>
          </w:p>
        </w:tc>
        <w:tc>
          <w:tcPr>
            <w:tcW w:w="236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摊销方法</w:t>
            </w:r>
          </w:p>
        </w:tc>
        <w:tc>
          <w:tcPr>
            <w:tcW w:w="185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40-70</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9" w:lineRule="auto" w:before="65"/>
        <w:ind w:right="0" w:firstLine="360"/>
        <w:jc w:val="left"/>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357" w:lineRule="auto" w:before="56"/>
        <w:ind w:left="514" w:right="1030"/>
        <w:jc w:val="left"/>
      </w:pPr>
      <w:r>
        <w:rPr/>
        <w:t>资产负债表日预计某项无形资产已经不能给企业带来未来经济利益的，将该项无形资产的账面价值全部转入当期损益。 无形资产计提资产减值方法见附注三、</w:t>
      </w:r>
      <w:r>
        <w:rPr>
          <w:rFonts w:ascii="Times New Roman" w:hAnsi="Times New Roman" w:cs="Times New Roman" w:eastAsia="Times New Roman" w:hint="default"/>
        </w:rPr>
        <w:t>21</w:t>
      </w:r>
      <w:r>
        <w:rPr/>
        <w:t>。</w:t>
      </w:r>
    </w:p>
    <w:p>
      <w:pPr>
        <w:spacing w:line="240" w:lineRule="auto" w:before="7"/>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13" w:right="1117"/>
        <w:jc w:val="left"/>
      </w:pPr>
      <w:r>
        <w:rPr/>
        <w:t>本集团将内部研究开发项目的支出，区分为研究阶段支出和开发阶段支出。 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222" w:lineRule="exact"/>
        <w:ind w:left="153" w:right="0"/>
        <w:jc w:val="both"/>
      </w:pPr>
      <w:r>
        <w:rPr/>
        <w:t>行性；具有完成该无形资产并使用或出售的意图；无形资产产生经济利益的方式，包括能够证明运用该无形资产生产的产品</w:t>
      </w:r>
    </w:p>
    <w:p>
      <w:pPr>
        <w:pStyle w:val="BodyText"/>
        <w:spacing w:line="316" w:lineRule="auto" w:before="76"/>
        <w:ind w:left="153" w:right="1129"/>
        <w:jc w:val="both"/>
      </w:pP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pStyle w:val="BodyText"/>
        <w:spacing w:line="360" w:lineRule="auto" w:before="58"/>
        <w:ind w:left="513" w:right="1751"/>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 具体研发项目的资本化条件：</w:t>
      </w:r>
    </w:p>
    <w:p>
      <w:pPr>
        <w:pStyle w:val="BodyText"/>
        <w:spacing w:line="300" w:lineRule="auto" w:before="26"/>
        <w:ind w:left="153" w:right="1121" w:firstLine="360"/>
        <w:jc w:val="left"/>
      </w:pPr>
      <w:r>
        <w:rPr/>
        <w:t>（</w:t>
      </w:r>
      <w:r>
        <w:rPr>
          <w:rFonts w:ascii="Times New Roman" w:hAnsi="Times New Roman" w:cs="Times New Roman" w:eastAsia="Times New Roman" w:hint="default"/>
        </w:rPr>
        <w:t>1</w:t>
      </w:r>
      <w:r>
        <w:rPr/>
        <w:t>）公司目前资本化的研发支出项目中，项目均在研发测试阶段，公司完成该无形资产以使其能够使用或者出售在技 术上具有可行性；</w:t>
      </w:r>
    </w:p>
    <w:p>
      <w:pPr>
        <w:pStyle w:val="BodyText"/>
        <w:spacing w:line="300" w:lineRule="auto" w:before="72"/>
        <w:ind w:left="153" w:right="1121" w:firstLine="360"/>
        <w:jc w:val="left"/>
      </w:pPr>
      <w:r>
        <w:rPr/>
        <w:t>（</w:t>
      </w:r>
      <w:r>
        <w:rPr>
          <w:rFonts w:ascii="Times New Roman" w:hAnsi="Times New Roman" w:cs="Times New Roman" w:eastAsia="Times New Roman" w:hint="default"/>
        </w:rPr>
        <w:t>2</w:t>
      </w:r>
      <w:r>
        <w:rPr/>
        <w:t>）公司所有研发支出项目均是针对特定市场需求进行相关开发，以备将来出售，具有完成该无形资产并使用或出售 的意图；</w:t>
      </w:r>
    </w:p>
    <w:p>
      <w:pPr>
        <w:pStyle w:val="BodyText"/>
        <w:spacing w:line="300" w:lineRule="auto" w:before="71"/>
        <w:ind w:left="153" w:right="1121" w:firstLine="360"/>
        <w:jc w:val="left"/>
      </w:pPr>
      <w:r>
        <w:rPr/>
        <w:t>（</w:t>
      </w:r>
      <w:r>
        <w:rPr>
          <w:rFonts w:ascii="Times New Roman" w:hAnsi="Times New Roman" w:cs="Times New Roman" w:eastAsia="Times New Roman" w:hint="default"/>
        </w:rPr>
        <w:t>3</w:t>
      </w:r>
      <w:r>
        <w:rPr/>
        <w:t>）公司所有研发支出资本化项目均会形成测试版软件，表明公司运用该无形资产生产的产品存在市场或无形资产自 身存在市场；</w:t>
      </w:r>
    </w:p>
    <w:p>
      <w:pPr>
        <w:pStyle w:val="BodyText"/>
        <w:spacing w:line="300" w:lineRule="auto" w:before="71"/>
        <w:ind w:left="153" w:right="1121" w:firstLine="360"/>
        <w:jc w:val="left"/>
      </w:pPr>
      <w:r>
        <w:rPr/>
        <w:t>（</w:t>
      </w:r>
      <w:r>
        <w:rPr>
          <w:rFonts w:ascii="Times New Roman" w:hAnsi="Times New Roman" w:cs="Times New Roman" w:eastAsia="Times New Roman" w:hint="default"/>
        </w:rPr>
        <w:t>4</w:t>
      </w:r>
      <w:r>
        <w:rPr/>
        <w:t>）公司掌握研发支出资本化项目的核心技术，有能力完成相关无形资产的研发，表明公司有足够的技术、财务资源 和其他资源支持，以完成该无形资产的开发，并有能力出售该无形资产；</w:t>
      </w:r>
    </w:p>
    <w:p>
      <w:pPr>
        <w:pStyle w:val="BodyText"/>
        <w:spacing w:line="240" w:lineRule="auto" w:before="72"/>
        <w:ind w:left="513" w:right="0"/>
        <w:jc w:val="left"/>
      </w:pPr>
      <w:r>
        <w:rPr/>
        <w:t>（</w:t>
      </w:r>
      <w:r>
        <w:rPr>
          <w:rFonts w:ascii="Times New Roman" w:hAnsi="Times New Roman" w:cs="Times New Roman" w:eastAsia="Times New Roman" w:hint="default"/>
        </w:rPr>
        <w:t>5</w:t>
      </w:r>
      <w:r>
        <w:rPr/>
        <w:t>）公司资本化研发支出分部门按项目统计相关支出，归属于该无形资产开发阶段的支出能够可靠地计量。</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对子公司、联营企业的长期股权投资、采用成本模式进行后续计量的投资性房地产、固定资产、在建工程、无形资产等</w:t>
      </w:r>
    </w:p>
    <w:p>
      <w:pPr>
        <w:pStyle w:val="BodyText"/>
        <w:spacing w:line="357" w:lineRule="auto" w:before="76"/>
        <w:ind w:left="513" w:right="0" w:hanging="360"/>
        <w:jc w:val="left"/>
      </w:pPr>
      <w:r>
        <w:rPr/>
        <w:t>（存货、递延所得税资产、金融资产除外）的资产减值，按以下方法确定： </w:t>
      </w:r>
      <w:r>
        <w:rPr>
          <w:spacing w:val="-4"/>
        </w:rPr>
        <w:t>于资产负债表日判断资产是否存在可能发生减值的迹象，存在减值迹象的，本集团将估计其可收回金额，进行减值测试。</w:t>
      </w:r>
    </w:p>
    <w:p>
      <w:pPr>
        <w:pStyle w:val="BodyText"/>
        <w:spacing w:line="224" w:lineRule="exact"/>
        <w:ind w:left="153" w:right="0"/>
        <w:jc w:val="left"/>
      </w:pPr>
      <w:r>
        <w:rPr/>
        <w:t>对因企业合并所形成的商誉、使用寿命不确定的无形资产和尚未达到可使用状态的无形资产无论是否存在减值迹象，每年都</w:t>
      </w:r>
    </w:p>
    <w:p>
      <w:pPr>
        <w:pStyle w:val="BodyText"/>
        <w:spacing w:line="360" w:lineRule="auto" w:before="76"/>
        <w:ind w:left="513" w:right="1117" w:hanging="360"/>
        <w:jc w:val="left"/>
      </w:pPr>
      <w:r>
        <w:rPr/>
        <w:t>进行减值测试。 </w:t>
      </w:r>
      <w:r>
        <w:rPr>
          <w:spacing w:val="-2"/>
        </w:rPr>
        <w:t>可收回金额根据资产的公允价值减去处置费用后的净额与资产预计未来现金流量的现值两者之间较高者确定。本集团以</w:t>
      </w:r>
    </w:p>
    <w:p>
      <w:pPr>
        <w:pStyle w:val="BodyText"/>
        <w:spacing w:line="222" w:lineRule="exact"/>
        <w:ind w:left="153" w:right="0"/>
        <w:jc w:val="left"/>
      </w:pPr>
      <w:r>
        <w:rPr/>
        <w:t>单项资产为基础估计其可收回金额；难以对单项资产的可收回金额进行估计的，以该资产所属的资产组为基础确定资产组的</w:t>
      </w:r>
    </w:p>
    <w:p>
      <w:pPr>
        <w:pStyle w:val="BodyText"/>
        <w:spacing w:line="357" w:lineRule="auto" w:before="76"/>
        <w:ind w:left="513" w:right="1031" w:hanging="360"/>
        <w:jc w:val="left"/>
      </w:pPr>
      <w:r>
        <w:rPr/>
        <w:t>可收回金额。资产组的认定，以资产组产生的主要现金流入是否独立于其他资产或者资产组的现金流入为依据。 当资产或资产组的可收回金额低于其账面价值时，本集团将其账面价值减记至可收回金额，减记的金额计入当期损益，</w:t>
      </w:r>
    </w:p>
    <w:p>
      <w:pPr>
        <w:pStyle w:val="BodyText"/>
        <w:spacing w:line="224" w:lineRule="exact"/>
        <w:ind w:left="153" w:right="2239"/>
        <w:jc w:val="left"/>
      </w:pPr>
      <w:r>
        <w:rPr/>
        <w:t>同时计提相应的资产减值准备。</w:t>
      </w:r>
    </w:p>
    <w:p>
      <w:pPr>
        <w:pStyle w:val="BodyText"/>
        <w:spacing w:line="240" w:lineRule="auto" w:before="116"/>
        <w:ind w:left="513" w:right="2239"/>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2239"/>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8"/>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031"/>
        <w:jc w:val="left"/>
      </w:pPr>
      <w:r>
        <w:rPr/>
        <w:t>（一）职工薪酬的范围 职工薪酬，是指企业为获得职工提供的服务或解除劳动关系而给予的各种形式的报酬或补偿。职工薪酬包括短期薪酬、</w:t>
      </w:r>
    </w:p>
    <w:p>
      <w:pPr>
        <w:pStyle w:val="BodyText"/>
        <w:spacing w:line="224" w:lineRule="exact"/>
        <w:ind w:left="153" w:right="0"/>
        <w:jc w:val="left"/>
      </w:pPr>
      <w:r>
        <w:rPr>
          <w:spacing w:val="-4"/>
        </w:rPr>
        <w:t>离职后福利、辞退福利和其他长期职工福利。企业提供给职工配偶、子女、受赡养人、已故员工遗属及其他受益人等的福利，</w:t>
      </w:r>
    </w:p>
    <w:p>
      <w:pPr>
        <w:pStyle w:val="BodyText"/>
        <w:spacing w:line="357" w:lineRule="auto" w:before="76"/>
        <w:ind w:left="513" w:right="2601" w:hanging="360"/>
        <w:jc w:val="left"/>
      </w:pPr>
      <w:r>
        <w:rPr/>
        <w:t>也属于职工薪酬。 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  </w:t>
      </w:r>
      <w:r>
        <w:rPr/>
        <w:t>项目。</w:t>
      </w:r>
    </w:p>
    <w:p>
      <w:pPr>
        <w:pStyle w:val="BodyText"/>
        <w:spacing w:line="357" w:lineRule="auto" w:before="6"/>
        <w:ind w:left="514" w:right="0"/>
        <w:jc w:val="left"/>
      </w:pPr>
      <w:r>
        <w:rPr/>
        <w:t>（二）短期薪酬 </w:t>
      </w:r>
      <w:r>
        <w:rPr>
          <w:spacing w:val="-2"/>
        </w:rPr>
        <w:t>本集团在职工提供服务的会计期间，将实际发生的职工工资、奖金、按规定的基准和比例为职工缴纳的医疗保险费、工</w:t>
      </w:r>
    </w:p>
    <w:p>
      <w:pPr>
        <w:pStyle w:val="BodyText"/>
        <w:spacing w:line="224" w:lineRule="exact"/>
        <w:ind w:right="0"/>
        <w:jc w:val="left"/>
      </w:pPr>
      <w:r>
        <w:rPr/>
        <w:t>伤保险费和生育保险费等社会保险费和住房公积金，确认为负债，并计入当期损益或相关资产成本。如果该负债预期在职工</w:t>
      </w:r>
    </w:p>
    <w:p>
      <w:pPr>
        <w:pStyle w:val="BodyText"/>
        <w:spacing w:line="240" w:lineRule="auto" w:before="76"/>
        <w:ind w:right="0"/>
        <w:jc w:val="left"/>
      </w:pPr>
      <w:r>
        <w:rPr/>
        <w:t>提供相关服务的年度报告期结束后十二个月内不能完全支付，且财务影响重大的，则该负债将以折现后的金额计量。</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离职后福利计划包括设定提存计划和设定受益计划。其中，设定提存计划，是指向独立的基金缴存固定费用后，企业不</w:t>
      </w:r>
      <w:r>
        <w:rPr/>
        <w:t> 再承担进一步支付义务的离职后福利计划；本集团无设定受益计划。</w:t>
      </w:r>
    </w:p>
    <w:p>
      <w:pPr>
        <w:pStyle w:val="BodyText"/>
        <w:spacing w:line="240" w:lineRule="auto" w:before="58"/>
        <w:ind w:left="513" w:right="2239"/>
        <w:jc w:val="left"/>
      </w:pPr>
      <w:r>
        <w:rPr/>
        <w:t>（一）设定提存计划。</w:t>
      </w:r>
    </w:p>
    <w:p>
      <w:pPr>
        <w:pStyle w:val="BodyText"/>
        <w:spacing w:line="240" w:lineRule="auto" w:before="117"/>
        <w:ind w:left="513" w:right="2239"/>
        <w:jc w:val="left"/>
      </w:pPr>
      <w:r>
        <w:rPr/>
        <w:t>（二）设定提存计划包括基本养老保险、失业保险等。</w:t>
      </w:r>
    </w:p>
    <w:p>
      <w:pPr>
        <w:pStyle w:val="BodyText"/>
        <w:spacing w:line="240" w:lineRule="auto" w:before="116"/>
        <w:ind w:left="513" w:right="0"/>
        <w:jc w:val="left"/>
      </w:pPr>
      <w:r>
        <w:rPr>
          <w:spacing w:val="-4"/>
        </w:rPr>
        <w:t>（三）在职工提供服务的会计期间，根据设定提存计划计算的应缴存金额确认为负债，并计入当期损益或相关资产成本。</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7" w:firstLine="360"/>
        <w:jc w:val="left"/>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 时。</w:t>
      </w:r>
    </w:p>
    <w:p>
      <w:pPr>
        <w:pStyle w:val="BodyText"/>
        <w:spacing w:line="316" w:lineRule="auto" w:before="58"/>
        <w:ind w:right="1030" w:firstLine="360"/>
        <w:jc w:val="left"/>
      </w:pPr>
      <w:r>
        <w:rPr/>
        <w:t>实行职工内部退休计划的，在正式退休日之前的经济补偿，属于辞退福利，自职工停止提供服务日至正常退休日期间， </w:t>
      </w:r>
      <w:r>
        <w:rPr>
          <w:spacing w:val="-2"/>
        </w:rPr>
        <w:t>拟支付的内退职工工资和缴纳的社会保险费等一次性计入当期损益。正式退休日期之后的经济补偿（如正常养老退休金），</w:t>
      </w:r>
      <w:r>
        <w:rPr>
          <w:spacing w:val="-72"/>
        </w:rPr>
        <w:t> </w:t>
      </w:r>
      <w:r>
        <w:rPr>
          <w:spacing w:val="-72"/>
        </w:rPr>
      </w:r>
      <w:r>
        <w:rPr/>
        <w:t>按照离职后福利处理。</w:t>
      </w:r>
    </w:p>
    <w:p>
      <w:pPr>
        <w:spacing w:line="240" w:lineRule="auto" w:before="8"/>
        <w:rPr>
          <w:rFonts w:ascii="宋体" w:hAnsi="宋体" w:cs="宋体" w:eastAsia="宋体" w:hint="default"/>
          <w:sz w:val="22"/>
          <w:szCs w:val="22"/>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7691"/>
        <w:jc w:val="left"/>
      </w:pPr>
      <w:r>
        <w:rPr/>
        <w:t>公司是否需要遵守特殊行业的披露要求 是</w:t>
      </w:r>
    </w:p>
    <w:p>
      <w:pPr>
        <w:pStyle w:val="BodyText"/>
        <w:spacing w:line="240" w:lineRule="auto" w:before="28"/>
        <w:ind w:left="153" w:right="2239"/>
        <w:jc w:val="left"/>
      </w:pPr>
      <w:r>
        <w:rPr/>
        <w:t>软件与信息技术服务业</w:t>
      </w:r>
    </w:p>
    <w:p>
      <w:pPr>
        <w:pStyle w:val="BodyText"/>
        <w:spacing w:line="240" w:lineRule="auto" w:before="117"/>
        <w:ind w:left="153"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left="514" w:right="2239"/>
        <w:jc w:val="left"/>
      </w:pPr>
      <w:r>
        <w:rPr/>
        <w:t>（</w:t>
      </w:r>
      <w:r>
        <w:rPr>
          <w:rFonts w:ascii="Times New Roman" w:hAnsi="Times New Roman" w:cs="Times New Roman" w:eastAsia="Times New Roman" w:hint="default"/>
        </w:rPr>
        <w:t>1</w:t>
      </w:r>
      <w:r>
        <w:rPr/>
        <w:t>）一般原则</w:t>
      </w:r>
    </w:p>
    <w:p>
      <w:pPr>
        <w:pStyle w:val="BodyText"/>
        <w:spacing w:line="360" w:lineRule="auto" w:before="102"/>
        <w:ind w:left="514" w:right="1117"/>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222" w:lineRule="exact"/>
        <w:ind w:right="0"/>
        <w:jc w:val="left"/>
      </w:pPr>
      <w:r>
        <w:rPr/>
        <w:t>品实施有效控制，收入的金额能够可靠地计量，相关的经济利益很可能流入企业，相关的已发生或将发生的成本能够可靠地</w:t>
      </w:r>
    </w:p>
    <w:p>
      <w:pPr>
        <w:pStyle w:val="BodyText"/>
        <w:spacing w:line="240" w:lineRule="auto" w:before="76"/>
        <w:ind w:right="2239"/>
        <w:jc w:val="left"/>
      </w:pPr>
      <w:r>
        <w:rPr/>
        <w:t>计量时，确认商品销售收入的实现。</w:t>
      </w:r>
    </w:p>
    <w:p>
      <w:pPr>
        <w:pStyle w:val="BodyText"/>
        <w:spacing w:line="360" w:lineRule="auto" w:before="116"/>
        <w:ind w:left="514" w:right="2470"/>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00" w:lineRule="auto" w:before="26"/>
        <w:ind w:right="1140" w:firstLine="360"/>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 业；</w:t>
      </w: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pStyle w:val="BodyText"/>
        <w:spacing w:line="316" w:lineRule="auto" w:before="52"/>
        <w:ind w:right="0"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after="0" w:line="316"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57" w:lineRule="auto" w:before="44"/>
        <w:ind w:left="513" w:right="2831"/>
        <w:jc w:val="left"/>
      </w:pPr>
      <w:r>
        <w:rPr/>
        <w:t>③让渡资产使用权 与资产使用权让渡相关的经济利益能够流入及收入的金额能够可靠地计量时，本集团确认收入。</w:t>
      </w:r>
    </w:p>
    <w:p>
      <w:pPr>
        <w:pStyle w:val="BodyText"/>
        <w:spacing w:line="338" w:lineRule="auto" w:before="29"/>
        <w:ind w:left="513" w:right="6971"/>
        <w:jc w:val="left"/>
      </w:pPr>
      <w:r>
        <w:rPr/>
        <w:t>（</w:t>
      </w:r>
      <w:r>
        <w:rPr>
          <w:rFonts w:ascii="Times New Roman" w:hAnsi="Times New Roman" w:cs="Times New Roman" w:eastAsia="Times New Roman" w:hint="default"/>
        </w:rPr>
        <w:t>2</w:t>
      </w:r>
      <w:r>
        <w:rPr/>
        <w:t>）收入确认的具体方法 本集团软件业务收入确认的具体方法如下：</w:t>
      </w:r>
    </w:p>
    <w:p>
      <w:pPr>
        <w:pStyle w:val="BodyText"/>
        <w:spacing w:line="360" w:lineRule="auto" w:before="42"/>
        <w:ind w:left="513" w:right="5171"/>
        <w:jc w:val="left"/>
      </w:pPr>
      <w:r>
        <w:rPr/>
        <w:t>①自行开发软件销售收入的确认原则 自行开发软件收入包括自制开发的软件产品收入和定制软件收入。</w:t>
      </w:r>
    </w:p>
    <w:p>
      <w:pPr>
        <w:pStyle w:val="BodyText"/>
        <w:spacing w:line="316" w:lineRule="auto" w:before="26"/>
        <w:ind w:left="153" w:right="1129" w:firstLine="360"/>
        <w:jc w:val="both"/>
      </w:pPr>
      <w:r>
        <w:rPr>
          <w:spacing w:val="-2"/>
        </w:rPr>
        <w:t>自制开发的软件产品是指拥有自主知识产权，无差异化、可批量复制的软件产品，无需根据用户需求进行定制。本公司</w:t>
      </w:r>
      <w:r>
        <w:rPr/>
        <w:t> </w:t>
      </w:r>
      <w:r>
        <w:rPr>
          <w:spacing w:val="-2"/>
        </w:rPr>
        <w:t>销售的自制开发软件产品实质上就是销售不转让所有权的商品，公司在将软件产品移交给购买方时，在会计上按照销售商品</w:t>
      </w:r>
      <w:r>
        <w:rPr>
          <w:spacing w:val="-64"/>
        </w:rPr>
        <w:t> </w:t>
      </w:r>
      <w:r>
        <w:rPr>
          <w:spacing w:val="-64"/>
        </w:rPr>
      </w:r>
      <w:r>
        <w:rPr>
          <w:spacing w:val="-2"/>
        </w:rPr>
        <w:t>收入确认标准确认本业务的收入，即：本公司在已将自行开发的软件产品的主要风险和报酬转移给购货方；公司既没有保留</w:t>
      </w:r>
      <w:r>
        <w:rPr>
          <w:spacing w:val="-66"/>
        </w:rPr>
        <w:t> </w:t>
      </w:r>
      <w:r>
        <w:rPr>
          <w:spacing w:val="-66"/>
        </w:rPr>
      </w:r>
      <w:r>
        <w:rPr>
          <w:spacing w:val="-2"/>
        </w:rPr>
        <w:t>通常与之相联系的继续管理权，也没有对已售出的商品实施有效控制；与交易相关的经济利益能够流入企业；相关的收入和</w:t>
      </w:r>
      <w:r>
        <w:rPr>
          <w:spacing w:val="-66"/>
        </w:rPr>
        <w:t> </w:t>
      </w:r>
      <w:r>
        <w:rPr>
          <w:spacing w:val="-66"/>
        </w:rPr>
      </w:r>
      <w:r>
        <w:rPr/>
        <w:t>成本能可靠计量时，确认收入实现。</w:t>
      </w:r>
    </w:p>
    <w:p>
      <w:pPr>
        <w:pStyle w:val="BodyText"/>
        <w:spacing w:line="316" w:lineRule="auto" w:before="58"/>
        <w:ind w:left="153" w:right="1131" w:firstLine="360"/>
        <w:jc w:val="both"/>
      </w:pPr>
      <w:r>
        <w:rPr>
          <w:spacing w:val="-2"/>
        </w:rPr>
        <w:t>定制软件是指根据与客户签订的技术开发、技术转让合同，对用户的业务进行充分实地调查，并根据用户的实际需求进</w:t>
      </w:r>
      <w:r>
        <w:rPr/>
        <w:t> </w:t>
      </w:r>
      <w:r>
        <w:rPr>
          <w:spacing w:val="-2"/>
        </w:rPr>
        <w:t>行专门的软件设计与开发，由此开发出来的软件不具有通用性。本公司在将软件产品移交给购买方时，在会计上按照销售商</w:t>
      </w:r>
      <w:r>
        <w:rPr>
          <w:spacing w:val="-66"/>
        </w:rPr>
        <w:t> </w:t>
      </w:r>
      <w:r>
        <w:rPr>
          <w:spacing w:val="-66"/>
        </w:rPr>
      </w:r>
      <w:r>
        <w:rPr>
          <w:spacing w:val="-2"/>
        </w:rPr>
        <w:t>品收入确认标准确认本业务的收入，即：本公司在已将专门开发的软件产品的主要风险和报酬转移给购货方；公司既没有保</w:t>
      </w:r>
      <w:r>
        <w:rPr>
          <w:spacing w:val="-66"/>
        </w:rPr>
        <w:t> </w:t>
      </w:r>
      <w:r>
        <w:rPr>
          <w:spacing w:val="-66"/>
        </w:rPr>
      </w:r>
      <w:r>
        <w:rPr>
          <w:spacing w:val="-2"/>
        </w:rPr>
        <w:t>留通常与之相联系的继续管理权，也没有对已售出的商品实施有效控制；与交易相关的经济利益能够流入企业；相关的收入</w:t>
      </w:r>
      <w:r>
        <w:rPr>
          <w:spacing w:val="-66"/>
        </w:rPr>
        <w:t> </w:t>
      </w:r>
      <w:r>
        <w:rPr>
          <w:spacing w:val="-66"/>
        </w:rPr>
      </w:r>
      <w:r>
        <w:rPr/>
        <w:t>和成本能可靠计量时，确认收入实现。</w:t>
      </w:r>
    </w:p>
    <w:p>
      <w:pPr>
        <w:pStyle w:val="BodyText"/>
        <w:spacing w:line="240" w:lineRule="auto" w:before="59"/>
        <w:ind w:left="513" w:right="2239"/>
        <w:jc w:val="left"/>
      </w:pPr>
      <w:r>
        <w:rPr/>
        <w:t>对系统集成中包含自行开发软件产品的销售收入，按以下系统集成的收入确认原则确认。</w:t>
      </w:r>
    </w:p>
    <w:p>
      <w:pPr>
        <w:pStyle w:val="BodyText"/>
        <w:spacing w:line="357" w:lineRule="auto" w:before="116"/>
        <w:ind w:left="513" w:right="0"/>
        <w:jc w:val="left"/>
      </w:pPr>
      <w:r>
        <w:rPr/>
        <w:t>②系统集成收入确认原则 </w:t>
      </w:r>
      <w:r>
        <w:rPr>
          <w:spacing w:val="-2"/>
        </w:rPr>
        <w:t>系统集成包括外购商品、软件产品的销售与安装。公司在已将外购商品、软件产品所有权上的主要风险和报酬转移给购</w:t>
      </w:r>
    </w:p>
    <w:p>
      <w:pPr>
        <w:pStyle w:val="BodyText"/>
        <w:spacing w:line="224" w:lineRule="exact"/>
        <w:ind w:left="153" w:right="0"/>
        <w:jc w:val="left"/>
      </w:pPr>
      <w:r>
        <w:rPr/>
        <w:t>货方；公司既没有保留通常与所有权相联系的继续管理权，也没有对已售出的商品实施有效控制；系统安装调试完毕已投入</w:t>
      </w:r>
    </w:p>
    <w:p>
      <w:pPr>
        <w:pStyle w:val="BodyText"/>
        <w:spacing w:line="240" w:lineRule="auto" w:before="76"/>
        <w:ind w:left="153" w:right="0"/>
        <w:jc w:val="left"/>
      </w:pPr>
      <w:r>
        <w:rPr/>
        <w:t>试运行或取得购货方的初验报告；与交易相关的经济利益能够流入企业；相关的收入和成本能可靠计量时，确认收入实现。</w:t>
      </w:r>
    </w:p>
    <w:p>
      <w:pPr>
        <w:pStyle w:val="BodyText"/>
        <w:spacing w:line="357" w:lineRule="auto" w:before="117"/>
        <w:ind w:left="514" w:right="1390"/>
        <w:jc w:val="left"/>
      </w:pPr>
      <w:r>
        <w:rPr/>
        <w:t>③技术支持与维护收入确认原则 技术支持与维护主要指根据合同规定向用户提供的有偿后续服务，包括系统维护、技术应用与支持、产品升级等。 本公司根据与用户签订的相关合同规定的合同总额与服务期间，按提供服务的进度确认收入。</w:t>
      </w:r>
    </w:p>
    <w:p>
      <w:pPr>
        <w:pStyle w:val="BodyText"/>
        <w:spacing w:line="357" w:lineRule="auto" w:before="29"/>
        <w:ind w:left="514" w:right="0"/>
        <w:jc w:val="left"/>
      </w:pPr>
      <w:r>
        <w:rPr/>
        <w:t>④技术开发收入 </w:t>
      </w:r>
      <w:r>
        <w:rPr>
          <w:spacing w:val="-2"/>
        </w:rPr>
        <w:t>技术开发收入是指根据用户的需求，对自行研究开发的软件产品再次开发取得的收入。公司在劳务已经提供，收到价款</w:t>
      </w:r>
    </w:p>
    <w:p>
      <w:pPr>
        <w:pStyle w:val="BodyText"/>
        <w:spacing w:line="224" w:lineRule="exact"/>
        <w:ind w:right="2239"/>
        <w:jc w:val="left"/>
      </w:pPr>
      <w:r>
        <w:rPr/>
        <w:t>或取得收款的依据，于技术开发项目投入用户试运行或取得用户的初验报告后确认收入实现。</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237" w:lineRule="exact"/>
        <w:ind w:left="153" w:right="2239"/>
        <w:jc w:val="left"/>
      </w:pPr>
      <w:r>
        <w:rPr/>
        <w:t>值不能够可靠取得的，按照名义金额</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pStyle w:val="BodyText"/>
        <w:spacing w:line="316" w:lineRule="auto" w:before="103"/>
        <w:ind w:right="1129" w:firstLine="360"/>
        <w:jc w:val="both"/>
      </w:pPr>
      <w:r>
        <w:rPr>
          <w:spacing w:val="-2"/>
        </w:rPr>
        <w:t>与资产相关的政府补助，是指本集团取得的、用于购建或以其他方式形成长期资产的政府补助；除此之外，作为与收益</w:t>
      </w:r>
      <w:r>
        <w:rPr/>
        <w:t> 相关的政府补助。</w:t>
      </w:r>
    </w:p>
    <w:p>
      <w:pPr>
        <w:pStyle w:val="BodyText"/>
        <w:spacing w:line="316" w:lineRule="auto" w:before="58"/>
        <w:ind w:right="1131" w:firstLine="360"/>
        <w:jc w:val="both"/>
      </w:pPr>
      <w:r>
        <w:rPr>
          <w:spacing w:val="-2"/>
        </w:rPr>
        <w:t>对于政府文件未明确规定补助对象的，能够形成长期资产的，与资产价值相对应的政府补助部分作为与资产相关的政府</w:t>
      </w:r>
      <w:r>
        <w:rPr/>
        <w:t> 补助，其余部分作为与收益相关的政府补助；难以区分的，将政府补助整体作为与收益相关的政府补助。</w:t>
      </w:r>
    </w:p>
    <w:p>
      <w:pPr>
        <w:pStyle w:val="BodyText"/>
        <w:spacing w:line="316" w:lineRule="auto" w:before="58"/>
        <w:ind w:right="1129" w:firstLine="360"/>
        <w:jc w:val="both"/>
      </w:pPr>
      <w:r>
        <w:rPr>
          <w:spacing w:val="-2"/>
        </w:rPr>
        <w:t>与资产相关的政府补助，确认为递延收益在相关资产使用期限内按照合理、系统的方法分期计入损益。与收益相关的政</w:t>
      </w:r>
      <w:r>
        <w:rPr/>
        <w:t> </w:t>
      </w:r>
      <w:r>
        <w:rPr>
          <w:spacing w:val="-2"/>
        </w:rPr>
        <w:t>府补助，用于补偿已发生的相关成本费用或损失的，计入当期损益；用于补偿以后期间的相关成本费用或损失的，则计入递</w:t>
      </w:r>
      <w:r>
        <w:rPr>
          <w:spacing w:val="-66"/>
        </w:rPr>
        <w:t> </w:t>
      </w:r>
      <w:r>
        <w:rPr>
          <w:spacing w:val="-66"/>
        </w:rPr>
      </w:r>
      <w:r>
        <w:rPr>
          <w:spacing w:val="-2"/>
        </w:rPr>
        <w:t>延收益，于相关成本费用或损失确认期间计入当期损益。按照名义金额计量的政府补助，直接计入当期损益。本集团对相同</w:t>
      </w:r>
      <w:r>
        <w:rPr>
          <w:spacing w:val="-66"/>
        </w:rPr>
        <w:t> </w:t>
      </w:r>
      <w:r>
        <w:rPr>
          <w:spacing w:val="-66"/>
        </w:rPr>
      </w:r>
      <w:r>
        <w:rPr/>
        <w:t>或类似的政府补助业务，采用一致的方法处理。</w:t>
      </w:r>
    </w:p>
    <w:p>
      <w:pPr>
        <w:pStyle w:val="BodyText"/>
        <w:spacing w:line="240" w:lineRule="auto" w:before="59"/>
        <w:ind w:left="514" w:right="0"/>
        <w:jc w:val="left"/>
      </w:pPr>
      <w:r>
        <w:rPr/>
        <w:t>与日常活动相关的政府补助，按照经济业务实质，计入其他收益。与日常活动无关的政府补助，计入营业外收支。</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031" w:firstLine="360"/>
        <w:jc w:val="left"/>
      </w:pPr>
      <w:r>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316" w:lineRule="auto" w:before="58"/>
        <w:ind w:left="153" w:right="1117" w:firstLine="360"/>
        <w:jc w:val="left"/>
      </w:pPr>
      <w:r>
        <w:rPr>
          <w:spacing w:val="-2"/>
        </w:rPr>
        <w:t>本集团根据资产、负债于资产负债表日的账面价值与计税基础之间的暂时性差异，采用资产负债表债务法确认递延所得</w:t>
      </w:r>
      <w:r>
        <w:rPr/>
        <w:t> 税。</w:t>
      </w:r>
    </w:p>
    <w:p>
      <w:pPr>
        <w:pStyle w:val="BodyText"/>
        <w:spacing w:line="240" w:lineRule="auto" w:before="59"/>
        <w:ind w:left="513" w:right="0"/>
        <w:jc w:val="left"/>
      </w:pPr>
      <w:r>
        <w:rPr/>
        <w:t>各项应纳税暂时性差异均确认相关的递延所得税负债，除非该应纳税暂时性差异是在以下交易中产生的：</w:t>
      </w:r>
    </w:p>
    <w:p>
      <w:pPr>
        <w:pStyle w:val="BodyText"/>
        <w:spacing w:line="300" w:lineRule="auto" w:before="116"/>
        <w:ind w:left="153" w:right="1121" w:firstLine="36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pStyle w:val="BodyText"/>
        <w:spacing w:line="300" w:lineRule="auto" w:before="71"/>
        <w:ind w:left="153" w:right="1121" w:firstLine="36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pStyle w:val="BodyText"/>
        <w:spacing w:line="316" w:lineRule="auto" w:before="72"/>
        <w:ind w:left="153" w:right="1030"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58"/>
        <w:ind w:left="513" w:right="2239"/>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300" w:lineRule="auto" w:before="102"/>
        <w:ind w:left="153" w:right="1121"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BodyText"/>
        <w:spacing w:line="316" w:lineRule="auto" w:before="72"/>
        <w:ind w:left="153" w:right="0" w:firstLine="360"/>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pStyle w:val="BodyText"/>
        <w:spacing w:line="316" w:lineRule="auto" w:before="58"/>
        <w:ind w:left="153" w:right="113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17" w:firstLine="360"/>
        <w:jc w:val="left"/>
      </w:pPr>
      <w:r>
        <w:rPr>
          <w:spacing w:val="-2"/>
        </w:rPr>
        <w:t>本集团将实质上转移了与资产所有权有关的全部风险和报酬的租赁确认为融资租赁，除融资租赁之外的其他租赁确认为</w:t>
      </w:r>
      <w:r>
        <w:rPr/>
        <w:t> 经营租赁。</w:t>
      </w:r>
    </w:p>
    <w:p>
      <w:pPr>
        <w:pStyle w:val="BodyText"/>
        <w:spacing w:line="240" w:lineRule="auto" w:before="59"/>
        <w:ind w:left="513" w:right="2239"/>
        <w:jc w:val="left"/>
      </w:pPr>
      <w:r>
        <w:rPr/>
        <w:t>报告期内，本集团仅涉及经营租赁。</w:t>
      </w:r>
    </w:p>
    <w:p>
      <w:pPr>
        <w:pStyle w:val="BodyText"/>
        <w:spacing w:line="338" w:lineRule="auto" w:before="116"/>
        <w:ind w:left="513" w:right="1391"/>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338" w:lineRule="auto" w:before="43"/>
        <w:ind w:left="514" w:right="0"/>
        <w:jc w:val="left"/>
      </w:pPr>
      <w:r>
        <w:rPr/>
        <w:t>（</w:t>
      </w:r>
      <w:r>
        <w:rPr>
          <w:rFonts w:ascii="Times New Roman" w:hAnsi="Times New Roman" w:cs="Times New Roman" w:eastAsia="Times New Roman" w:hint="default"/>
        </w:rPr>
        <w:t>2</w:t>
      </w:r>
      <w:r>
        <w:rPr/>
        <w:t>）本集团作为承租人 </w:t>
      </w:r>
      <w:r>
        <w:rPr>
          <w:spacing w:val="-2"/>
        </w:rPr>
        <w:t>经营租赁中的租金，本集团在租赁期内各个期间按照直线法计入相关资产成本或当期损益；发生的初始直接费用，计入</w:t>
      </w:r>
    </w:p>
    <w:p>
      <w:pPr>
        <w:pStyle w:val="BodyText"/>
        <w:spacing w:line="240" w:lineRule="auto" w:before="2"/>
        <w:ind w:right="2239"/>
        <w:jc w:val="left"/>
      </w:pPr>
      <w:r>
        <w:rPr/>
        <w:t>当期损益。</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030"/>
        <w:jc w:val="left"/>
      </w:pPr>
      <w:r>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BodyText"/>
        <w:spacing w:line="338" w:lineRule="auto" w:before="29"/>
        <w:ind w:left="514" w:right="1210"/>
        <w:jc w:val="left"/>
      </w:pPr>
      <w:r>
        <w:rPr/>
        <w:t>（</w:t>
      </w:r>
      <w:r>
        <w:rPr>
          <w:rFonts w:ascii="Times New Roman" w:hAnsi="Times New Roman" w:cs="Times New Roman" w:eastAsia="Times New Roman" w:hint="default"/>
        </w:rPr>
        <w:t>1</w:t>
      </w:r>
      <w:r>
        <w:rPr/>
        <w:t>）开发支出 确定资本化的金额时，管理层必须做出有关资产的预期未来现金的产生、应采用的折现率以及预计受益期间的假设。</w:t>
      </w:r>
    </w:p>
    <w:p>
      <w:pPr>
        <w:pStyle w:val="BodyText"/>
        <w:spacing w:line="340" w:lineRule="auto" w:before="42"/>
        <w:ind w:left="514" w:right="0"/>
        <w:jc w:val="left"/>
      </w:pPr>
      <w:r>
        <w:rPr/>
        <w:t>（</w:t>
      </w:r>
      <w:r>
        <w:rPr>
          <w:rFonts w:ascii="Times New Roman" w:hAnsi="Times New Roman" w:cs="Times New Roman" w:eastAsia="Times New Roman" w:hint="default"/>
        </w:rPr>
        <w:t>2</w:t>
      </w:r>
      <w:r>
        <w:rPr/>
        <w:t>）递延所得税资产 </w:t>
      </w:r>
      <w:r>
        <w:rPr>
          <w:spacing w:val="-2"/>
        </w:rPr>
        <w:t>在很有可能有足够的应纳税利润来抵扣亏损的限度内，应就所有未利用的税务亏损确认递延所得税资产。这需要管理层</w:t>
      </w:r>
    </w:p>
    <w:p>
      <w:pPr>
        <w:pStyle w:val="BodyText"/>
        <w:spacing w:line="240" w:lineRule="auto" w:before="1"/>
        <w:ind w:right="0"/>
        <w:jc w:val="left"/>
      </w:pPr>
      <w:r>
        <w:rPr/>
        <w:t>运用大量的判断来估计未来应纳税利润发生的时间和金额，结合纳税筹划策略，以决定应确认的递延所得税资产的金额。</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①根据财政部《关于修订印发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 </w:t>
            </w:r>
            <w:r>
              <w:rPr>
                <w:rFonts w:ascii="宋体" w:hAnsi="宋体" w:cs="宋体" w:eastAsia="宋体" w:hint="default"/>
                <w:spacing w:val="-6"/>
                <w:sz w:val="18"/>
                <w:szCs w:val="18"/>
              </w:rPr>
              <w:t>一般企业财务报表格式的通知》（财会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 事会第十六次会议审议通过。公司独立 董事对该事项发表了独立意见，监事会 发表了审核意见。</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②根据财政部《关于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w:t>
            </w:r>
          </w:p>
        </w:tc>
        <w:tc>
          <w:tcPr>
            <w:tcW w:w="3190" w:type="dxa"/>
            <w:tcBorders>
              <w:top w:val="single" w:sz="4" w:space="0" w:color="000000"/>
              <w:left w:val="single" w:sz="4" w:space="0" w:color="000000"/>
              <w:bottom w:val="nil" w:sz="6" w:space="0" w:color="auto"/>
              <w:right w:val="single" w:sz="4" w:space="0" w:color="000000"/>
            </w:tcBorders>
          </w:tcPr>
          <w:p>
            <w:pPr/>
          </w:p>
        </w:tc>
        <w:tc>
          <w:tcPr>
            <w:tcW w:w="3188" w:type="dxa"/>
            <w:vMerge w:val="restart"/>
            <w:tcBorders>
              <w:top w:val="single" w:sz="4" w:space="0" w:color="000000"/>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财务报表格式有关问题的解读</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本集团</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w:t>
            </w:r>
          </w:p>
        </w:tc>
        <w:tc>
          <w:tcPr>
            <w:tcW w:w="3188" w:type="dxa"/>
            <w:vMerge/>
            <w:tcBorders>
              <w:left w:val="single" w:sz="4" w:space="0" w:color="000000"/>
              <w:right w:val="single" w:sz="4" w:space="0" w:color="000000"/>
            </w:tcBorders>
          </w:tcPr>
          <w:p>
            <w:pP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作为个人所得税的扣缴义务人，根据《中</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事会第十六会议审议通过。公司独立董</w:t>
            </w:r>
          </w:p>
        </w:tc>
        <w:tc>
          <w:tcPr>
            <w:tcW w:w="3188" w:type="dxa"/>
            <w:vMerge/>
            <w:tcBorders>
              <w:left w:val="single" w:sz="4" w:space="0" w:color="000000"/>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华人民共和国个人所得税法》收到的扣</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事对该事项发表了独立意见，监事会发</w:t>
            </w:r>
          </w:p>
        </w:tc>
        <w:tc>
          <w:tcPr>
            <w:tcW w:w="3188"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缴税款手续费在</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中填列</w:t>
            </w:r>
            <w:r>
              <w:rPr>
                <w:rFonts w:ascii="宋体" w:hAnsi="宋体" w:cs="宋体" w:eastAsia="宋体" w:hint="default"/>
                <w:spacing w:val="-86"/>
                <w:sz w:val="18"/>
                <w:szCs w:val="18"/>
              </w:rPr>
              <w:t>，</w:t>
            </w:r>
            <w:r>
              <w:rPr>
                <w:rFonts w:ascii="宋体" w:hAnsi="宋体" w:cs="宋体" w:eastAsia="宋体" w:hint="default"/>
                <w:sz w:val="18"/>
                <w:szCs w:val="18"/>
              </w:rPr>
              <w:t>对可</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表了审核意见。</w:t>
            </w:r>
          </w:p>
        </w:tc>
        <w:tc>
          <w:tcPr>
            <w:tcW w:w="3188" w:type="dxa"/>
            <w:vMerge/>
            <w:tcBorders>
              <w:left w:val="single" w:sz="4" w:space="0" w:color="000000"/>
              <w:right w:val="single" w:sz="4" w:space="0" w:color="000000"/>
            </w:tcBorders>
          </w:tcPr>
          <w:p>
            <w:pPr/>
          </w:p>
        </w:tc>
      </w:tr>
      <w:tr>
        <w:trPr>
          <w:trHeight w:val="353"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比期间的比较数据进行调整。</w:t>
            </w:r>
          </w:p>
        </w:tc>
        <w:tc>
          <w:tcPr>
            <w:tcW w:w="3190" w:type="dxa"/>
            <w:tcBorders>
              <w:top w:val="nil" w:sz="6" w:space="0" w:color="auto"/>
              <w:left w:val="single" w:sz="4" w:space="0" w:color="000000"/>
              <w:bottom w:val="single" w:sz="4" w:space="0" w:color="000000"/>
              <w:right w:val="single" w:sz="4" w:space="0" w:color="000000"/>
            </w:tcBorders>
          </w:tcPr>
          <w:p>
            <w:pPr/>
          </w:p>
        </w:tc>
        <w:tc>
          <w:tcPr>
            <w:tcW w:w="3188" w:type="dxa"/>
            <w:vMerge/>
            <w:tcBorders>
              <w:left w:val="single" w:sz="4" w:space="0" w:color="000000"/>
              <w:bottom w:val="single" w:sz="4" w:space="0" w:color="000000"/>
              <w:right w:val="single" w:sz="4" w:space="0" w:color="000000"/>
            </w:tcBorders>
          </w:tcPr>
          <w:p>
            <w:pPr/>
          </w:p>
        </w:tc>
      </w:tr>
    </w:tbl>
    <w:p>
      <w:pPr>
        <w:pStyle w:val="BodyText"/>
        <w:spacing w:line="300" w:lineRule="auto" w:before="50"/>
        <w:ind w:left="153" w:right="1119" w:firstLine="360"/>
        <w:jc w:val="left"/>
      </w:pPr>
      <w:r>
        <w:rPr>
          <w:spacing w:val="-3"/>
        </w:rPr>
        <w:t>（</w:t>
      </w:r>
      <w:r>
        <w:rPr>
          <w:rFonts w:ascii="Times New Roman" w:hAnsi="Times New Roman" w:cs="Times New Roman" w:eastAsia="Times New Roman" w:hint="default"/>
          <w:spacing w:val="-3"/>
        </w:rPr>
        <w:t>1</w:t>
      </w:r>
      <w:r>
        <w:rPr>
          <w:spacing w:val="-3"/>
        </w:rPr>
        <w:t>）根据财政部《关于修订印发</w:t>
      </w:r>
      <w:r>
        <w:rPr/>
        <w:t> </w:t>
      </w:r>
      <w:r>
        <w:rPr>
          <w:rFonts w:ascii="Times New Roman" w:hAnsi="Times New Roman" w:cs="Times New Roman" w:eastAsia="Times New Roman" w:hint="default"/>
        </w:rPr>
        <w:t>2018 </w:t>
      </w:r>
      <w:r>
        <w:rPr>
          <w:spacing w:val="-4"/>
        </w:rPr>
        <w:t>年度一般企业财务报表格式的通知》（财会</w:t>
      </w:r>
      <w:r>
        <w:rPr>
          <w:rFonts w:ascii="Times New Roman" w:hAnsi="Times New Roman" w:cs="Times New Roman" w:eastAsia="Times New Roman" w:hint="default"/>
          <w:spacing w:val="-4"/>
        </w:rPr>
        <w:t>[2018]15</w:t>
      </w:r>
      <w:r>
        <w:rPr>
          <w:rFonts w:ascii="Times New Roman" w:hAnsi="Times New Roman" w:cs="Times New Roman" w:eastAsia="Times New Roman" w:hint="default"/>
          <w:spacing w:val="-28"/>
        </w:rPr>
        <w:t> </w:t>
      </w:r>
      <w:r>
        <w:rPr>
          <w:spacing w:val="-9"/>
        </w:rPr>
        <w:t>号），经第四届董事会第十六</w:t>
      </w:r>
      <w:r>
        <w:rPr/>
        <w:t> 次会议决议通过，本集团对财务报表格式进行了以下修订：</w:t>
      </w:r>
    </w:p>
    <w:p>
      <w:pPr>
        <w:pStyle w:val="BodyText"/>
        <w:spacing w:line="340" w:lineRule="auto" w:before="71"/>
        <w:ind w:left="513" w:right="4692"/>
        <w:jc w:val="left"/>
      </w:pPr>
      <w:r>
        <w:rPr/>
        <w:t>①资产负债表 将原</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行项目整合为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 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 将原</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行项目归并至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357" w:lineRule="auto" w:before="18"/>
        <w:ind w:left="514" w:right="7370"/>
        <w:jc w:val="left"/>
      </w:pPr>
      <w:r>
        <w:rPr/>
        <w:t>②利润表 从原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p>
    <w:p>
      <w:pPr>
        <w:pStyle w:val="BodyText"/>
        <w:spacing w:line="240" w:lineRule="auto" w:before="4"/>
        <w:ind w:left="514" w:right="2239"/>
        <w:jc w:val="left"/>
      </w:pPr>
      <w:r>
        <w:rPr/>
        <w:t>在</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行项目下分别列示</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w:t>
      </w:r>
    </w:p>
    <w:p>
      <w:pPr>
        <w:pStyle w:val="BodyText"/>
        <w:spacing w:line="357" w:lineRule="auto" w:before="103"/>
        <w:ind w:left="514" w:right="1170"/>
        <w:jc w:val="left"/>
      </w:pPr>
      <w:r>
        <w:rPr/>
        <w:t>③股东权益变动表 在</w:t>
      </w:r>
      <w:r>
        <w:rPr>
          <w:rFonts w:ascii="Times New Roman" w:hAnsi="Times New Roman" w:cs="Times New Roman" w:eastAsia="Times New Roman" w:hint="default"/>
        </w:rPr>
        <w:t>“</w:t>
      </w:r>
      <w:r>
        <w:rPr/>
        <w:t>股东权益内部结转</w:t>
      </w:r>
      <w:r>
        <w:rPr>
          <w:rFonts w:ascii="Times New Roman" w:hAnsi="Times New Roman" w:cs="Times New Roman" w:eastAsia="Times New Roman" w:hint="default"/>
        </w:rPr>
        <w:t>”</w:t>
      </w:r>
      <w:r>
        <w:rPr/>
        <w:t>行项目下，将原</w:t>
      </w:r>
      <w:r>
        <w:rPr>
          <w:rFonts w:ascii="Times New Roman" w:hAnsi="Times New Roman" w:cs="Times New Roman" w:eastAsia="Times New Roman" w:hint="default"/>
        </w:rPr>
        <w:t>“</w:t>
      </w:r>
      <w:r>
        <w:rPr/>
        <w:t>结转重新计量设定受益计划净负债或净资产所产生的变动</w:t>
      </w:r>
      <w:r>
        <w:rPr>
          <w:rFonts w:ascii="Times New Roman" w:hAnsi="Times New Roman" w:cs="Times New Roman" w:eastAsia="Times New Roman" w:hint="default"/>
        </w:rPr>
        <w:t>”</w:t>
      </w:r>
      <w:r>
        <w:rPr/>
        <w:t>改为</w:t>
      </w:r>
      <w:r>
        <w:rPr>
          <w:rFonts w:ascii="Times New Roman" w:hAnsi="Times New Roman" w:cs="Times New Roman" w:eastAsia="Times New Roman" w:hint="default"/>
        </w:rPr>
        <w:t>“</w:t>
      </w:r>
      <w:r>
        <w:rPr/>
        <w:t>设定受益计划</w:t>
      </w:r>
    </w:p>
    <w:p>
      <w:pPr>
        <w:spacing w:after="0" w:line="357"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38" w:lineRule="auto" w:before="44"/>
        <w:ind w:left="513" w:right="5368" w:hanging="360"/>
        <w:jc w:val="left"/>
      </w:pPr>
      <w:r>
        <w:rPr/>
        <w:t>变动额结转留存收益</w:t>
      </w:r>
      <w:r>
        <w:rPr>
          <w:rFonts w:ascii="Times New Roman" w:hAnsi="Times New Roman" w:cs="Times New Roman" w:eastAsia="Times New Roman" w:hint="default"/>
        </w:rPr>
        <w:t>”</w:t>
      </w:r>
      <w:r>
        <w:rPr/>
        <w:t>。 本集团对可比期间的比较数据按照财会</w:t>
      </w:r>
      <w:r>
        <w:rPr>
          <w:rFonts w:ascii="Times New Roman" w:hAnsi="Times New Roman" w:cs="Times New Roman" w:eastAsia="Times New Roman" w:hint="default"/>
        </w:rPr>
        <w:t>[2018]15</w:t>
      </w:r>
      <w:r>
        <w:rPr>
          <w:rFonts w:ascii="Times New Roman" w:hAnsi="Times New Roman" w:cs="Times New Roman" w:eastAsia="Times New Roman" w:hint="default"/>
          <w:spacing w:val="-2"/>
        </w:rPr>
        <w:t> </w:t>
      </w:r>
      <w:r>
        <w:rPr/>
        <w:t>号文进行调整。</w:t>
      </w:r>
    </w:p>
    <w:p>
      <w:pPr>
        <w:pStyle w:val="BodyText"/>
        <w:spacing w:line="240" w:lineRule="auto" w:before="22"/>
        <w:ind w:left="514" w:right="2239"/>
        <w:jc w:val="left"/>
      </w:pPr>
      <w:r>
        <w:rPr/>
        <w:t>财务报表格式的修订对本集团的资产总额、负债总额、净利润、其他综合收益等无影响。</w:t>
      </w:r>
    </w:p>
    <w:p>
      <w:pPr>
        <w:pStyle w:val="BodyText"/>
        <w:spacing w:line="300" w:lineRule="auto" w:before="116"/>
        <w:ind w:right="1124" w:firstLine="360"/>
        <w:jc w:val="left"/>
      </w:pPr>
      <w:r>
        <w:rPr/>
        <w:t>（</w:t>
      </w:r>
      <w:r>
        <w:rPr>
          <w:rFonts w:ascii="Times New Roman" w:hAnsi="Times New Roman" w:cs="Times New Roman" w:eastAsia="Times New Roman" w:hint="default"/>
        </w:rPr>
        <w:t>2</w:t>
      </w:r>
      <w:r>
        <w:rPr/>
        <w:t>）根据财政部《关于 </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spacing w:val="-3"/>
        </w:rPr>
        <w:t>年度一般企业财务报表格式有关问题的解读》，本集团作为个人所得税的扣缴义务人，根</w:t>
      </w:r>
      <w:r>
        <w:rPr/>
        <w:t> 据《中华人民共和国个人所得税法》收到的扣缴税款手续费在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中填列，对可比期间的比较数据进行调整。</w:t>
      </w:r>
    </w:p>
    <w:p>
      <w:pPr>
        <w:pStyle w:val="BodyText"/>
        <w:spacing w:line="316" w:lineRule="auto" w:before="52"/>
        <w:ind w:right="1117" w:firstLine="360"/>
        <w:jc w:val="left"/>
      </w:pPr>
      <w:r>
        <w:rPr>
          <w:spacing w:val="-2"/>
        </w:rPr>
        <w:t>本集团实际收到的政府补助，无论是与资产相关还是与收益相关，在编制现金流量表时均作为经营活动产生的现金流量</w:t>
      </w:r>
      <w:r>
        <w:rPr/>
        <w:t> 列报，对可比期间的比较数据进行调整，调增</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年度经营活动现金流量</w:t>
      </w:r>
      <w:r>
        <w:rPr>
          <w:spacing w:val="-50"/>
        </w:rPr>
        <w:t> </w:t>
      </w:r>
      <w:r>
        <w:rPr>
          <w:rFonts w:ascii="Times New Roman" w:hAnsi="Times New Roman" w:cs="Times New Roman" w:eastAsia="Times New Roman" w:hint="default"/>
        </w:rPr>
        <w:t>3,670,000.00</w:t>
      </w:r>
      <w:r>
        <w:rPr>
          <w:rFonts w:ascii="Times New Roman" w:hAnsi="Times New Roman" w:cs="Times New Roman" w:eastAsia="Times New Roman" w:hint="default"/>
          <w:spacing w:val="-5"/>
        </w:rPr>
        <w:t> </w:t>
      </w:r>
      <w:r>
        <w:rPr>
          <w:spacing w:val="-3"/>
        </w:rPr>
        <w:t>元，调减</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年度筹资活动现金流</w:t>
      </w:r>
    </w:p>
    <w:p>
      <w:pPr>
        <w:pStyle w:val="BodyText"/>
        <w:spacing w:line="248" w:lineRule="exact"/>
        <w:ind w:right="2239"/>
        <w:jc w:val="left"/>
      </w:pPr>
      <w:r>
        <w:rPr/>
        <w:t>量</w:t>
      </w:r>
      <w:r>
        <w:rPr>
          <w:spacing w:val="-46"/>
        </w:rPr>
        <w:t> </w:t>
      </w:r>
      <w:r>
        <w:rPr>
          <w:rFonts w:ascii="Times New Roman" w:hAnsi="Times New Roman" w:cs="Times New Roman" w:eastAsia="Times New Roman" w:hint="default"/>
        </w:rPr>
        <w:t>3,670,000.00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2239"/>
        <w:jc w:val="left"/>
      </w:pPr>
      <w:r>
        <w:rPr/>
        <w:pict>
          <v:shape style="position:absolute;margin-left:190.859711pt;margin-top:80.382027pt;width:344pt;height:19.650pt;mso-position-horizontal-relative:page;mso-position-vertical-relative:paragraph;z-index:-1104640" type="#_x0000_t202" filled="false" stroked="false">
            <v:textbox inset="0,0,0,0">
              <w:txbxContent>
                <w:p>
                  <w:pPr>
                    <w:pStyle w:val="BodyText"/>
                    <w:spacing w:line="240" w:lineRule="auto" w:before="51"/>
                    <w:ind w:left="0" w:right="0"/>
                    <w:jc w:val="left"/>
                  </w:pPr>
                  <w:r>
                    <w:rPr/>
                    <w:t>（以下简称福州创华公司）</w:t>
                  </w:r>
                </w:p>
              </w:txbxContent>
            </v:textbox>
            <w10:wrap type="none"/>
          </v:shape>
        </w:pict>
      </w: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福建榕基软件股份有限公司（以下简称榕基软件公司）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上海榕基软件开发有限公司（以下简称上海榕基公司）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福州创华电气自动化系统有限公司</w:t>
            </w:r>
          </w:p>
        </w:tc>
        <w:tc>
          <w:tcPr>
            <w:tcW w:w="4786" w:type="dxa"/>
            <w:tcBorders>
              <w:top w:val="single" w:sz="4" w:space="0" w:color="000000"/>
              <w:left w:val="single" w:sz="9" w:space="0" w:color="FFFFFF"/>
              <w:bottom w:val="single" w:sz="4" w:space="0" w:color="000000"/>
              <w:right w:val="single" w:sz="9" w:space="0" w:color="FFFFFF"/>
            </w:tcBorders>
          </w:tcPr>
          <w:p>
            <w:pPr>
              <w:pStyle w:val="TableParagraph"/>
              <w:spacing w:line="240" w:lineRule="auto" w:before="93"/>
              <w:ind w:left="16"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浙江榕基信息技术有限公司（以下简称浙江榕基公司）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榕基五一（北京）信息技术有限公司（以下简称榕基五一公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福建榕基软件工程有限公司（以下简称榕基软件工程公司）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河南榕基信息技术有限公司（以下简称河南榕基公司）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北京中榕基信息技术有限公司（以下简称北京中榕基公司）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马鞍山榕基软件信息科技有限公司（以下简称马鞍山软件信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36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福建榕基投资有限公司（以下简称榕基投资公司）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马鞍山榕基置业投资有限公司（以下简称榕基置业公司）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信阳榕基信息技术有限公司（以下简称信阳榕基公司）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榕基国际控股有限公司（以下简称榕基国际公司）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河南豫础置业有限公司（以下简称豫础置业公司）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沈阳榕基信息技术有限公司（以下简称沈阳榕基公司）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河南裕信德置业有限公司（以下简称裕信德公司）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浙江检榕网络科技有限公司（以下简称浙江检榕公司）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福州榕易付网络科技有限公司（以下简称福州榕易付公司）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福建星榕基信息科技有限责任公司（以下简称福建星榕基公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榕基国计（北京）信息技术有限公司（以下简称榕基国计公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福建容大物联网科技有限公司（以下简称容大物联网）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w:t>
      </w:r>
      <w:r>
        <w:rPr>
          <w:rFonts w:ascii="Times New Roman" w:hAnsi="Times New Roman" w:cs="Times New Roman" w:eastAsia="Times New Roman" w:hint="default"/>
        </w:rPr>
        <w:t>1</w:t>
      </w:r>
      <w:r>
        <w:rPr/>
        <w:t>）增值税</w:t>
      </w:r>
    </w:p>
    <w:p>
      <w:pPr>
        <w:pStyle w:val="BodyText"/>
        <w:spacing w:line="300" w:lineRule="auto" w:before="102"/>
        <w:ind w:left="153" w:right="1130" w:firstLine="360"/>
        <w:jc w:val="both"/>
      </w:pPr>
      <w:r>
        <w:rPr>
          <w:spacing w:val="-4"/>
        </w:rPr>
        <w:t>根据《财政部、国家税务总局关于软件产品增值税政策的通知》（财税［</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29"/>
        </w:rPr>
        <w:t> </w:t>
      </w:r>
      <w:r>
        <w:rPr>
          <w:spacing w:val="-6"/>
        </w:rPr>
        <w:t>号），增值税一般纳税人销售其自行</w:t>
      </w:r>
      <w:r>
        <w:rPr/>
        <w:t> 开发生产的软件产品，对其增值税实际税负超过</w:t>
      </w:r>
      <w:r>
        <w:rPr>
          <w:spacing w:val="-46"/>
        </w:rPr>
        <w:t> </w:t>
      </w:r>
      <w:r>
        <w:rPr>
          <w:rFonts w:ascii="Times New Roman" w:hAnsi="Times New Roman" w:cs="Times New Roman" w:eastAsia="Times New Roman" w:hint="default"/>
        </w:rPr>
        <w:t>3%</w:t>
      </w:r>
      <w:r>
        <w:rPr/>
        <w:t>的部分实行即征即退政策。</w:t>
      </w:r>
    </w:p>
    <w:p>
      <w:pPr>
        <w:pStyle w:val="BodyText"/>
        <w:spacing w:line="240" w:lineRule="auto" w:before="53"/>
        <w:ind w:left="514" w:right="2239"/>
        <w:jc w:val="left"/>
      </w:pPr>
      <w:r>
        <w:rPr/>
        <w:t>（</w:t>
      </w:r>
      <w:r>
        <w:rPr>
          <w:rFonts w:ascii="Times New Roman" w:hAnsi="Times New Roman" w:cs="Times New Roman" w:eastAsia="Times New Roman" w:hint="default"/>
        </w:rPr>
        <w:t>2</w:t>
      </w:r>
      <w:r>
        <w:rPr/>
        <w:t>）企业所得税</w:t>
      </w:r>
    </w:p>
    <w:p>
      <w:pPr>
        <w:pStyle w:val="BodyText"/>
        <w:spacing w:line="240" w:lineRule="auto" w:before="102"/>
        <w:ind w:left="514" w:right="2239"/>
        <w:jc w:val="left"/>
      </w:pPr>
      <w:r>
        <w:rPr/>
        <w:t>①高新技术企业所得税优惠</w:t>
      </w:r>
    </w:p>
    <w:p>
      <w:pPr>
        <w:pStyle w:val="BodyText"/>
        <w:spacing w:line="300" w:lineRule="auto" w:before="116"/>
        <w:ind w:left="153" w:right="1131" w:firstLine="360"/>
        <w:jc w:val="both"/>
      </w:pPr>
      <w:r>
        <w:rPr>
          <w:spacing w:val="-5"/>
        </w:rPr>
        <w:t>根据《中华人民共和国企业所得税法》（主席令第</w:t>
      </w:r>
      <w:r>
        <w:rPr/>
        <w:t> </w:t>
      </w:r>
      <w:r>
        <w:rPr>
          <w:rFonts w:ascii="Times New Roman" w:hAnsi="Times New Roman" w:cs="Times New Roman" w:eastAsia="Times New Roman" w:hint="default"/>
        </w:rPr>
        <w:t>63</w:t>
      </w:r>
      <w:r>
        <w:rPr>
          <w:rFonts w:ascii="Times New Roman" w:hAnsi="Times New Roman" w:cs="Times New Roman" w:eastAsia="Times New Roman" w:hint="default"/>
          <w:spacing w:val="-8"/>
        </w:rPr>
        <w:t> </w:t>
      </w:r>
      <w:r>
        <w:rPr>
          <w:spacing w:val="-4"/>
        </w:rPr>
        <w:t>号），科技部、财政部、国家税务总局下发的《高新技术企业认定</w:t>
      </w:r>
      <w:r>
        <w:rPr/>
        <w:t> </w:t>
      </w:r>
      <w:r>
        <w:rPr>
          <w:spacing w:val="-1"/>
        </w:rPr>
        <w:t>管理办法（</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8"/>
        </w:rPr>
        <w:t> </w:t>
      </w:r>
      <w:r>
        <w:rPr>
          <w:spacing w:val="-12"/>
        </w:rPr>
        <w:t>修订）》（国科发［</w:t>
      </w:r>
      <w:r>
        <w:rPr>
          <w:rFonts w:ascii="Times New Roman" w:hAnsi="Times New Roman" w:cs="Times New Roman" w:eastAsia="Times New Roman" w:hint="default"/>
          <w:spacing w:val="-12"/>
        </w:rPr>
        <w:t>2016</w:t>
      </w:r>
      <w:r>
        <w:rPr>
          <w:spacing w:val="-12"/>
        </w:rPr>
        <w:t>］</w:t>
      </w:r>
      <w:r>
        <w:rPr>
          <w:rFonts w:ascii="Times New Roman" w:hAnsi="Times New Roman" w:cs="Times New Roman" w:eastAsia="Times New Roman" w:hint="default"/>
          <w:spacing w:val="-12"/>
        </w:rPr>
        <w:t>32</w:t>
      </w:r>
      <w:r>
        <w:rPr>
          <w:rFonts w:ascii="Times New Roman" w:hAnsi="Times New Roman" w:cs="Times New Roman" w:eastAsia="Times New Roman" w:hint="default"/>
          <w:spacing w:val="10"/>
        </w:rPr>
        <w:t> </w:t>
      </w:r>
      <w:r>
        <w:rPr>
          <w:spacing w:val="-1"/>
        </w:rPr>
        <w:t>号）的规定，国家需要重点扶持的高新技术企业，减按</w:t>
      </w:r>
      <w:r>
        <w:rPr>
          <w:spacing w:val="-37"/>
        </w:rPr>
        <w:t> </w:t>
      </w:r>
      <w:r>
        <w:rPr>
          <w:rFonts w:ascii="Times New Roman" w:hAnsi="Times New Roman" w:cs="Times New Roman" w:eastAsia="Times New Roman" w:hint="default"/>
        </w:rPr>
        <w:t>15%</w:t>
      </w:r>
      <w:r>
        <w:rPr/>
        <w:t>的税率征收企业所</w:t>
      </w:r>
      <w:r>
        <w:rPr>
          <w:spacing w:val="-87"/>
        </w:rPr>
        <w:t> </w:t>
      </w:r>
      <w:r>
        <w:rPr/>
        <w:t>得税。</w:t>
      </w:r>
    </w:p>
    <w:p>
      <w:pPr>
        <w:pStyle w:val="BodyText"/>
        <w:spacing w:line="240" w:lineRule="auto" w:before="72"/>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日，榕基软件公司取得由福建省科学技术厅、福建省财政厅、福建省国家税务局、福建省地方税务局</w:t>
      </w:r>
    </w:p>
    <w:p>
      <w:pPr>
        <w:pStyle w:val="BodyText"/>
        <w:spacing w:line="240" w:lineRule="auto" w:before="63"/>
        <w:ind w:left="153" w:right="2239"/>
        <w:jc w:val="left"/>
      </w:pPr>
      <w:r>
        <w:rPr/>
        <w:t>颁发的《高新技术企业证书</w:t>
      </w:r>
      <w:r>
        <w:rPr>
          <w:spacing w:val="-90"/>
        </w:rPr>
        <w:t>》</w:t>
      </w:r>
      <w:r>
        <w:rPr/>
        <w:t>，证书编号</w:t>
      </w:r>
      <w:r>
        <w:rPr>
          <w:spacing w:val="-46"/>
        </w:rPr>
        <w:t> </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spacing w:val="-1"/>
        </w:rPr>
        <w:t>20173500005</w:t>
      </w:r>
      <w:r>
        <w:rPr>
          <w:rFonts w:ascii="Times New Roman" w:hAnsi="Times New Roman" w:cs="Times New Roman" w:eastAsia="Times New Roman" w:hint="default"/>
        </w:rPr>
        <w:t>9</w:t>
      </w:r>
      <w:r>
        <w:rPr/>
        <w:t>，该证书的有效期从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w:t>
      </w:r>
      <w:r>
        <w:rPr/>
        <w:t>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p>
    <w:p>
      <w:pPr>
        <w:pStyle w:val="BodyText"/>
        <w:spacing w:line="240" w:lineRule="auto" w:before="102"/>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日，浙江榕基公司取得由浙江省科学技术厅、浙江省财政厅、浙江省国家税务局、浙江省地方税务局</w:t>
      </w:r>
    </w:p>
    <w:p>
      <w:pPr>
        <w:pStyle w:val="BodyText"/>
        <w:spacing w:line="240" w:lineRule="auto" w:before="63"/>
        <w:ind w:right="2239"/>
        <w:jc w:val="left"/>
      </w:pPr>
      <w:r>
        <w:rPr/>
        <w:t>颁发的《高新技术企业证书</w:t>
      </w:r>
      <w:r>
        <w:rPr>
          <w:spacing w:val="-90"/>
        </w:rPr>
        <w:t>》</w:t>
      </w:r>
      <w:r>
        <w:rPr/>
        <w:t>，证书编号</w:t>
      </w:r>
      <w:r>
        <w:rPr>
          <w:spacing w:val="-46"/>
        </w:rPr>
        <w:t> </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spacing w:val="-1"/>
        </w:rPr>
        <w:t>20173300313</w:t>
      </w:r>
      <w:r>
        <w:rPr>
          <w:rFonts w:ascii="Times New Roman" w:hAnsi="Times New Roman" w:cs="Times New Roman" w:eastAsia="Times New Roman" w:hint="default"/>
        </w:rPr>
        <w:t>7</w:t>
      </w:r>
      <w:r>
        <w:rPr/>
        <w:t>，该证书的有效期从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1"/>
        </w:rPr>
        <w:t>年</w:t>
      </w:r>
      <w:r>
        <w:rPr/>
        <w:t>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p>
    <w:p>
      <w:pPr>
        <w:pStyle w:val="BodyText"/>
        <w:spacing w:line="240" w:lineRule="auto" w:before="102"/>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日，榕基软件工程公司取得由福建省科学技术厅、福建省财政厅、福建省国家税务局、福建省地方税</w:t>
      </w:r>
    </w:p>
    <w:p>
      <w:pPr>
        <w:pStyle w:val="BodyText"/>
        <w:spacing w:line="240" w:lineRule="auto" w:before="63"/>
        <w:ind w:right="2239"/>
        <w:jc w:val="left"/>
      </w:pPr>
      <w:r>
        <w:rPr/>
        <w:t>务局颁发的《高新技术企业证书</w:t>
      </w:r>
      <w:r>
        <w:rPr>
          <w:spacing w:val="-90"/>
        </w:rPr>
        <w:t>》</w:t>
      </w:r>
      <w:r>
        <w:rPr/>
        <w:t>，证书编号</w:t>
      </w:r>
      <w:r>
        <w:rPr>
          <w:spacing w:val="-46"/>
        </w:rPr>
        <w:t> </w:t>
      </w:r>
      <w:r>
        <w:rPr>
          <w:rFonts w:ascii="Times New Roman" w:hAnsi="Times New Roman" w:cs="Times New Roman" w:eastAsia="Times New Roman" w:hint="default"/>
          <w:spacing w:val="-1"/>
        </w:rPr>
        <w:t>GR2018350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047</w:t>
      </w:r>
      <w:r>
        <w:rPr>
          <w:rFonts w:ascii="Times New Roman" w:hAnsi="Times New Roman" w:cs="Times New Roman" w:eastAsia="Times New Roman" w:hint="default"/>
        </w:rPr>
        <w:t>1</w:t>
      </w:r>
      <w:r>
        <w:rPr/>
        <w:t>，该证书的有效期从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spacing w:val="1"/>
        </w:rPr>
        <w:t>年。</w:t>
      </w:r>
      <w:r>
        <w:rPr/>
      </w:r>
    </w:p>
    <w:p>
      <w:pPr>
        <w:pStyle w:val="BodyText"/>
        <w:spacing w:line="357" w:lineRule="auto" w:before="103"/>
        <w:ind w:left="514" w:right="1112"/>
        <w:jc w:val="left"/>
      </w:pPr>
      <w:r>
        <w:rPr/>
        <w:t>②重点软件企业所得税优惠 </w:t>
      </w:r>
      <w:r>
        <w:rPr>
          <w:spacing w:val="-3"/>
        </w:rPr>
        <w:t>根据《关于进一步鼓励软件产业和集成电路产业发展企业所得税政策的通知》（财税［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28"/>
        </w:rPr>
        <w:t> </w:t>
      </w:r>
      <w:r>
        <w:rPr>
          <w:spacing w:val="-2"/>
        </w:rPr>
        <w:t>号）的有关规定，国家</w:t>
      </w:r>
    </w:p>
    <w:p>
      <w:pPr>
        <w:pStyle w:val="BodyText"/>
        <w:spacing w:line="214" w:lineRule="exact"/>
        <w:ind w:right="2239"/>
        <w:jc w:val="left"/>
      </w:pPr>
      <w:r>
        <w:rPr/>
        <w:t>规划布局内的重点软件企业，如当年未享受免税优惠的，可减按</w:t>
      </w:r>
      <w:r>
        <w:rPr>
          <w:spacing w:val="-46"/>
        </w:rPr>
        <w:t> </w:t>
      </w:r>
      <w:r>
        <w:rPr>
          <w:rFonts w:ascii="Times New Roman" w:hAnsi="Times New Roman" w:cs="Times New Roman" w:eastAsia="Times New Roman" w:hint="default"/>
        </w:rPr>
        <w:t>10.00%</w:t>
      </w:r>
      <w:r>
        <w:rPr/>
        <w:t>的税率征收企业所得税。</w:t>
      </w:r>
    </w:p>
    <w:p>
      <w:pPr>
        <w:pStyle w:val="BodyText"/>
        <w:spacing w:line="309" w:lineRule="auto" w:before="102"/>
        <w:ind w:left="153" w:right="1129" w:firstLine="360"/>
        <w:jc w:val="both"/>
      </w:pPr>
      <w:r>
        <w:rPr>
          <w:spacing w:val="-2"/>
        </w:rPr>
        <w:t>根据《财政部、国家税务总局、发展改革委、工业化信息部关于软件和集成电路产业企业所得税优惠政策有关问题的通</w:t>
      </w:r>
      <w:r>
        <w:rPr/>
        <w:t> </w:t>
      </w:r>
      <w:r>
        <w:rPr>
          <w:spacing w:val="-9"/>
        </w:rPr>
        <w:t>知》（财税［</w:t>
      </w:r>
      <w:r>
        <w:rPr>
          <w:rFonts w:ascii="Times New Roman" w:hAnsi="Times New Roman" w:cs="Times New Roman" w:eastAsia="Times New Roman" w:hint="default"/>
          <w:spacing w:val="-9"/>
        </w:rPr>
        <w:t>2016</w:t>
      </w:r>
      <w:r>
        <w:rPr>
          <w:spacing w:val="-9"/>
        </w:rPr>
        <w:t>］</w:t>
      </w:r>
      <w:r>
        <w:rPr>
          <w:rFonts w:ascii="Times New Roman" w:hAnsi="Times New Roman" w:cs="Times New Roman" w:eastAsia="Times New Roman" w:hint="default"/>
          <w:spacing w:val="-9"/>
        </w:rPr>
        <w:t>49</w:t>
      </w:r>
      <w:r>
        <w:rPr>
          <w:rFonts w:ascii="Times New Roman" w:hAnsi="Times New Roman" w:cs="Times New Roman" w:eastAsia="Times New Roman" w:hint="default"/>
          <w:spacing w:val="23"/>
        </w:rPr>
        <w:t> </w:t>
      </w:r>
      <w:r>
        <w:rPr>
          <w:spacing w:val="-1"/>
        </w:rPr>
        <w:t>号）以及《国家发展改革委、工业化信息部、财政部、税务总局关于印发国家规划布局内重点软件和</w:t>
      </w:r>
      <w:r>
        <w:rPr>
          <w:spacing w:val="-83"/>
        </w:rPr>
        <w:t> </w:t>
      </w:r>
      <w:r>
        <w:rPr>
          <w:spacing w:val="-83"/>
        </w:rPr>
      </w:r>
      <w:r>
        <w:rPr>
          <w:spacing w:val="-5"/>
        </w:rPr>
        <w:t>集成电路设计领域的通知》（发改高技［</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1056</w:t>
      </w:r>
      <w:r>
        <w:rPr>
          <w:rFonts w:ascii="Times New Roman" w:hAnsi="Times New Roman" w:cs="Times New Roman" w:eastAsia="Times New Roman" w:hint="default"/>
          <w:spacing w:val="9"/>
        </w:rPr>
        <w:t> </w:t>
      </w:r>
      <w:r>
        <w:rPr>
          <w:spacing w:val="-3"/>
        </w:rPr>
        <w:t>号）的有关规定，享受财税［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9"/>
        </w:rPr>
        <w:t> </w:t>
      </w:r>
      <w:r>
        <w:rPr/>
        <w:t>号文件规定的税收优惠政策的软</w:t>
      </w:r>
      <w:r>
        <w:rPr>
          <w:spacing w:val="-88"/>
        </w:rPr>
        <w:t> </w:t>
      </w:r>
      <w:r>
        <w:rPr>
          <w:spacing w:val="-88"/>
        </w:rPr>
      </w:r>
      <w:r>
        <w:rPr>
          <w:spacing w:val="-2"/>
        </w:rPr>
        <w:t>件、集成电路企业，每年汇算清缴时应按照《国家税务总局关于发布〈企业所得税优惠政策事项办理办法〉的公告》（国家</w:t>
      </w:r>
      <w:r>
        <w:rPr>
          <w:spacing w:val="-72"/>
        </w:rPr>
        <w:t> </w:t>
      </w:r>
      <w:r>
        <w:rPr>
          <w:spacing w:val="-72"/>
        </w:rPr>
      </w:r>
      <w:r>
        <w:rPr/>
        <w:t>税务总局公告</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年第</w:t>
      </w:r>
      <w:r>
        <w:rPr>
          <w:spacing w:val="-67"/>
        </w:rPr>
        <w:t> </w:t>
      </w:r>
      <w:r>
        <w:rPr>
          <w:rFonts w:ascii="Times New Roman" w:hAnsi="Times New Roman" w:cs="Times New Roman" w:eastAsia="Times New Roman" w:hint="default"/>
        </w:rPr>
        <w:t>76</w:t>
      </w:r>
      <w:r>
        <w:rPr>
          <w:rFonts w:ascii="Times New Roman" w:hAnsi="Times New Roman" w:cs="Times New Roman" w:eastAsia="Times New Roman" w:hint="default"/>
          <w:spacing w:val="-22"/>
        </w:rPr>
        <w:t> </w:t>
      </w:r>
      <w:r>
        <w:rPr/>
        <w:t>号）规定向税务机关备案，同时提交《享受企业所得税优惠政策的软件和集成电路企业备案资料</w:t>
      </w:r>
    </w:p>
    <w:p>
      <w:pPr>
        <w:spacing w:after="0" w:line="309"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1031"/>
        <w:jc w:val="left"/>
      </w:pPr>
      <w:r>
        <w:rPr/>
        <w:t>明细表》规定的备案资料；在软件、集成电路企业享受优惠政策后，税务部门转请发展改革、工业和信息化部门进行核查； </w:t>
      </w:r>
      <w:r>
        <w:rPr>
          <w:spacing w:val="-2"/>
        </w:rPr>
        <w:t>对经核查不符合软件、集成电路企业条件的，由税务部门追缴其已经享受的企业所得税优惠，并按照税收征管法的规定进行</w:t>
      </w:r>
      <w:r>
        <w:rPr>
          <w:spacing w:val="-66"/>
        </w:rPr>
        <w:t> </w:t>
      </w:r>
      <w:r>
        <w:rPr>
          <w:spacing w:val="-66"/>
        </w:rPr>
      </w:r>
      <w:r>
        <w:rPr/>
        <w:t>处理。</w:t>
      </w:r>
    </w:p>
    <w:p>
      <w:pPr>
        <w:pStyle w:val="BodyText"/>
        <w:spacing w:line="300" w:lineRule="auto" w:before="58"/>
        <w:ind w:right="1131" w:firstLine="360"/>
        <w:jc w:val="both"/>
      </w:pPr>
      <w:r>
        <w:rPr/>
        <w:t>榕基软件公司</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年度经逐条对照，符合国家规划布局内重点软件企业的条件，经备案后可享受</w:t>
      </w:r>
      <w:r>
        <w:rPr>
          <w:spacing w:val="-63"/>
        </w:rPr>
        <w:t> </w:t>
      </w:r>
      <w:r>
        <w:rPr>
          <w:rFonts w:ascii="Times New Roman" w:hAnsi="Times New Roman" w:cs="Times New Roman" w:eastAsia="Times New Roman" w:hint="default"/>
        </w:rPr>
        <w:t>10.00%</w:t>
      </w:r>
      <w:r>
        <w:rPr/>
        <w:t>企业所得税优 惠税率，故</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年度减按</w:t>
      </w:r>
      <w:r>
        <w:rPr>
          <w:spacing w:val="-46"/>
        </w:rPr>
        <w:t> </w:t>
      </w:r>
      <w:r>
        <w:rPr>
          <w:rFonts w:ascii="Times New Roman" w:hAnsi="Times New Roman" w:cs="Times New Roman" w:eastAsia="Times New Roman" w:hint="default"/>
        </w:rPr>
        <w:t>10.00%</w:t>
      </w:r>
      <w:r>
        <w:rPr/>
        <w:t>税率计提企业所得税。</w:t>
      </w:r>
    </w:p>
    <w:p>
      <w:pPr>
        <w:pStyle w:val="BodyText"/>
        <w:spacing w:line="300" w:lineRule="auto" w:before="53"/>
        <w:ind w:right="1131" w:firstLine="360"/>
        <w:jc w:val="both"/>
      </w:pPr>
      <w:r>
        <w:rPr/>
        <w:t>榕基软件工程公司</w:t>
      </w:r>
      <w:r>
        <w:rPr>
          <w:spacing w:val="-6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年度经逐条对照，符合国家规划布局内重点软件企业的条件，经备案后可享受</w:t>
      </w:r>
      <w:r>
        <w:rPr>
          <w:spacing w:val="-63"/>
        </w:rPr>
        <w:t> </w:t>
      </w:r>
      <w:r>
        <w:rPr>
          <w:rFonts w:ascii="Times New Roman" w:hAnsi="Times New Roman" w:cs="Times New Roman" w:eastAsia="Times New Roman" w:hint="default"/>
        </w:rPr>
        <w:t>10.00%</w:t>
      </w:r>
      <w:r>
        <w:rPr/>
        <w:t>企业所得 税优惠税率，故</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年度减按</w:t>
      </w:r>
      <w:r>
        <w:rPr>
          <w:spacing w:val="-46"/>
        </w:rPr>
        <w:t> </w:t>
      </w:r>
      <w:r>
        <w:rPr>
          <w:rFonts w:ascii="Times New Roman" w:hAnsi="Times New Roman" w:cs="Times New Roman" w:eastAsia="Times New Roman" w:hint="default"/>
        </w:rPr>
        <w:t>10.00%</w:t>
      </w:r>
      <w:r>
        <w:rPr/>
        <w:t>税率计提企业所得税。</w:t>
      </w:r>
    </w:p>
    <w:p>
      <w:pPr>
        <w:pStyle w:val="BodyText"/>
        <w:spacing w:line="240" w:lineRule="auto" w:before="52"/>
        <w:ind w:left="514" w:right="2239"/>
        <w:jc w:val="left"/>
      </w:pPr>
      <w:r>
        <w:rPr/>
        <w:t>③新办软件企业所得税优惠</w:t>
      </w:r>
    </w:p>
    <w:p>
      <w:pPr>
        <w:pStyle w:val="BodyText"/>
        <w:spacing w:line="300" w:lineRule="auto" w:before="116"/>
        <w:ind w:right="1183" w:firstLine="360"/>
        <w:jc w:val="both"/>
      </w:pPr>
      <w:r>
        <w:rPr>
          <w:spacing w:val="-3"/>
        </w:rPr>
        <w:t>根据财政部、国家税务总局《关于企业所得税若干优惠政策》（财税［</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6"/>
        </w:rPr>
        <w:t> </w:t>
      </w:r>
      <w:r>
        <w:rPr/>
        <w:t>号）规定：我国境内新办软件生产企业 经认定后，自获利年度起，第一年和第二年免征企业所得税，第三年至第五年减半征收企业所得税。</w:t>
      </w:r>
    </w:p>
    <w:p>
      <w:pPr>
        <w:pStyle w:val="BodyText"/>
        <w:spacing w:line="300" w:lineRule="auto" w:before="72"/>
        <w:ind w:right="1204" w:firstLine="35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月，马鞍山软件信息公司被认定为软件企业，自</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年起享受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的税收优惠；其自成立以来尚未 盈利，未享受过</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税收优惠，故</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年度该公司企业所得税税率为</w:t>
      </w:r>
      <w:r>
        <w:rPr>
          <w:spacing w:val="-47"/>
        </w:rPr>
        <w:t> </w:t>
      </w:r>
      <w:r>
        <w:rPr>
          <w:rFonts w:ascii="Times New Roman" w:hAnsi="Times New Roman" w:cs="Times New Roman" w:eastAsia="Times New Roman" w:hint="default"/>
        </w:rPr>
        <w:t>0.00%</w:t>
      </w:r>
      <w:r>
        <w:rPr/>
        <w:t>。</w:t>
      </w:r>
    </w:p>
    <w:p>
      <w:pPr>
        <w:pStyle w:val="BodyText"/>
        <w:spacing w:line="300" w:lineRule="auto" w:before="52"/>
        <w:ind w:right="1129" w:firstLine="360"/>
        <w:jc w:val="both"/>
      </w:pPr>
      <w:r>
        <w:rPr/>
        <w:t>福建星榕基公司</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年成立，</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年度经逐条对照，符合《财政部、国家税务总局、发展改革委、工业化信息部关于 </w:t>
      </w:r>
      <w:r>
        <w:rPr>
          <w:spacing w:val="-4"/>
        </w:rPr>
        <w:t>软件和集成电路产业企业所得税优惠政策有关问题的通知》（财税［</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49</w:t>
      </w:r>
      <w:r>
        <w:rPr>
          <w:rFonts w:ascii="Times New Roman" w:hAnsi="Times New Roman" w:cs="Times New Roman" w:eastAsia="Times New Roman" w:hint="default"/>
          <w:spacing w:val="28"/>
        </w:rPr>
        <w:t> </w:t>
      </w:r>
      <w:r>
        <w:rPr>
          <w:spacing w:val="-1"/>
        </w:rPr>
        <w:t>号）规定的软件企业的条件，按规定向税务机</w:t>
      </w:r>
      <w:r>
        <w:rPr>
          <w:spacing w:val="-82"/>
        </w:rPr>
        <w:t> </w:t>
      </w:r>
      <w:r>
        <w:rPr>
          <w:spacing w:val="-82"/>
        </w:rPr>
      </w:r>
      <w:r>
        <w:rPr/>
        <w:t>关备案，取得软件企业证书，自</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年起享受</w:t>
      </w:r>
      <w:r>
        <w:rPr>
          <w:rFonts w:ascii="Times New Roman" w:hAnsi="Times New Roman" w:cs="Times New Roman" w:eastAsia="Times New Roman" w:hint="default"/>
        </w:rPr>
        <w:t>“</w:t>
      </w:r>
      <w:r>
        <w:rPr/>
        <w:t>免二减三</w:t>
      </w:r>
      <w:r>
        <w:rPr>
          <w:rFonts w:ascii="Times New Roman" w:hAnsi="Times New Roman" w:cs="Times New Roman" w:eastAsia="Times New Roman" w:hint="default"/>
        </w:rPr>
        <w:t>”</w:t>
      </w:r>
      <w:r>
        <w:rPr/>
        <w:t>的税收优惠，故</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年度该公司企业所得税税率为</w:t>
      </w:r>
      <w:r>
        <w:rPr>
          <w:spacing w:val="-46"/>
        </w:rPr>
        <w:t> </w:t>
      </w:r>
      <w:r>
        <w:rPr>
          <w:rFonts w:ascii="Times New Roman" w:hAnsi="Times New Roman" w:cs="Times New Roman" w:eastAsia="Times New Roman" w:hint="default"/>
        </w:rPr>
        <w:t>12.50%</w:t>
      </w:r>
      <w:r>
        <w:rPr/>
        <w:t>。</w:t>
      </w:r>
    </w:p>
    <w:p>
      <w:pPr>
        <w:pStyle w:val="BodyText"/>
        <w:spacing w:line="240" w:lineRule="auto" w:before="52"/>
        <w:ind w:left="514"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286,783.13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131,309.02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303,991,753.53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91,792,707.00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24,625,195.15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115,812,968.63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328,903,731.81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207,736,984.65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91,722,599.67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1,692,686.71</w:t>
            </w:r>
          </w:p>
        </w:tc>
      </w:tr>
    </w:tbl>
    <w:p>
      <w:pPr>
        <w:pStyle w:val="BodyText"/>
        <w:spacing w:line="240" w:lineRule="auto" w:before="51"/>
        <w:ind w:right="2239"/>
        <w:jc w:val="left"/>
      </w:pPr>
      <w:r>
        <w:rPr/>
        <w:t>其他说明</w:t>
      </w:r>
    </w:p>
    <w:p>
      <w:pPr>
        <w:pStyle w:val="BodyText"/>
        <w:spacing w:line="240" w:lineRule="auto" w:before="116"/>
        <w:ind w:left="0" w:right="1131"/>
        <w:jc w:val="right"/>
      </w:pPr>
      <w:r>
        <w:rPr>
          <w:spacing w:val="-4"/>
        </w:rPr>
        <w:t>（</w:t>
      </w:r>
      <w:r>
        <w:rPr>
          <w:rFonts w:ascii="Times New Roman" w:hAnsi="Times New Roman" w:cs="Times New Roman" w:eastAsia="Times New Roman" w:hint="default"/>
          <w:spacing w:val="-4"/>
        </w:rPr>
        <w:t>1</w:t>
      </w:r>
      <w:r>
        <w:rPr>
          <w:spacing w:val="-4"/>
        </w:rPr>
        <w:t>）期末，银行存款中定期存款</w:t>
      </w:r>
      <w:r>
        <w:rPr>
          <w:spacing w:val="-53"/>
        </w:rPr>
        <w:t> </w:t>
      </w:r>
      <w:r>
        <w:rPr>
          <w:rFonts w:ascii="Times New Roman" w:hAnsi="Times New Roman" w:cs="Times New Roman" w:eastAsia="Times New Roman" w:hint="default"/>
        </w:rPr>
        <w:t>61,768,800.00</w:t>
      </w:r>
      <w:r>
        <w:rPr>
          <w:rFonts w:ascii="Times New Roman" w:hAnsi="Times New Roman" w:cs="Times New Roman" w:eastAsia="Times New Roman" w:hint="default"/>
          <w:spacing w:val="-8"/>
        </w:rPr>
        <w:t> </w:t>
      </w:r>
      <w:r>
        <w:rPr/>
        <w:t>元、其他货币资金中保函保证金</w:t>
      </w:r>
      <w:r>
        <w:rPr>
          <w:spacing w:val="-53"/>
        </w:rPr>
        <w:t> </w:t>
      </w:r>
      <w:r>
        <w:rPr>
          <w:rFonts w:ascii="Times New Roman" w:hAnsi="Times New Roman" w:cs="Times New Roman" w:eastAsia="Times New Roman" w:hint="default"/>
        </w:rPr>
        <w:t>22,803,678.93</w:t>
      </w:r>
      <w:r>
        <w:rPr>
          <w:rFonts w:ascii="Times New Roman" w:hAnsi="Times New Roman" w:cs="Times New Roman" w:eastAsia="Times New Roman" w:hint="default"/>
          <w:spacing w:val="-8"/>
        </w:rPr>
        <w:t> </w:t>
      </w:r>
      <w:r>
        <w:rPr/>
        <w:t>元及银行承兑汇票保证金</w:t>
      </w:r>
    </w:p>
    <w:p>
      <w:pPr>
        <w:pStyle w:val="BodyText"/>
        <w:spacing w:line="240" w:lineRule="auto" w:before="63"/>
        <w:ind w:left="153" w:right="2239"/>
        <w:jc w:val="left"/>
      </w:pPr>
      <w:r>
        <w:rPr>
          <w:rFonts w:ascii="Times New Roman" w:hAnsi="Times New Roman" w:cs="Times New Roman" w:eastAsia="Times New Roman" w:hint="default"/>
        </w:rPr>
        <w:t>1,821,516.22</w:t>
      </w:r>
      <w:r>
        <w:rPr>
          <w:rFonts w:ascii="Times New Roman" w:hAnsi="Times New Roman" w:cs="Times New Roman" w:eastAsia="Times New Roman" w:hint="default"/>
          <w:spacing w:val="-3"/>
        </w:rPr>
        <w:t> </w:t>
      </w:r>
      <w:r>
        <w:rPr/>
        <w:t>元，本集团在编制现金流量表时未将其作为现金或现金等价物。</w:t>
      </w:r>
    </w:p>
    <w:p>
      <w:pPr>
        <w:pStyle w:val="BodyText"/>
        <w:spacing w:line="240" w:lineRule="auto" w:before="102"/>
        <w:ind w:left="513" w:right="2239"/>
        <w:jc w:val="left"/>
      </w:pPr>
      <w:r>
        <w:rPr/>
        <w:t>（</w:t>
      </w:r>
      <w:r>
        <w:rPr>
          <w:rFonts w:ascii="Times New Roman" w:hAnsi="Times New Roman" w:cs="Times New Roman" w:eastAsia="Times New Roman" w:hint="default"/>
        </w:rPr>
        <w:t>2</w:t>
      </w:r>
      <w:r>
        <w:rPr/>
        <w:t>）期末，本集团不存在抵押、质押或冻结、或存放在境外且资金汇回受到限制的款项。</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1,945,500.00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176,359,422.88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119,355,006.60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176,359,422.88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121,300,506.60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1,945,500.00</w:t>
            </w:r>
          </w:p>
        </w:tc>
      </w:tr>
    </w:tbl>
    <w:p>
      <w:pPr>
        <w:pStyle w:val="BodyText"/>
        <w:spacing w:line="240" w:lineRule="auto" w:before="51"/>
        <w:ind w:right="2239"/>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2,191,030.00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2,191,030.00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其他说明</w:t>
      </w:r>
    </w:p>
    <w:p>
      <w:pPr>
        <w:pStyle w:val="BodyText"/>
        <w:spacing w:line="240" w:lineRule="auto" w:before="116"/>
        <w:ind w:left="514" w:right="2239"/>
        <w:jc w:val="left"/>
      </w:pPr>
      <w:r>
        <w:rPr/>
        <w:t>不存在客观证据表明本集团应收票据发生减值，未计提应收票据减值准备。</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199,768,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558.89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23,409,1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36.01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176,359,4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141,251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,446.66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21,896,44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119,355,00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6.60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199,768,</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558.89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23,409,1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36.01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176,359,4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141,251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,446.66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21,896,44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0.06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119,355,00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6.60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152,212,433.53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7,610,621.68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24,374,832.20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2,437,483.22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12,275,327.56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2,455,065.51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10,905,965.60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10,905,965.60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199,768,558.89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23,409,136.01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11.72%</w:t>
            </w:r>
          </w:p>
        </w:tc>
      </w:tr>
    </w:tbl>
    <w:p>
      <w:pPr>
        <w:pStyle w:val="BodyText"/>
        <w:spacing w:line="357" w:lineRule="auto" w:before="51"/>
        <w:ind w:left="153" w:right="6431"/>
        <w:jc w:val="left"/>
      </w:pPr>
      <w:r>
        <w:rPr/>
        <w:t>确定该组合依据的说明： 账龄组合，按账龄分析法计提坏账准备的应收账款。 组合中，采用余额百分比法计提坏账准备的应收账款：</w:t>
      </w:r>
    </w:p>
    <w:p>
      <w:pPr>
        <w:pStyle w:val="BodyText"/>
        <w:spacing w:line="338" w:lineRule="auto" w:before="28"/>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2239"/>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4454"/>
        <w:jc w:val="left"/>
      </w:pPr>
      <w:r>
        <w:rPr/>
        <w:t>本期计提坏账准备金额</w:t>
      </w:r>
      <w:r>
        <w:rPr>
          <w:spacing w:val="-46"/>
        </w:rPr>
        <w:t> </w:t>
      </w:r>
      <w:r>
        <w:rPr>
          <w:rFonts w:ascii="Times New Roman" w:hAnsi="Times New Roman" w:cs="Times New Roman" w:eastAsia="Times New Roman" w:hint="default"/>
        </w:rPr>
        <w:t>1,624,456.58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0"/>
        <w:ind w:left="0" w:right="112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2239"/>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其中重要的应收账款核销情况：</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pStyle w:val="BodyText"/>
        <w:spacing w:line="357" w:lineRule="auto" w:before="52"/>
        <w:ind w:left="153" w:right="-19"/>
        <w:jc w:val="left"/>
      </w:pPr>
      <w:r>
        <w:rPr/>
        <w:t>应收账款核销说明： 本期无实际核销的应收账款。 </w:t>
      </w: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084" w:space="4744"/>
            <w:col w:w="2102"/>
          </w:cols>
        </w:sectPr>
      </w:pPr>
    </w:p>
    <w:p>
      <w:pPr>
        <w:spacing w:line="240" w:lineRule="auto" w:before="1"/>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587"/>
        <w:gridCol w:w="1841"/>
        <w:gridCol w:w="2236"/>
        <w:gridCol w:w="1619"/>
      </w:tblGrid>
      <w:tr>
        <w:trPr>
          <w:trHeight w:val="784" w:hRule="exact"/>
        </w:trPr>
        <w:tc>
          <w:tcPr>
            <w:tcW w:w="3587"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1"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2"/>
              <w:ind w:left="550" w:right="548"/>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2236"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16" w:lineRule="auto" w:before="81"/>
              <w:ind w:left="763" w:right="26" w:hanging="7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 的比例</w:t>
            </w:r>
            <w:r>
              <w:rPr>
                <w:rFonts w:ascii="Times New Roman" w:hAnsi="Times New Roman" w:cs="Times New Roman" w:eastAsia="Times New Roman" w:hint="default"/>
                <w:sz w:val="18"/>
                <w:szCs w:val="18"/>
              </w:rPr>
              <w:t>%</w:t>
            </w:r>
          </w:p>
        </w:tc>
        <w:tc>
          <w:tcPr>
            <w:tcW w:w="1619"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2"/>
              <w:ind w:left="440" w:right="43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745"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1"/>
              <w:ind w:left="1" w:right="1"/>
              <w:jc w:val="left"/>
              <w:rPr>
                <w:rFonts w:ascii="宋体" w:hAnsi="宋体" w:cs="宋体" w:eastAsia="宋体" w:hint="default"/>
                <w:sz w:val="18"/>
                <w:szCs w:val="18"/>
              </w:rPr>
            </w:pPr>
            <w:r>
              <w:rPr>
                <w:rFonts w:ascii="宋体" w:hAnsi="宋体" w:cs="宋体" w:eastAsia="宋体" w:hint="default"/>
                <w:spacing w:val="-1"/>
                <w:sz w:val="18"/>
                <w:szCs w:val="18"/>
              </w:rPr>
              <w:t>福州市政务信息中心（福州市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数字福州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建设</w:t>
            </w:r>
            <w:r>
              <w:rPr>
                <w:rFonts w:ascii="宋体" w:hAnsi="宋体" w:cs="宋体" w:eastAsia="宋体" w:hint="default"/>
                <w:spacing w:val="-86"/>
                <w:sz w:val="18"/>
                <w:szCs w:val="18"/>
              </w:rPr>
              <w:t> </w:t>
            </w:r>
            <w:r>
              <w:rPr>
                <w:rFonts w:ascii="宋体" w:hAnsi="宋体" w:cs="宋体" w:eastAsia="宋体" w:hint="default"/>
                <w:sz w:val="18"/>
                <w:szCs w:val="18"/>
              </w:rPr>
              <w:t>领导小组办公室）</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15,420,804.00</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7.72</w:t>
            </w:r>
          </w:p>
        </w:tc>
        <w:tc>
          <w:tcPr>
            <w:tcW w:w="16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771,040.20</w:t>
            </w:r>
          </w:p>
        </w:tc>
      </w:tr>
      <w:tr>
        <w:trPr>
          <w:trHeight w:val="432"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15,200,038.02</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7.61</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784,066.75</w:t>
            </w:r>
          </w:p>
        </w:tc>
      </w:tr>
      <w:tr>
        <w:trPr>
          <w:trHeight w:val="432"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西安格蒂电力有限公司</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9,644,000.01</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4.83</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482,200.00</w:t>
            </w:r>
          </w:p>
        </w:tc>
      </w:tr>
      <w:tr>
        <w:trPr>
          <w:trHeight w:val="432"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北京航天星桥系统工程技术有限公司</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7,626,375.70</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3.82</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381,318.79</w:t>
            </w:r>
          </w:p>
        </w:tc>
      </w:tr>
      <w:tr>
        <w:trPr>
          <w:trHeight w:val="432"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天津腾云时代数据服务有限公司</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4,800,000.00</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2.40</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240,000.00</w:t>
            </w:r>
          </w:p>
        </w:tc>
      </w:tr>
      <w:tr>
        <w:trPr>
          <w:trHeight w:val="432" w:hRule="exact"/>
        </w:trPr>
        <w:tc>
          <w:tcPr>
            <w:tcW w:w="35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52,691,217.73</w:t>
            </w:r>
          </w:p>
        </w:tc>
        <w:tc>
          <w:tcPr>
            <w:tcW w:w="2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26.38</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2,658,625.74</w:t>
            </w:r>
          </w:p>
        </w:tc>
      </w:tr>
    </w:tbl>
    <w:p>
      <w:pPr>
        <w:pStyle w:val="BodyText"/>
        <w:spacing w:line="240" w:lineRule="auto" w:before="51"/>
        <w:ind w:right="2239"/>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2"/>
        <w:ind w:left="153" w:right="6821"/>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16,479,126.61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88.85%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8,412,968.54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80.14%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521,321.10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650,008.94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6.19%</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398,098.00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672,368.10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6.40%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1,147,314.32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6.19%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763,459.44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7.27%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18,545,860.03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10,498,805.02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4219"/>
        <w:gridCol w:w="2552"/>
        <w:gridCol w:w="2509"/>
      </w:tblGrid>
      <w:tr>
        <w:trPr>
          <w:trHeight w:val="783" w:hRule="exact"/>
        </w:trPr>
        <w:tc>
          <w:tcPr>
            <w:tcW w:w="4219"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1"/>
              <w:ind w:left="905" w:right="905"/>
              <w:jc w:val="center"/>
              <w:rPr>
                <w:rFonts w:ascii="宋体" w:hAnsi="宋体" w:cs="宋体" w:eastAsia="宋体" w:hint="default"/>
                <w:sz w:val="18"/>
                <w:szCs w:val="18"/>
              </w:rPr>
            </w:pPr>
            <w:r>
              <w:rPr>
                <w:rFonts w:ascii="宋体" w:hAnsi="宋体" w:cs="宋体" w:eastAsia="宋体" w:hint="default"/>
                <w:sz w:val="18"/>
                <w:szCs w:val="18"/>
              </w:rPr>
              <w:t>预付款项 期末余额</w:t>
            </w:r>
          </w:p>
        </w:tc>
        <w:tc>
          <w:tcPr>
            <w:tcW w:w="2509"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1"/>
              <w:ind w:left="630" w:right="433" w:hanging="19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 合计数的比例</w:t>
            </w:r>
            <w:r>
              <w:rPr>
                <w:rFonts w:ascii="Times New Roman" w:hAnsi="Times New Roman" w:cs="Times New Roman" w:eastAsia="Times New Roman" w:hint="default"/>
                <w:sz w:val="18"/>
                <w:szCs w:val="18"/>
              </w:rPr>
              <w:t>%</w:t>
            </w:r>
          </w:p>
        </w:tc>
      </w:tr>
      <w:tr>
        <w:trPr>
          <w:trHeight w:val="432"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联通（黑龙江）产业互联网有限公司</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2,336,694.62</w:t>
            </w:r>
          </w:p>
        </w:tc>
        <w:tc>
          <w:tcPr>
            <w:tcW w:w="250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9"/>
              <w:ind w:right="-2"/>
              <w:jc w:val="right"/>
              <w:rPr>
                <w:rFonts w:ascii="Times New Roman" w:hAnsi="Times New Roman" w:cs="Times New Roman" w:eastAsia="Times New Roman" w:hint="default"/>
                <w:sz w:val="18"/>
                <w:szCs w:val="18"/>
              </w:rPr>
            </w:pPr>
            <w:r>
              <w:rPr>
                <w:rFonts w:ascii="Times New Roman"/>
                <w:sz w:val="18"/>
              </w:rPr>
              <w:t>12.60</w:t>
            </w:r>
          </w:p>
        </w:tc>
      </w:tr>
      <w:tr>
        <w:trPr>
          <w:trHeight w:val="432"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北京超凡视幻网络科技有限公司</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1,028,532.00</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5.55</w:t>
            </w:r>
          </w:p>
        </w:tc>
      </w:tr>
      <w:tr>
        <w:trPr>
          <w:trHeight w:val="432"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福州兴汇华电子有限公司</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946,000.00</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5.10</w:t>
            </w:r>
          </w:p>
        </w:tc>
      </w:tr>
      <w:tr>
        <w:trPr>
          <w:trHeight w:val="432"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联誉信息股份有限公司</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875,175.40</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4.72</w:t>
            </w:r>
          </w:p>
        </w:tc>
      </w:tr>
      <w:tr>
        <w:trPr>
          <w:trHeight w:val="432"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宁夏丝路云大数据有限公司</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816,000.00</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4.40</w:t>
            </w:r>
          </w:p>
        </w:tc>
      </w:tr>
      <w:tr>
        <w:trPr>
          <w:trHeight w:val="433" w:hRule="exact"/>
        </w:trPr>
        <w:tc>
          <w:tcPr>
            <w:tcW w:w="4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6,002,402.02</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32.37</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603,902.82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172,951.90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44,467,106.35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45,531,489.43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54,676,009.17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61,309,441.33</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603,902.82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172,951.90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603,902.82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172,951.90</w:t>
            </w:r>
          </w:p>
        </w:tc>
      </w:tr>
    </w:tbl>
    <w:p>
      <w:pPr>
        <w:pStyle w:val="BodyText"/>
        <w:spacing w:line="240" w:lineRule="auto" w:before="51"/>
        <w:ind w:right="2239"/>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15,605,000.00</w:t>
            </w:r>
          </w:p>
        </w:tc>
      </w:tr>
    </w:tbl>
    <w:p>
      <w:pPr>
        <w:pStyle w:val="BodyText"/>
        <w:spacing w:line="240" w:lineRule="auto" w:before="51"/>
        <w:ind w:right="2239"/>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被投资单位尚未支付股 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否，公司正常经营</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9,605,000.00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55,747,7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89.38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11,280,6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44,467,10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55,653,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771.42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10,122,28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45,531,489.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55,747,7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89.38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11,280,6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44,467,10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6.35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55,653,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771.42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10,122,28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45,531,489.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26,698,891.38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1,334,944.57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10,709,306.01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1,070,930.60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11,830,980.17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2,366,196.04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6,508,611.82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6,508,611.82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55,747,789.38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11,280,683.03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20.24%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8" w:footer="977" w:top="1060" w:bottom="1160" w:left="980" w:right="0"/>
        </w:sectPr>
      </w:pPr>
    </w:p>
    <w:p>
      <w:pPr>
        <w:pStyle w:val="BodyText"/>
        <w:spacing w:line="357" w:lineRule="auto" w:before="44"/>
        <w:ind w:left="153" w:right="1779"/>
        <w:jc w:val="left"/>
      </w:pPr>
      <w:r>
        <w:rPr/>
        <w:t>确定该组合依据的说明： 组合中，采用余额百分比法计提坏账准备的其他应收款：</w:t>
      </w:r>
    </w:p>
    <w:p>
      <w:pPr>
        <w:pStyle w:val="BodyText"/>
        <w:spacing w:line="338" w:lineRule="auto" w:before="29"/>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77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8"/>
        <w:jc w:val="left"/>
      </w:pPr>
      <w:r>
        <w:rPr/>
        <w:t>本期计提坏账准备金额</w:t>
      </w:r>
      <w:r>
        <w:rPr>
          <w:spacing w:val="-46"/>
        </w:rPr>
        <w:t> </w:t>
      </w:r>
      <w:r>
        <w:rPr>
          <w:rFonts w:ascii="Times New Roman" w:hAnsi="Times New Roman" w:cs="Times New Roman" w:eastAsia="Times New Roman" w:hint="default"/>
        </w:rPr>
        <w:t>1,648,927.02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3" w:space="2375"/>
            <w:col w:w="210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2239"/>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2;top:16;width:23;height:392" coordorigin="4762,16" coordsize="23,392">
              <v:shape style="position:absolute;left:4762;top:16;width:23;height:392" coordorigin="4762,16" coordsize="23,392" path="m4762,407l4784,407,4784,16,4762,16,476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5;height:392" coordorigin="37,16" coordsize="4725,392">
              <v:shape style="position:absolute;left:37;top:16;width:4725;height:392" coordorigin="37,16" coordsize="4725,392" path="m37,407l4762,407,4762,16,37,16,37,407xe" filled="true" fillcolor="#d3d3d3" stroked="false">
                <v:path arrowok="t"/>
                <v:fill type="solid"/>
              </v:shape>
            </v:group>
            <v:group style="position:absolute;left:4794;top:16;width:24;height:392" coordorigin="4794,16" coordsize="24,392">
              <v:shape style="position:absolute;left:4794;top:16;width:24;height:392" coordorigin="4794,16" coordsize="24,392" path="m4794,407l4818,407,4818,16,4794,16,4794,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8;top:16;width:4732;height:392" coordorigin="4818,16" coordsize="4732,392">
              <v:shape style="position:absolute;left:4818;top:16;width:4732;height:392" coordorigin="4818,16" coordsize="4732,392" path="m4818,407l9550,407,9550,16,4818,16,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0;height:2" coordorigin="5,413" coordsize="4780,2">
              <v:shape style="position:absolute;left:5;top:413;width:4780;height:2" coordorigin="5,413" coordsize="4780,0" path="m5,413l4784,413e" filled="false" stroked="true" strokeweight=".48004pt" strokecolor="#000000">
                <v:path arrowok="t"/>
              </v:shape>
            </v:group>
            <v:group style="position:absolute;left:4789;top:14;width:2;height:404" coordorigin="4789,14" coordsize="2,404">
              <v:shape style="position:absolute;left:4789;top:14;width:2;height:404" coordorigin="4789,14" coordsize="0,404" path="m4789,14l4789,418e" filled="false" stroked="true" strokeweight=".48001pt" strokecolor="#000000">
                <v:path arrowok="t"/>
              </v:shape>
            </v:group>
            <v:group style="position:absolute;left:4794;top:413;width:4779;height:2" coordorigin="4794,413" coordsize="4779,2">
              <v:shape style="position:absolute;left:4794;top:413;width:4779;height:2" coordorigin="4794,413" coordsize="4779,0" path="m4794,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1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其中重要的其他应收款核销情况：</w:t>
      </w:r>
    </w:p>
    <w:p>
      <w:pPr>
        <w:pStyle w:val="BodyText"/>
        <w:spacing w:line="240" w:lineRule="auto" w:before="115"/>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3" w:right="8231"/>
        <w:jc w:val="left"/>
      </w:pPr>
      <w:r>
        <w:rPr/>
        <w:t>其他应收款核销说明： 本期无实际核销的其他应收款。</w:t>
      </w:r>
    </w:p>
    <w:p>
      <w:pPr>
        <w:spacing w:line="240" w:lineRule="auto" w:before="9"/>
        <w:rPr>
          <w:rFonts w:ascii="宋体" w:hAnsi="宋体" w:cs="宋体" w:eastAsia="宋体" w:hint="default"/>
          <w:sz w:val="25"/>
          <w:szCs w:val="25"/>
        </w:rPr>
      </w:pPr>
    </w:p>
    <w:p>
      <w:pPr>
        <w:pStyle w:val="BodyText"/>
        <w:spacing w:line="240" w:lineRule="auto" w:before="44"/>
        <w:ind w:left="153" w:right="2239"/>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35,614,371.01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39,538,336.83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12,551,463.24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11,476,159.72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1,293,124.47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1,392,234.56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3,288,830.66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3,247,040.31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55,747,789.38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55,653,771.42</w:t>
            </w:r>
          </w:p>
        </w:tc>
      </w:tr>
    </w:tbl>
    <w:p>
      <w:pPr>
        <w:pStyle w:val="BodyText"/>
        <w:spacing w:line="240" w:lineRule="auto" w:before="51"/>
        <w:ind w:right="2239"/>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郑州市金水区杨金 产业园区管委会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深圳易股天下互联 网金融服务有限公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信阳市建筑节能与 墙体材料革新办公 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1,787,196.00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357,439.20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安徽三建工程有限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1,660,682.00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2.98%</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83,034.10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管兵</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1,628,751.00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81,437.55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13,076,629.00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23.46%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1,671,910.85</w:t>
            </w:r>
          </w:p>
        </w:tc>
      </w:tr>
    </w:tbl>
    <w:p>
      <w:pPr>
        <w:pStyle w:val="BodyText"/>
        <w:spacing w:line="240" w:lineRule="auto" w:before="51"/>
        <w:ind w:right="2239"/>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2239"/>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2"/>
        <w:ind w:left="153" w:right="6641"/>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153" w:right="7511"/>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13,066,058.63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12,545,185.58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18,660,402.57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18,139,529.52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102,383,795.93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101,839,100.91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162,308,383.56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161,763,688.54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77,430,026.66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77,430,026.66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83,556,956.80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83,556,956.80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534,493,142.39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534,493,142.39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422,935,100.28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422,935,100.28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85,921,206.23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85,921,206.23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727,373,023.61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726,307,455.54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773,382,049.44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772,316,481.37</w:t>
            </w:r>
          </w:p>
        </w:tc>
      </w:tr>
    </w:tbl>
    <w:p>
      <w:pPr>
        <w:pStyle w:val="BodyText"/>
        <w:spacing w:line="338" w:lineRule="auto" w:before="51"/>
        <w:ind w:right="247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2"/>
        <w:ind w:right="2750"/>
        <w:jc w:val="left"/>
      </w:pPr>
      <w:r>
        <w:rPr/>
        <w:t>公司需遵守《深圳证券交易所行业信息披露指引第</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520,873.05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544,695.02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1,065,568.07</w:t>
            </w:r>
          </w:p>
        </w:tc>
      </w:tr>
    </w:tbl>
    <w:p>
      <w:pPr>
        <w:spacing w:line="240" w:lineRule="auto" w:before="11"/>
        <w:rPr>
          <w:rFonts w:ascii="宋体" w:hAnsi="宋体" w:cs="宋体" w:eastAsia="宋体" w:hint="default"/>
          <w:sz w:val="23"/>
          <w:szCs w:val="23"/>
        </w:rPr>
      </w:pPr>
    </w:p>
    <w:tbl>
      <w:tblPr>
        <w:tblW w:w="0" w:type="auto"/>
        <w:jc w:val="left"/>
        <w:tblInd w:w="324" w:type="dxa"/>
        <w:tblLayout w:type="fixed"/>
        <w:tblCellMar>
          <w:top w:w="0" w:type="dxa"/>
          <w:left w:w="0" w:type="dxa"/>
          <w:bottom w:w="0" w:type="dxa"/>
          <w:right w:w="0" w:type="dxa"/>
        </w:tblCellMar>
        <w:tblLook w:val="01E0"/>
      </w:tblPr>
      <w:tblGrid>
        <w:gridCol w:w="3094"/>
        <w:gridCol w:w="3094"/>
        <w:gridCol w:w="3095"/>
      </w:tblGrid>
      <w:tr>
        <w:trPr>
          <w:trHeight w:val="422" w:hRule="exact"/>
        </w:trPr>
        <w:tc>
          <w:tcPr>
            <w:tcW w:w="309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309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459" w:right="0"/>
              <w:jc w:val="left"/>
              <w:rPr>
                <w:rFonts w:ascii="宋体" w:hAnsi="宋体" w:cs="宋体" w:eastAsia="宋体" w:hint="default"/>
                <w:sz w:val="18"/>
                <w:szCs w:val="18"/>
              </w:rPr>
            </w:pPr>
            <w:r>
              <w:rPr>
                <w:rFonts w:ascii="宋体" w:hAnsi="宋体" w:cs="宋体" w:eastAsia="宋体" w:hint="default"/>
                <w:sz w:val="18"/>
                <w:szCs w:val="18"/>
              </w:rPr>
              <w:t>确定可变现净值的具体依据</w:t>
            </w:r>
          </w:p>
        </w:tc>
        <w:tc>
          <w:tcPr>
            <w:tcW w:w="309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sz w:val="18"/>
                <w:szCs w:val="18"/>
              </w:rPr>
              <w:t>本期转回或转销存货跌价准备的原因</w:t>
            </w:r>
          </w:p>
        </w:tc>
      </w:tr>
      <w:tr>
        <w:trPr>
          <w:trHeight w:val="431" w:hRule="exact"/>
        </w:trPr>
        <w:tc>
          <w:tcPr>
            <w:tcW w:w="30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0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95" w:type="dxa"/>
            <w:tcBorders>
              <w:top w:val="single" w:sz="10" w:space="0" w:color="000000"/>
              <w:left w:val="single" w:sz="6" w:space="0" w:color="000000"/>
              <w:bottom w:val="single" w:sz="6" w:space="0" w:color="000000"/>
              <w:right w:val="single" w:sz="6" w:space="0" w:color="000000"/>
            </w:tcBorders>
          </w:tcPr>
          <w:p>
            <w:pPr/>
          </w:p>
        </w:tc>
      </w:tr>
      <w:tr>
        <w:trPr>
          <w:trHeight w:val="42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30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4;top:16;width:24;height:392" coordorigin="4764,16" coordsize="24,392">
              <v:shape style="position:absolute;left:4764;top:16;width:24;height:392" coordorigin="4764,16" coordsize="24,392" path="m4764,407l4788,407,4788,16,4764,16,4764,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7;height:392" coordorigin="37,16" coordsize="4727,392">
              <v:shape style="position:absolute;left:37;top:16;width:4727;height:392" coordorigin="37,16" coordsize="4727,392" path="m37,407l4764,407,4764,16,37,16,37,407xe" filled="true" fillcolor="#d3d3d3" stroked="false">
                <v:path arrowok="t"/>
                <v:fill type="solid"/>
              </v:shape>
            </v:group>
            <v:group style="position:absolute;left:4798;top:16;width:23;height:392" coordorigin="4798,16" coordsize="23,392">
              <v:shape style="position:absolute;left:4798;top:16;width:23;height:392" coordorigin="4798,16" coordsize="23,392" path="m4798,407l4820,407,4820,16,4798,16,47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20;top:16;width:4730;height:392" coordorigin="4820,16" coordsize="4730,392">
              <v:shape style="position:absolute;left:4820;top:16;width:4730;height:392" coordorigin="4820,16" coordsize="4730,392" path="m4820,407l9550,407,9550,16,4820,16,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4;height:2" coordorigin="5,413" coordsize="4784,2">
              <v:shape style="position:absolute;left:5;top:413;width:4784;height:2" coordorigin="5,413" coordsize="4784,0" path="m5,413l4788,413e" filled="false" stroked="true" strokeweight=".47998pt" strokecolor="#000000">
                <v:path arrowok="t"/>
              </v:shape>
            </v:group>
            <v:group style="position:absolute;left:4793;top:14;width:2;height:404" coordorigin="4793,14" coordsize="2,404">
              <v:shape style="position:absolute;left:4793;top:14;width:2;height:404" coordorigin="4793,14" coordsize="0,404" path="m4793,14l4793,418e" filled="false" stroked="true" strokeweight=".48001pt" strokecolor="#000000">
                <v:path arrowok="t"/>
              </v:shape>
            </v:group>
            <v:group style="position:absolute;left:4798;top:413;width:4775;height:2" coordorigin="4798,413" coordsize="4775,2">
              <v:shape style="position:absolute;left:4798;top:413;width:4775;height:2" coordorigin="4798,413" coordsize="4775,0" path="m4798,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0;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其他说明：</w:t>
      </w:r>
    </w:p>
    <w:p>
      <w:pPr>
        <w:spacing w:line="240" w:lineRule="auto" w:before="4"/>
        <w:rPr>
          <w:rFonts w:ascii="宋体" w:hAnsi="宋体" w:cs="宋体" w:eastAsia="宋体" w:hint="default"/>
          <w:sz w:val="14"/>
          <w:szCs w:val="14"/>
        </w:rPr>
      </w:pPr>
    </w:p>
    <w:p>
      <w:pPr>
        <w:pStyle w:val="BodyText"/>
        <w:spacing w:line="240" w:lineRule="auto"/>
        <w:ind w:left="156" w:right="2239"/>
        <w:jc w:val="left"/>
      </w:pPr>
      <w:r>
        <w:rPr/>
        <w:t>（</w:t>
      </w:r>
      <w:r>
        <w:rPr>
          <w:rFonts w:ascii="等线 Light" w:hAnsi="等线 Light" w:cs="等线 Light" w:eastAsia="等线 Light" w:hint="default"/>
          <w:b w:val="0"/>
          <w:bCs w:val="0"/>
        </w:rPr>
        <w:t>一</w:t>
      </w:r>
      <w:r>
        <w:rPr/>
        <w:t>）开发成本 </w:t>
      </w:r>
    </w:p>
    <w:p>
      <w:pPr>
        <w:spacing w:line="240" w:lineRule="auto" w:before="4"/>
        <w:rPr>
          <w:rFonts w:ascii="宋体" w:hAnsi="宋体" w:cs="宋体" w:eastAsia="宋体" w:hint="default"/>
          <w:sz w:val="18"/>
          <w:szCs w:val="18"/>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21"/>
          <w:szCs w:val="21"/>
        </w:rPr>
      </w:pPr>
    </w:p>
    <w:tbl>
      <w:tblPr>
        <w:tblW w:w="0" w:type="auto"/>
        <w:jc w:val="left"/>
        <w:tblInd w:w="324" w:type="dxa"/>
        <w:tblLayout w:type="fixed"/>
        <w:tblCellMar>
          <w:top w:w="0" w:type="dxa"/>
          <w:left w:w="0" w:type="dxa"/>
          <w:bottom w:w="0" w:type="dxa"/>
          <w:right w:w="0" w:type="dxa"/>
        </w:tblCellMar>
        <w:tblLook w:val="01E0"/>
      </w:tblPr>
      <w:tblGrid>
        <w:gridCol w:w="1711"/>
        <w:gridCol w:w="1181"/>
        <w:gridCol w:w="1319"/>
        <w:gridCol w:w="893"/>
        <w:gridCol w:w="1676"/>
        <w:gridCol w:w="1675"/>
        <w:gridCol w:w="827"/>
      </w:tblGrid>
      <w:tr>
        <w:trPr>
          <w:trHeight w:val="658" w:hRule="exact"/>
        </w:trPr>
        <w:tc>
          <w:tcPr>
            <w:tcW w:w="171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8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131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89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57" w:right="168" w:hanging="90"/>
              <w:jc w:val="left"/>
              <w:rPr>
                <w:rFonts w:ascii="宋体" w:hAnsi="宋体" w:cs="宋体" w:eastAsia="宋体" w:hint="default"/>
                <w:sz w:val="18"/>
                <w:szCs w:val="18"/>
              </w:rPr>
            </w:pPr>
            <w:r>
              <w:rPr>
                <w:rFonts w:ascii="宋体" w:hAnsi="宋体" w:cs="宋体" w:eastAsia="宋体" w:hint="default"/>
                <w:sz w:val="18"/>
                <w:szCs w:val="18"/>
              </w:rPr>
              <w:t>预计总 投资</w:t>
            </w:r>
          </w:p>
        </w:tc>
        <w:tc>
          <w:tcPr>
            <w:tcW w:w="167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7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82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225" w:right="44" w:hanging="180"/>
              <w:jc w:val="left"/>
              <w:rPr>
                <w:rFonts w:ascii="宋体" w:hAnsi="宋体" w:cs="宋体" w:eastAsia="宋体" w:hint="default"/>
                <w:sz w:val="18"/>
                <w:szCs w:val="18"/>
              </w:rPr>
            </w:pPr>
            <w:r>
              <w:rPr>
                <w:rFonts w:ascii="宋体" w:hAnsi="宋体" w:cs="宋体" w:eastAsia="宋体" w:hint="default"/>
                <w:sz w:val="18"/>
                <w:szCs w:val="18"/>
              </w:rPr>
              <w:t>期末跌价 准备</w:t>
            </w:r>
          </w:p>
        </w:tc>
      </w:tr>
      <w:tr>
        <w:trPr>
          <w:trHeight w:val="659"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08" w:right="126" w:hanging="180"/>
              <w:jc w:val="left"/>
              <w:rPr>
                <w:rFonts w:ascii="宋体" w:hAnsi="宋体" w:cs="宋体" w:eastAsia="宋体" w:hint="default"/>
                <w:sz w:val="18"/>
                <w:szCs w:val="18"/>
              </w:rPr>
            </w:pPr>
            <w:r>
              <w:rPr>
                <w:rFonts w:ascii="宋体" w:hAnsi="宋体" w:cs="宋体" w:eastAsia="宋体" w:hint="default"/>
                <w:sz w:val="18"/>
                <w:szCs w:val="18"/>
              </w:rPr>
              <w:t>马鞍山智慧园项目 二、三期工程</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16,423,395.86</w:t>
            </w:r>
          </w:p>
        </w:tc>
        <w:tc>
          <w:tcPr>
            <w:tcW w:w="82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信阳榕基软件园项目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亿元</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34" w:right="0"/>
              <w:jc w:val="left"/>
              <w:rPr>
                <w:rFonts w:ascii="Times New Roman" w:hAnsi="Times New Roman" w:cs="Times New Roman" w:eastAsia="Times New Roman" w:hint="default"/>
                <w:sz w:val="18"/>
                <w:szCs w:val="18"/>
              </w:rPr>
            </w:pPr>
            <w:r>
              <w:rPr>
                <w:rFonts w:ascii="Times New Roman"/>
                <w:sz w:val="18"/>
              </w:rPr>
              <w:t>347,404,357.42</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219,713,819.45</w:t>
            </w:r>
          </w:p>
        </w:tc>
        <w:tc>
          <w:tcPr>
            <w:tcW w:w="82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8" w:right="36" w:hanging="540"/>
              <w:jc w:val="left"/>
              <w:rPr>
                <w:rFonts w:ascii="宋体" w:hAnsi="宋体" w:cs="宋体" w:eastAsia="宋体" w:hint="default"/>
                <w:sz w:val="18"/>
                <w:szCs w:val="18"/>
              </w:rPr>
            </w:pPr>
            <w:r>
              <w:rPr>
                <w:rFonts w:ascii="宋体" w:hAnsi="宋体" w:cs="宋体" w:eastAsia="宋体" w:hint="default"/>
                <w:sz w:val="18"/>
                <w:szCs w:val="18"/>
              </w:rPr>
              <w:t>郑州市金水区科教新 城项目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亿元</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187,088,784.97</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186,797,884.97</w:t>
            </w:r>
          </w:p>
        </w:tc>
        <w:tc>
          <w:tcPr>
            <w:tcW w:w="82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181"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4" w:right="0"/>
              <w:jc w:val="left"/>
              <w:rPr>
                <w:rFonts w:ascii="Times New Roman" w:hAnsi="Times New Roman" w:cs="Times New Roman" w:eastAsia="Times New Roman" w:hint="default"/>
                <w:sz w:val="18"/>
                <w:szCs w:val="18"/>
              </w:rPr>
            </w:pPr>
            <w:r>
              <w:rPr>
                <w:rFonts w:ascii="Times New Roman"/>
                <w:sz w:val="18"/>
              </w:rPr>
              <w:t>534,493,142.39</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422,935,100.28</w:t>
            </w:r>
          </w:p>
        </w:tc>
        <w:tc>
          <w:tcPr>
            <w:tcW w:w="8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5"/>
          <w:szCs w:val="5"/>
        </w:rPr>
      </w:pPr>
    </w:p>
    <w:p>
      <w:pPr>
        <w:pStyle w:val="BodyText"/>
        <w:spacing w:line="240" w:lineRule="auto" w:before="44"/>
        <w:ind w:left="156" w:right="2239"/>
        <w:jc w:val="left"/>
      </w:pPr>
      <w:r>
        <w:rPr/>
        <w:t>（</w:t>
      </w:r>
      <w:r>
        <w:rPr>
          <w:rFonts w:ascii="等线 Light" w:hAnsi="等线 Light" w:cs="等线 Light" w:eastAsia="等线 Light" w:hint="default"/>
          <w:b w:val="0"/>
          <w:bCs w:val="0"/>
        </w:rPr>
        <w:t>二</w:t>
      </w:r>
      <w:r>
        <w:rPr/>
        <w:t>）开发产品 </w:t>
      </w:r>
    </w:p>
    <w:p>
      <w:pPr>
        <w:spacing w:line="240" w:lineRule="auto" w:before="4"/>
        <w:rPr>
          <w:rFonts w:ascii="宋体" w:hAnsi="宋体" w:cs="宋体" w:eastAsia="宋体" w:hint="default"/>
          <w:sz w:val="18"/>
          <w:szCs w:val="18"/>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21"/>
          <w:szCs w:val="21"/>
        </w:rPr>
      </w:pPr>
    </w:p>
    <w:tbl>
      <w:tblPr>
        <w:tblW w:w="0" w:type="auto"/>
        <w:jc w:val="left"/>
        <w:tblInd w:w="324" w:type="dxa"/>
        <w:tblLayout w:type="fixed"/>
        <w:tblCellMar>
          <w:top w:w="0" w:type="dxa"/>
          <w:left w:w="0" w:type="dxa"/>
          <w:bottom w:w="0" w:type="dxa"/>
          <w:right w:w="0" w:type="dxa"/>
        </w:tblCellMar>
        <w:tblLook w:val="01E0"/>
      </w:tblPr>
      <w:tblGrid>
        <w:gridCol w:w="1217"/>
        <w:gridCol w:w="1218"/>
        <w:gridCol w:w="1559"/>
        <w:gridCol w:w="1442"/>
        <w:gridCol w:w="1560"/>
        <w:gridCol w:w="1218"/>
        <w:gridCol w:w="1066"/>
      </w:tblGrid>
      <w:tr>
        <w:trPr>
          <w:trHeight w:val="658" w:hRule="exact"/>
        </w:trPr>
        <w:tc>
          <w:tcPr>
            <w:tcW w:w="121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1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55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1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0"/>
              <w:ind w:left="435" w:right="74" w:hanging="360"/>
              <w:jc w:val="left"/>
              <w:rPr>
                <w:rFonts w:ascii="宋体" w:hAnsi="宋体" w:cs="宋体" w:eastAsia="宋体" w:hint="default"/>
                <w:sz w:val="18"/>
                <w:szCs w:val="18"/>
              </w:rPr>
            </w:pPr>
            <w:r>
              <w:rPr>
                <w:rFonts w:ascii="宋体" w:hAnsi="宋体" w:cs="宋体" w:eastAsia="宋体" w:hint="default"/>
                <w:sz w:val="18"/>
                <w:szCs w:val="18"/>
              </w:rPr>
              <w:t>期末跌价准 备</w:t>
            </w:r>
          </w:p>
        </w:tc>
      </w:tr>
      <w:tr>
        <w:trPr>
          <w:trHeight w:val="348"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马鞍山智慧园</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06" w:right="0"/>
              <w:jc w:val="left"/>
              <w:rPr>
                <w:rFonts w:ascii="Times New Roman" w:hAnsi="Times New Roman" w:cs="Times New Roman" w:eastAsia="Times New Roman" w:hint="default"/>
                <w:sz w:val="18"/>
                <w:szCs w:val="18"/>
              </w:rPr>
            </w:pPr>
            <w:r>
              <w:rPr>
                <w:rFonts w:ascii="Times New Roman"/>
                <w:sz w:val="18"/>
              </w:rPr>
              <w:t>85,921,206.23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81" w:right="0"/>
              <w:jc w:val="left"/>
              <w:rPr>
                <w:rFonts w:ascii="Times New Roman" w:hAnsi="Times New Roman" w:cs="Times New Roman" w:eastAsia="Times New Roman" w:hint="default"/>
                <w:sz w:val="18"/>
                <w:szCs w:val="18"/>
              </w:rPr>
            </w:pPr>
            <w:r>
              <w:rPr>
                <w:rFonts w:ascii="Times New Roman"/>
                <w:sz w:val="18"/>
              </w:rPr>
              <w:t>4,767,237.25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07" w:right="0"/>
              <w:jc w:val="left"/>
              <w:rPr>
                <w:rFonts w:ascii="Times New Roman" w:hAnsi="Times New Roman" w:cs="Times New Roman" w:eastAsia="Times New Roman" w:hint="default"/>
                <w:sz w:val="18"/>
                <w:szCs w:val="18"/>
              </w:rPr>
            </w:pPr>
            <w:r>
              <w:rPr>
                <w:rFonts w:ascii="Times New Roman"/>
                <w:sz w:val="18"/>
              </w:rPr>
              <w:t>90,688,443.48</w:t>
            </w:r>
          </w:p>
        </w:tc>
        <w:tc>
          <w:tcPr>
            <w:tcW w:w="1218"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324" w:type="dxa"/>
        <w:tblLayout w:type="fixed"/>
        <w:tblCellMar>
          <w:top w:w="0" w:type="dxa"/>
          <w:left w:w="0" w:type="dxa"/>
          <w:bottom w:w="0" w:type="dxa"/>
          <w:right w:w="0" w:type="dxa"/>
        </w:tblCellMar>
        <w:tblLook w:val="01E0"/>
      </w:tblPr>
      <w:tblGrid>
        <w:gridCol w:w="1217"/>
        <w:gridCol w:w="1218"/>
        <w:gridCol w:w="1559"/>
        <w:gridCol w:w="1442"/>
        <w:gridCol w:w="1560"/>
        <w:gridCol w:w="1218"/>
        <w:gridCol w:w="1068"/>
      </w:tblGrid>
      <w:tr>
        <w:trPr>
          <w:trHeight w:val="348"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 w:right="0"/>
              <w:jc w:val="left"/>
              <w:rPr>
                <w:rFonts w:ascii="宋体" w:hAnsi="宋体" w:cs="宋体" w:eastAsia="宋体" w:hint="default"/>
                <w:sz w:val="18"/>
                <w:szCs w:val="18"/>
              </w:rPr>
            </w:pPr>
            <w:r>
              <w:rPr>
                <w:rFonts w:ascii="宋体" w:hAnsi="宋体" w:cs="宋体" w:eastAsia="宋体" w:hint="default"/>
                <w:sz w:val="18"/>
                <w:szCs w:val="18"/>
              </w:rPr>
              <w:t>项目一期工程</w:t>
            </w:r>
          </w:p>
        </w:tc>
        <w:tc>
          <w:tcPr>
            <w:tcW w:w="121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0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right="2239"/>
        <w:jc w:val="left"/>
      </w:pPr>
      <w:r>
        <w:rPr/>
        <w:t>说明：</w:t>
      </w:r>
    </w:p>
    <w:p>
      <w:pPr>
        <w:spacing w:line="240" w:lineRule="auto" w:before="5"/>
        <w:rPr>
          <w:rFonts w:ascii="宋体" w:hAnsi="宋体" w:cs="宋体" w:eastAsia="宋体" w:hint="default"/>
          <w:sz w:val="22"/>
          <w:szCs w:val="22"/>
        </w:rPr>
      </w:pPr>
    </w:p>
    <w:p>
      <w:pPr>
        <w:pStyle w:val="BodyText"/>
        <w:spacing w:line="300" w:lineRule="auto"/>
        <w:ind w:left="153" w:right="1130" w:firstLine="360"/>
        <w:jc w:val="both"/>
      </w:pPr>
      <w:r>
        <w:rPr>
          <w:spacing w:val="-1"/>
        </w:rPr>
        <w:t>本期减少系</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月，本集团管理层因优化公司资产配置，决定将其直接持股</w:t>
      </w:r>
      <w:r>
        <w:rPr>
          <w:rFonts w:ascii="Times New Roman" w:hAnsi="Times New Roman" w:cs="Times New Roman" w:eastAsia="Times New Roman" w:hint="default"/>
          <w:spacing w:val="-1"/>
        </w:rPr>
        <w:t>100%</w:t>
      </w:r>
      <w:r>
        <w:rPr>
          <w:spacing w:val="-1"/>
        </w:rPr>
        <w:t>的马鞍山榕基软件信息科技有限公</w:t>
      </w:r>
      <w:r>
        <w:rPr/>
        <w:t> </w:t>
      </w:r>
      <w:r>
        <w:rPr>
          <w:spacing w:val="-1"/>
        </w:rPr>
        <w:t>司及其间接持股</w:t>
      </w:r>
      <w:r>
        <w:rPr>
          <w:rFonts w:ascii="Times New Roman" w:hAnsi="Times New Roman" w:cs="Times New Roman" w:eastAsia="Times New Roman" w:hint="default"/>
          <w:spacing w:val="-1"/>
        </w:rPr>
        <w:t>100%</w:t>
      </w:r>
      <w:r>
        <w:rPr>
          <w:spacing w:val="-1"/>
        </w:rPr>
        <w:t>的马鞍山榕基置业投资有限公司出售给北京海圣投资基金管理有限公司。上述拟出售的直接持股</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10"/>
        </w:rPr>
        <w:t> </w:t>
      </w:r>
      <w:r>
        <w:rPr/>
        <w:t>的马鞍山榕基软件信息科技有限公司及间接持股</w:t>
      </w:r>
      <w:r>
        <w:rPr>
          <w:rFonts w:ascii="Times New Roman" w:hAnsi="Times New Roman" w:cs="Times New Roman" w:eastAsia="Times New Roman" w:hint="default"/>
        </w:rPr>
        <w:t>100%</w:t>
      </w:r>
      <w:r>
        <w:rPr/>
        <w:t>的马鞍山榕基置业投资有限公司的资产作为持有待售资产列报。</w:t>
      </w:r>
    </w:p>
    <w:p>
      <w:pPr>
        <w:spacing w:line="240" w:lineRule="auto" w:before="1"/>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马鞍山榕基软件信息科 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175,650,333.43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175,650,333.43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15"/>
          <w:szCs w:val="15"/>
        </w:rPr>
      </w:pPr>
    </w:p>
    <w:p>
      <w:pPr>
        <w:pStyle w:val="BodyText"/>
        <w:spacing w:line="537" w:lineRule="auto"/>
        <w:ind w:left="514" w:right="6470"/>
        <w:jc w:val="left"/>
      </w:pPr>
      <w:r>
        <w:rPr/>
        <w:t>详见本附注五之5（5）（1）持有待售的处置组。 马鞍山榕基软件信息科技有限公司 </w:t>
      </w:r>
    </w:p>
    <w:p>
      <w:pPr>
        <w:pStyle w:val="BodyText"/>
        <w:spacing w:line="240" w:lineRule="auto" w:before="69"/>
        <w:ind w:left="0" w:right="1041"/>
        <w:jc w:val="right"/>
      </w:pPr>
      <w:r>
        <w:rPr/>
        <w:t>单位： 元 </w:t>
      </w:r>
    </w:p>
    <w:p>
      <w:pPr>
        <w:spacing w:line="240" w:lineRule="auto" w:before="7"/>
        <w:rPr>
          <w:rFonts w:ascii="宋体" w:hAnsi="宋体" w:cs="宋体" w:eastAsia="宋体" w:hint="default"/>
          <w:sz w:val="21"/>
          <w:szCs w:val="21"/>
        </w:rPr>
      </w:pPr>
    </w:p>
    <w:tbl>
      <w:tblPr>
        <w:tblW w:w="0" w:type="auto"/>
        <w:jc w:val="left"/>
        <w:tblInd w:w="322" w:type="dxa"/>
        <w:tblLayout w:type="fixed"/>
        <w:tblCellMar>
          <w:top w:w="0" w:type="dxa"/>
          <w:left w:w="0" w:type="dxa"/>
          <w:bottom w:w="0" w:type="dxa"/>
          <w:right w:w="0" w:type="dxa"/>
        </w:tblCellMar>
        <w:tblLook w:val="01E0"/>
      </w:tblPr>
      <w:tblGrid>
        <w:gridCol w:w="3226"/>
        <w:gridCol w:w="2018"/>
        <w:gridCol w:w="2017"/>
        <w:gridCol w:w="2021"/>
      </w:tblGrid>
      <w:tr>
        <w:trPr>
          <w:trHeight w:val="412" w:hRule="exact"/>
        </w:trPr>
        <w:tc>
          <w:tcPr>
            <w:tcW w:w="3226"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18"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17"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021"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9" w:right="0"/>
              <w:jc w:val="left"/>
              <w:rPr>
                <w:rFonts w:ascii="宋体" w:hAnsi="宋体" w:cs="宋体" w:eastAsia="宋体" w:hint="default"/>
                <w:sz w:val="18"/>
                <w:szCs w:val="18"/>
              </w:rPr>
            </w:pPr>
            <w:r>
              <w:rPr>
                <w:rFonts w:ascii="宋体" w:hAnsi="宋体" w:cs="宋体" w:eastAsia="宋体" w:hint="default"/>
                <w:sz w:val="18"/>
                <w:szCs w:val="18"/>
              </w:rPr>
              <w:t>预计出售费用</w:t>
            </w:r>
          </w:p>
        </w:tc>
      </w:tr>
      <w:tr>
        <w:trPr>
          <w:trHeight w:val="452" w:hRule="exact"/>
        </w:trPr>
        <w:tc>
          <w:tcPr>
            <w:tcW w:w="32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持有待售的处置组中的资产</w:t>
            </w:r>
          </w:p>
        </w:tc>
        <w:tc>
          <w:tcPr>
            <w:tcW w:w="2018" w:type="dxa"/>
            <w:tcBorders>
              <w:top w:val="single" w:sz="12" w:space="0" w:color="000000"/>
              <w:left w:val="single" w:sz="8" w:space="0" w:color="000000"/>
              <w:bottom w:val="single" w:sz="8" w:space="0" w:color="000000"/>
              <w:right w:val="single" w:sz="8" w:space="0" w:color="000000"/>
            </w:tcBorders>
          </w:tcPr>
          <w:p>
            <w:pPr/>
          </w:p>
        </w:tc>
        <w:tc>
          <w:tcPr>
            <w:tcW w:w="2017" w:type="dxa"/>
            <w:tcBorders>
              <w:top w:val="single" w:sz="12" w:space="0" w:color="000000"/>
              <w:left w:val="single" w:sz="8" w:space="0" w:color="000000"/>
              <w:bottom w:val="single" w:sz="8" w:space="0" w:color="000000"/>
              <w:right w:val="single" w:sz="8" w:space="0" w:color="000000"/>
            </w:tcBorders>
          </w:tcPr>
          <w:p>
            <w:pPr/>
          </w:p>
        </w:tc>
        <w:tc>
          <w:tcPr>
            <w:tcW w:w="2021" w:type="dxa"/>
            <w:tcBorders>
              <w:top w:val="single" w:sz="12"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1,599,544.53</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1,599,544.53</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2,066,298.17</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2,066,298.17</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373,406.35</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373,406.35</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87,898,633.86</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87,898,633.86</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35,088.61</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35,088.61</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76,709,922.00</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76,709,922.00</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3,444,175.68</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3,444,175.68</w:t>
            </w:r>
          </w:p>
        </w:tc>
        <w:tc>
          <w:tcPr>
            <w:tcW w:w="2021"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1"/>
                <w:sz w:val="18"/>
              </w:rPr>
              <w:t>3,523,264.23</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3,523,264.23</w:t>
            </w:r>
          </w:p>
        </w:tc>
        <w:tc>
          <w:tcPr>
            <w:tcW w:w="202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17,986,189.15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41,048,194.99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4,299,148.10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555,826.19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20,268,081.31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408,340,000.00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785,000,000.00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450,893,418.56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826,604,021.18</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14"/>
          <w:szCs w:val="14"/>
        </w:rPr>
      </w:pPr>
    </w:p>
    <w:p>
      <w:pPr>
        <w:pStyle w:val="BodyText"/>
        <w:spacing w:line="316" w:lineRule="auto"/>
        <w:ind w:right="1120" w:firstLine="360"/>
        <w:jc w:val="left"/>
      </w:pPr>
      <w:r>
        <w:rPr/>
        <w:t>期末其他流动资产主要系本集团购买的保本浮动收益理财产品及结构性存款，因该产品无活跃市场且期限短于1年，故 列示在其他流动资产中。 </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47,900,000.00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47,900,000.00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47,900,000.00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47,900,000.00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47,900,000.00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47,900,000.00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2,272,452.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智润科技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2239"/>
        <w:jc w:val="left"/>
      </w:pPr>
      <w:r>
        <w:rPr/>
        <w:t>其他说明</w:t>
      </w:r>
    </w:p>
    <w:p>
      <w:pPr>
        <w:pStyle w:val="BodyText"/>
        <w:spacing w:line="240" w:lineRule="auto" w:before="116"/>
        <w:ind w:left="514" w:right="2239"/>
        <w:jc w:val="left"/>
      </w:pPr>
      <w:r>
        <w:rPr/>
        <w:t>被投资单位系非上市公司，公允价值无法可靠计量，故采用成本计量。</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79,098,67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2,564,064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81,662,73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7.62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福建文鑫 莲业有限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28,042,17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-1,208,48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26,833,68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建宁县日 升投资有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3,228,110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-421,443.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1,517,138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114,685,6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87.77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2,451,272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117,136,9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114,685,6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87.77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2,451,272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117,136,9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60.65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39,505,705.75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39,505,705.75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39,976,547.67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39,976,547.67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2"/>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39,976,547.67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39,976,547.67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79,482,253.42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79,482,253.42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79,482,253.42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79,482,253.42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1,457,069.78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1,457,069.78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1,315,261.64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1,315,261.64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1,315,261.64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1,315,261.64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2,772,331.42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2,772,331.42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2,772,331.42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2,772,331.42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38,048,635.97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38,048,635.97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76,709,922.00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2239"/>
        <w:jc w:val="left"/>
      </w:pPr>
      <w:r>
        <w:rPr/>
        <w:t>其他转出系因出售转入持有待售资产列报，详见本附注五之</w:t>
      </w:r>
      <w:r>
        <w:rPr>
          <w:rFonts w:ascii="Times New Roman" w:hAnsi="Times New Roman" w:cs="Times New Roman" w:eastAsia="Times New Roman" w:hint="default"/>
        </w:rPr>
        <w:t>5</w:t>
      </w:r>
      <w:r>
        <w:rPr/>
        <w:t>（</w:t>
      </w:r>
      <w:r>
        <w:rPr>
          <w:rFonts w:ascii="Times New Roman" w:hAnsi="Times New Roman" w:cs="Times New Roman" w:eastAsia="Times New Roman" w:hint="default"/>
        </w:rPr>
        <w:t>5</w:t>
      </w:r>
      <w:r>
        <w:rPr/>
        <w:t>）。</w:t>
      </w:r>
    </w:p>
    <w:p>
      <w:pPr>
        <w:spacing w:line="240" w:lineRule="auto" w:before="10"/>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187"/>
        <w:gridCol w:w="3187"/>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20,211,068.83</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36,571,761.90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20,211,068.83</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36,571,761.90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11,707,099.76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20,483,222.85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67,409,436.70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5,431,573.24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105,031,332.55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728,763.09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1,800,664.50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158,416.87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2,687,844.46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728,763.09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1,800,664.50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158,416.87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2,687,844.46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8,102,099.76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1,885,418.04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34,803,223.10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1,350,245.60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46,140,986.50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5,685,500.88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1,885,418.04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34,263,493.90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65,855.60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41,900,268.42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2,416,598.88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539,729.20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1,284,390.00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4,240,718.08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19,326,567.90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34,406,878.10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4,239,744.51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61,578,190.51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3,066,684.91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9,235,335.63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53,891,343.25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2,266,206.86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68,459,570.65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734,996.70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2,403,598.01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4,865,738.93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600,182.60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8,604,516.24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734,996.70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2,403,598.01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4,865,738.93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600,182.60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8,604,516.24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1,073,518.33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1,485,406.40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32,790,175.94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347,864.54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35,696,965.21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843,941.51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1,485,406.40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32,508,512.10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62,562.80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34,900,422.81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229,576.82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281,663.84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285,301.74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796,542.40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2,728,163.28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10,153,527.24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25,966,906.24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2,518,524.92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41,367,121.68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876,836.72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9,173,040.66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8,439,971.86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1,721,219.59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20,211,068.83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8,640,414.85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11,247,887.22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13,518,093.45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3,165,366.38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36,571,761.90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2;top:16;width:23;height:392" coordorigin="4762,16" coordsize="23,392">
              <v:shape style="position:absolute;left:4762;top:16;width:23;height:392" coordorigin="4762,16" coordsize="23,392" path="m4762,407l4784,407,4784,16,4762,16,4762,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5;height:392" coordorigin="37,16" coordsize="4725,392">
              <v:shape style="position:absolute;left:37;top:16;width:4725;height:392" coordorigin="37,16" coordsize="4725,392" path="m37,407l4762,407,4762,16,37,16,37,407xe" filled="true" fillcolor="#d3d3d3" stroked="false">
                <v:path arrowok="t"/>
                <v:fill type="solid"/>
              </v:shape>
            </v:group>
            <v:group style="position:absolute;left:4794;top:16;width:24;height:392" coordorigin="4794,16" coordsize="24,392">
              <v:shape style="position:absolute;left:4794;top:16;width:24;height:392" coordorigin="4794,16" coordsize="24,392" path="m4794,407l4818,407,4818,16,4794,16,4794,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18;top:16;width:4732;height:392" coordorigin="4818,16" coordsize="4732,392">
              <v:shape style="position:absolute;left:4818;top:16;width:4732;height:392" coordorigin="4818,16" coordsize="4732,392" path="m4818,407l9550,407,9550,16,4818,16,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0;height:2" coordorigin="5,413" coordsize="4780,2">
              <v:shape style="position:absolute;left:5;top:413;width:4780;height:2" coordorigin="5,413" coordsize="4780,0" path="m5,413l4784,413e" filled="false" stroked="true" strokeweight=".48004pt" strokecolor="#000000">
                <v:path arrowok="t"/>
              </v:shape>
            </v:group>
            <v:group style="position:absolute;left:4789;top:14;width:2;height:404" coordorigin="4789,14" coordsize="2,404">
              <v:shape style="position:absolute;left:4789;top:14;width:2;height:404" coordorigin="4789,14" coordsize="0,404" path="m4789,14l4789,418e" filled="false" stroked="true" strokeweight=".48001pt" strokecolor="#000000">
                <v:path arrowok="t"/>
              </v:shape>
            </v:group>
            <v:group style="position:absolute;left:4794;top:413;width:4779;height:2" coordorigin="4794,413" coordsize="4779,2">
              <v:shape style="position:absolute;left:4794;top:413;width:4779;height:2" coordorigin="4794,413" coordsize="4779,0" path="m4794,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1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2,187,022.06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2239"/>
        <w:jc w:val="left"/>
      </w:pPr>
      <w:r>
        <w:rPr/>
        <w:t>①期末，本集团无抵押、担保、暂时闲置的固定资产； </w:t>
      </w:r>
    </w:p>
    <w:p>
      <w:pPr>
        <w:spacing w:line="240" w:lineRule="auto" w:before="5"/>
        <w:rPr>
          <w:rFonts w:ascii="宋体" w:hAnsi="宋体" w:cs="宋体" w:eastAsia="宋体" w:hint="default"/>
          <w:sz w:val="22"/>
          <w:szCs w:val="22"/>
        </w:rPr>
      </w:pPr>
    </w:p>
    <w:p>
      <w:pPr>
        <w:pStyle w:val="BodyText"/>
        <w:spacing w:line="240" w:lineRule="auto"/>
        <w:ind w:left="514" w:right="2239"/>
        <w:jc w:val="left"/>
      </w:pPr>
      <w:r>
        <w:rPr/>
        <w:t>         ②期末，固定资产不存在减值情形； </w:t>
      </w:r>
    </w:p>
    <w:p>
      <w:pPr>
        <w:spacing w:line="240" w:lineRule="auto" w:before="5"/>
        <w:rPr>
          <w:rFonts w:ascii="宋体" w:hAnsi="宋体" w:cs="宋体" w:eastAsia="宋体" w:hint="default"/>
          <w:sz w:val="22"/>
          <w:szCs w:val="22"/>
        </w:rPr>
      </w:pPr>
    </w:p>
    <w:p>
      <w:pPr>
        <w:pStyle w:val="BodyText"/>
        <w:spacing w:line="240" w:lineRule="auto"/>
        <w:ind w:left="514" w:right="2239"/>
        <w:jc w:val="left"/>
      </w:pPr>
      <w:r>
        <w:rPr/>
        <w:t>         ③其他减少系因出售转入持有待售资产列报，详见本附注五之5（5）。</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206,642,453.30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148,040,779.90</w:t>
            </w: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206,642,453.30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148,040,779.90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205,032,070.91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205,032,070.91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147,945,496.88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147,945,496.88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软件及服务外包 产业基地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1,610,382.39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1,610,382.39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95,283.02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95,283.02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206,642,453.30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206,642,453.30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148,040,779.90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148,040,779.90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上海榕 基软件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417,067,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147,945,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496.88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57,086,5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205,032,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建设过 程中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417,067,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147,945,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496.88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57,086,5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205,032,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070.91</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2239"/>
        <w:jc w:val="left"/>
      </w:pPr>
      <w:r>
        <w:rPr/>
        <w:t>其他说明</w:t>
      </w:r>
    </w:p>
    <w:p>
      <w:pPr>
        <w:pStyle w:val="BodyText"/>
        <w:spacing w:line="240" w:lineRule="auto" w:before="116"/>
        <w:ind w:left="514" w:right="2239"/>
        <w:jc w:val="left"/>
      </w:pPr>
      <w:r>
        <w:rPr/>
        <w:t>期末，在建工程不存在减值情形。</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2"/>
        <w:gridCol w:w="1328"/>
        <w:gridCol w:w="1328"/>
        <w:gridCol w:w="1196"/>
        <w:gridCol w:w="1195"/>
        <w:gridCol w:w="1196"/>
        <w:gridCol w:w="1190"/>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34,919,250.95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172,117,849.17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290,467,100.12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9,471,720.10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28,764.21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36,248,096.47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45,748,580.78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9,471,720.10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28,764.21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9,500,484.31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r>
              <w:rPr>
                <w:rFonts w:ascii="宋体" w:hAnsi="宋体" w:cs="宋体" w:eastAsia="宋体" w:hint="default"/>
                <w:sz w:val="18"/>
                <w:szCs w:val="18"/>
              </w:rPr>
              <w:t> 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36,248,096.47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36,248,096.47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92,901,720.10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34,939,015.16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208,365,945.64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336,206,680.90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4,862,700.00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27,708,177.34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129,965,845.44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162,536,722.78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1,763,634.00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2,808,181.51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28,372,432.48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32,944,247.99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1,763,634.00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2,808,181.51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28,372,432.48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32,944,247.99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6,626,334.00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30,507,358.85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158,338,277.92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195,471,970.77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86,275,386.10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4,431,656.31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50,027,667.72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140,734,710.13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116"/>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78,567,300.00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7,211,073.61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42,152,003.73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127,930,377.34</w:t>
            </w:r>
          </w:p>
        </w:tc>
      </w:tr>
    </w:tbl>
    <w:p>
      <w:pPr>
        <w:pStyle w:val="BodyText"/>
        <w:spacing w:line="240" w:lineRule="auto" w:before="51"/>
        <w:ind w:left="514" w:right="2239"/>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61.98%</w:t>
      </w:r>
      <w:r>
        <w:rPr/>
        <w:t>。</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2239"/>
        <w:jc w:val="left"/>
      </w:pPr>
      <w:r>
        <w:rPr/>
        <w:t>其他说明：</w:t>
      </w:r>
    </w:p>
    <w:p>
      <w:pPr>
        <w:pStyle w:val="BodyText"/>
        <w:spacing w:line="240" w:lineRule="auto" w:before="116"/>
        <w:ind w:left="334" w:right="2239"/>
        <w:jc w:val="left"/>
      </w:pPr>
      <w:r>
        <w:rPr/>
        <w:t>①</w:t>
      </w:r>
      <w:r>
        <w:rPr>
          <w:spacing w:val="-30"/>
        </w:rPr>
        <w:t> </w:t>
      </w:r>
      <w:r>
        <w:rPr/>
        <w:t>期末，本公司无抵押、担保或未办妥产权证书的土地使用权。</w:t>
      </w:r>
    </w:p>
    <w:p>
      <w:pPr>
        <w:pStyle w:val="BodyText"/>
        <w:spacing w:line="240" w:lineRule="auto" w:before="116"/>
        <w:ind w:left="333" w:right="2239"/>
        <w:jc w:val="left"/>
      </w:pPr>
      <w:r>
        <w:rPr/>
        <w:t>②</w:t>
      </w:r>
      <w:r>
        <w:rPr>
          <w:spacing w:val="-30"/>
        </w:rPr>
        <w:t> </w:t>
      </w:r>
      <w:r>
        <w:rPr/>
        <w:t>期末无形资产不存在减值情形。</w:t>
      </w:r>
    </w:p>
    <w:p>
      <w:pPr>
        <w:spacing w:line="240" w:lineRule="auto" w:before="0"/>
        <w:rPr>
          <w:rFonts w:ascii="宋体" w:hAnsi="宋体" w:cs="宋体" w:eastAsia="宋体" w:hint="default"/>
          <w:sz w:val="18"/>
          <w:szCs w:val="18"/>
        </w:rPr>
      </w:pPr>
    </w:p>
    <w:p>
      <w:pPr>
        <w:pStyle w:val="Heading3"/>
        <w:spacing w:line="240" w:lineRule="auto" w:before="118"/>
        <w:ind w:right="2239"/>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1"/>
        <w:gridCol w:w="1701"/>
        <w:gridCol w:w="1702"/>
        <w:gridCol w:w="1416"/>
        <w:gridCol w:w="1488"/>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17,612,704.41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5,216,734.84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22,829,439.25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2,731,196.17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1,146,699.57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3,877,895.74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智慧城市便民服务指挥中心</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2,765,939.67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2,765,939.67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榕基多元化协同纠纷综合治理平台</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2,178,940.42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2,178,940.42</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榕基安全可靠分布式全文检索系统</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2,026,474.77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2,026,474.77</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榕基减刑假释智能办案平台</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1,998,184.15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1,998,184.15</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星榕基物联网运营支撑平台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1,055,924.59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1,055,924.59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星榕基智慧校园移动应用软件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580,857.09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580,857.09</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通信的物联网管理建筑</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245,042.04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245,042.04</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检验检疫数据分析展现平台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6,947,898.86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4,626,044.96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11,573,943.82</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榕基核与辐射环境安全监管平台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5,973,317.28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2,107,934.10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8,081,251.38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干部信息综合管理系统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4,612,826.36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617,693.29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5,230,519.65</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1"/>
        <w:gridCol w:w="1701"/>
        <w:gridCol w:w="1702"/>
        <w:gridCol w:w="1416"/>
        <w:gridCol w:w="1488"/>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榕基安全可靠电子政务应用平台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4,055,119.42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1,244,666.55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5,299,785.97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中小企业公共服务平台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3,210,665.75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350,632.01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3,561,297.76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安全可靠政务信息采编系统</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1,445,050.86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1,646.00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1,446,696.86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星榕基中小企业信息化公共服务平台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456,678.78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265,347.51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722,026.29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星榕基家校互动移动应用软件</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153,952.18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178,622.56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332,574.74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47,199,410.07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26,607,384.12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36,248,096.47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1" w:right="0"/>
              <w:jc w:val="left"/>
              <w:rPr>
                <w:rFonts w:ascii="Times New Roman" w:hAnsi="Times New Roman" w:cs="Times New Roman" w:eastAsia="Times New Roman" w:hint="default"/>
                <w:sz w:val="18"/>
                <w:szCs w:val="18"/>
              </w:rPr>
            </w:pPr>
            <w:r>
              <w:rPr>
                <w:rFonts w:ascii="Times New Roman"/>
                <w:sz w:val="18"/>
              </w:rPr>
              <w:t>37,558,697.72</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216" w:type="dxa"/>
        <w:tblLayout w:type="fixed"/>
        <w:tblCellMar>
          <w:top w:w="0" w:type="dxa"/>
          <w:left w:w="0" w:type="dxa"/>
          <w:bottom w:w="0" w:type="dxa"/>
          <w:right w:w="0" w:type="dxa"/>
        </w:tblCellMar>
        <w:tblLook w:val="01E0"/>
      </w:tblPr>
      <w:tblGrid>
        <w:gridCol w:w="3545"/>
        <w:gridCol w:w="1985"/>
        <w:gridCol w:w="1984"/>
        <w:gridCol w:w="1985"/>
      </w:tblGrid>
      <w:tr>
        <w:trPr>
          <w:trHeight w:val="427" w:hRule="exact"/>
        </w:trPr>
        <w:tc>
          <w:tcPr>
            <w:tcW w:w="354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19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资本化的具体依据</w:t>
            </w:r>
          </w:p>
        </w:tc>
        <w:tc>
          <w:tcPr>
            <w:tcW w:w="19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智慧城市便民服务指挥中心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榕基多元化协同纠纷综合治理平台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榕基安全可靠分布式全文检索系统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榕基减刑假释智能办案平台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星榕基物联网运营支撑平台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星榕基智慧校园移动应用软件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通信的物联网管理建筑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在研</w:t>
            </w:r>
          </w:p>
        </w:tc>
      </w:tr>
      <w:tr>
        <w:trPr>
          <w:trHeight w:val="4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检验检疫数据分析展现平台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榕基核与辐射环境安全监管平台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干部信息综合管理系统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榕基安全可靠电子政务应用平台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中小企业公共服务平台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安全可靠政务信息采编系统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6"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星榕基中小企业信息化公共服务平台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r>
        <w:trPr>
          <w:trHeight w:val="42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星榕基家校互动移动应用软件</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研发节点报告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已完工</w:t>
            </w:r>
          </w:p>
        </w:tc>
      </w:tr>
    </w:tbl>
    <w:p>
      <w:pPr>
        <w:pStyle w:val="BodyText"/>
        <w:spacing w:line="240" w:lineRule="auto" w:before="10"/>
        <w:ind w:right="2239"/>
        <w:jc w:val="left"/>
      </w:pPr>
      <w:r>
        <w:rPr/>
        <w:t>说明：期末，开发支出不存在减值情形。</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38" w:lineRule="auto" w:before="52"/>
        <w:ind w:left="153"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43"/>
        <w:ind w:left="153" w:right="8590"/>
        <w:jc w:val="left"/>
      </w:pPr>
      <w:r>
        <w:rPr/>
        <w:t>商誉减值测试的影响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330,849.13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4,841,559.37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904,130.44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4,268,278.06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330,849.13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4,841,559.37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904,130.44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4,268,278.06</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35,244,883.90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4,524,337.63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31,575,994.28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4,032,175.86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13,037,838.28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2,500,172.72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49,482,982.62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11,738,039.10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75,128,974.81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18,189,437.19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888,333.33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88,833.33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6,048,333.35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654,833.34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98,654,038.13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18,851,382.78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112,753,302.44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22,876,446.39</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5" w:right="0"/>
              <w:jc w:val="left"/>
              <w:rPr>
                <w:rFonts w:ascii="Times New Roman" w:hAnsi="Times New Roman" w:cs="Times New Roman" w:eastAsia="Times New Roman" w:hint="default"/>
                <w:sz w:val="18"/>
                <w:szCs w:val="18"/>
              </w:rPr>
            </w:pPr>
            <w:r>
              <w:rPr>
                <w:rFonts w:ascii="Times New Roman"/>
                <w:sz w:val="18"/>
              </w:rPr>
              <w:t>18,851,382.78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6" w:right="0"/>
              <w:jc w:val="left"/>
              <w:rPr>
                <w:rFonts w:ascii="Times New Roman" w:hAnsi="Times New Roman" w:cs="Times New Roman" w:eastAsia="Times New Roman" w:hint="default"/>
                <w:sz w:val="18"/>
                <w:szCs w:val="18"/>
              </w:rPr>
            </w:pPr>
            <w:r>
              <w:rPr>
                <w:rFonts w:ascii="Times New Roman"/>
                <w:sz w:val="18"/>
              </w:rPr>
              <w:t>22,876,446.39</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1,954,947.67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1,508,295.84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79,414,781.84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86,261,489.73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81,369,729.51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87,769,785.57</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13,465,758.45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22,890,860.70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18,228,187.46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17,502,548.58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14,823,160.75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13,875,460.45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15,448,363.98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9,741,601.03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24,296,019.09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15,404,311.08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79,414,781.84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86,261,489.73</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9,471,720.10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2,756,000.00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135,600.00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2,756,000.00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9,607,320.10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495,000,000.00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495,000,000.00</w:t>
            </w:r>
          </w:p>
        </w:tc>
      </w:tr>
    </w:tbl>
    <w:p>
      <w:pPr>
        <w:pStyle w:val="BodyText"/>
        <w:spacing w:line="240" w:lineRule="auto" w:before="51"/>
        <w:ind w:right="2239"/>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9,189,850.00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23,211,091.00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252,831,228.23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273,149,723.79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262,021,078.23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296,360,814.79</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7,989,850.00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23,211,091.00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9,189,850.00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23,211,091.00</w:t>
            </w:r>
          </w:p>
        </w:tc>
      </w:tr>
    </w:tbl>
    <w:p>
      <w:pPr>
        <w:pStyle w:val="BodyText"/>
        <w:spacing w:line="240" w:lineRule="auto" w:before="51"/>
        <w:ind w:right="2239"/>
        <w:jc w:val="left"/>
      </w:pPr>
      <w:r>
        <w:rPr/>
        <w:t>本期末已到期未支付的应付票据总额为元。</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177,123,036.61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179,625,337.60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75,708,191.62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93,524,386.19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252,831,228.23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273,149,723.79</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福建省闽保信息技术股份有限公司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3,692,311.51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福建星海通信科技有限公司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3,245,235.20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福建省枢建通信技术有限公司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2,648,074.21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郑州日彤电子有限公司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2,509,901.60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长威信息科技发展股份有限公司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2,175,561.07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14,271,083.59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150,763,602.00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225,356,038.20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150,763,602.00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225,356,038.20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德化县公安局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4,077,188.80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5"/>
              <w:jc w:val="righ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福建广电网络集团股份有限公司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3,490,560.00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5"/>
              <w:jc w:val="righ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中共福州市委办公厅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2,435,100.00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5"/>
              <w:jc w:val="righ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r>
              <w:rPr>
                <w:rFonts w:ascii="Times New Roman" w:hAnsi="Times New Roman" w:cs="Times New Roman" w:eastAsia="Times New Roman" w:hint="default"/>
                <w:sz w:val="18"/>
                <w:szCs w:val="18"/>
              </w:rPr>
              <w:t>"</w:t>
            </w:r>
            <w:r>
              <w:rPr>
                <w:rFonts w:ascii="宋体" w:hAnsi="宋体" w:cs="宋体" w:eastAsia="宋体" w:hint="default"/>
                <w:sz w:val="18"/>
                <w:szCs w:val="18"/>
              </w:rPr>
              <w:t>智慧福州</w:t>
            </w:r>
            <w:r>
              <w:rPr>
                <w:rFonts w:ascii="Times New Roman" w:hAnsi="Times New Roman" w:cs="Times New Roman" w:eastAsia="Times New Roman" w:hint="default"/>
                <w:sz w:val="18"/>
                <w:szCs w:val="18"/>
              </w:rPr>
              <w:t>"</w:t>
            </w:r>
            <w:r>
              <w:rPr>
                <w:rFonts w:ascii="宋体" w:hAnsi="宋体" w:cs="宋体" w:eastAsia="宋体" w:hint="default"/>
                <w:sz w:val="18"/>
                <w:szCs w:val="18"/>
              </w:rPr>
              <w:t>管理服务中心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2,122,995.00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5"/>
              <w:jc w:val="righ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莆田海事局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986,827.00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35"/>
              <w:jc w:val="righ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13,112,670.80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52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0;top:14;width:23;height:393" coordorigin="4760,14" coordsize="23,393">
              <v:shape style="position:absolute;left:4760;top:14;width:23;height:393" coordorigin="4760,14" coordsize="23,393" path="m4760,407l4783,407,4783,14,4760,14,4760,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794;top:14;width:23;height:393" coordorigin="4794,14" coordsize="23,393">
              <v:shape style="position:absolute;left:4794;top:14;width:23;height:393" coordorigin="4794,14" coordsize="23,393" path="m4794,407l4817,407,4817,14,4794,14,4794,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19,212,170.58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135,821,312.07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131,392,007.30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23,641,475.35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7,526,125.16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7,527,509.06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138,281.50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138,281.50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19,214,168.58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143,485,718.73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139,057,797.86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23,642,089.45</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18,247,769.11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121,242,730.86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116,660,924.37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22,829,575.60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3,879,882.08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3,879,882.08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4,739,061.28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4,739,166.22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4,263,492.45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4,263,492.45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135,353.08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135,458.02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340,215.75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340,215.75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5,570,911.97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5,580,371.97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954,696.53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260,086.48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403,023.26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811,759.75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19,212,170.58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135,821,312.07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131,392,007.30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5" w:right="0"/>
              <w:jc w:val="left"/>
              <w:rPr>
                <w:rFonts w:ascii="Times New Roman" w:hAnsi="Times New Roman" w:cs="Times New Roman" w:eastAsia="Times New Roman" w:hint="default"/>
                <w:sz w:val="18"/>
                <w:szCs w:val="18"/>
              </w:rPr>
            </w:pPr>
            <w:r>
              <w:rPr>
                <w:rFonts w:ascii="Times New Roman"/>
                <w:sz w:val="18"/>
              </w:rPr>
              <w:t>23,641,475.35</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1,944.00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7,293,358.58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7,294,689.28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613.30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232,766.58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232,819.78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0.80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7,526,125.16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7,527,509.06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614.10</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5,020,257.95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3,766,506.32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3,472,712.41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4,068,110.53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263,107.44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332,806.24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257,191.19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177,917.84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196,155.76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126,399.16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218,252.39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621,769.75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396,549.66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328,693.53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179,137.71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248,851.32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10,003,364.51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9,671,054.69</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502,012.50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541,031.25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72,301,544.04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28,474,903.42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72,803,556.54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29,015,934.67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502,012.50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541,031.25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502,012.50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541,031.25</w:t>
            </w:r>
          </w:p>
        </w:tc>
      </w:tr>
    </w:tbl>
    <w:p>
      <w:pPr>
        <w:pStyle w:val="BodyText"/>
        <w:spacing w:line="240" w:lineRule="auto" w:before="51"/>
        <w:ind w:right="2239"/>
        <w:jc w:val="left"/>
      </w:pPr>
      <w:r>
        <w:rPr/>
        <w:t>重要的已逾期未支付的利息情况：</w:t>
      </w:r>
    </w:p>
    <w:p>
      <w:pPr>
        <w:pStyle w:val="BodyText"/>
        <w:spacing w:line="240" w:lineRule="auto" w:before="115"/>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43,000,000.00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18,854,328.25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17,357,543.08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10,447,215.79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11,117,360.34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72,301,544.04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28,474,903.42</w:t>
            </w:r>
          </w:p>
        </w:tc>
      </w:tr>
    </w:tbl>
    <w:p>
      <w:pPr>
        <w:pStyle w:val="BodyText"/>
        <w:spacing w:line="240" w:lineRule="auto" w:before="51"/>
        <w:ind w:right="2239"/>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1"/>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北京华奥世纪科技发展有限公司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福州海天装璜装修有限公司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1,170,309.00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福建瑞聚信息技术股份有限公司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中铁建设集团有限公司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福州众联信息科技有限公司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396,205.00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4,262,414.00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54,267,481.12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54,267,481.12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pStyle w:val="BodyText"/>
        <w:spacing w:line="240" w:lineRule="auto" w:before="51"/>
        <w:ind w:right="-19"/>
        <w:jc w:val="left"/>
      </w:pPr>
      <w:r>
        <w:rPr/>
        <w:t>其他说明：</w:t>
      </w:r>
    </w:p>
    <w:p>
      <w:pPr>
        <w:pStyle w:val="BodyText"/>
        <w:spacing w:line="340" w:lineRule="auto" w:before="115"/>
        <w:ind w:left="513" w:right="-19" w:hanging="360"/>
        <w:jc w:val="left"/>
      </w:pPr>
      <w:r>
        <w:rPr/>
        <w:t>详见本附注五之</w:t>
      </w:r>
      <w:r>
        <w:rPr>
          <w:spacing w:val="-46"/>
        </w:rPr>
        <w:t> </w:t>
      </w: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1</w:t>
      </w:r>
      <w:r>
        <w:rPr>
          <w:spacing w:val="-6"/>
        </w:rPr>
        <w:t>）持有待售的处置组</w:t>
      </w:r>
      <w:r>
        <w:rPr/>
        <w:t> 马鞍山榕基软件信息科技有限公司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799" w:space="5029"/>
            <w:col w:w="2102"/>
          </w:cols>
        </w:sectPr>
      </w:pPr>
    </w:p>
    <w:p>
      <w:pPr>
        <w:spacing w:line="240" w:lineRule="auto" w:before="1"/>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226"/>
        <w:gridCol w:w="2017"/>
        <w:gridCol w:w="2018"/>
        <w:gridCol w:w="2020"/>
      </w:tblGrid>
      <w:tr>
        <w:trPr>
          <w:trHeight w:val="432" w:hRule="exact"/>
        </w:trPr>
        <w:tc>
          <w:tcPr>
            <w:tcW w:w="3226"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17"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018"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020"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62"/>
              <w:ind w:left="459" w:right="0"/>
              <w:jc w:val="left"/>
              <w:rPr>
                <w:rFonts w:ascii="宋体" w:hAnsi="宋体" w:cs="宋体" w:eastAsia="宋体" w:hint="default"/>
                <w:sz w:val="18"/>
                <w:szCs w:val="18"/>
              </w:rPr>
            </w:pPr>
            <w:r>
              <w:rPr>
                <w:rFonts w:ascii="宋体" w:hAnsi="宋体" w:cs="宋体" w:eastAsia="宋体" w:hint="default"/>
                <w:sz w:val="18"/>
                <w:szCs w:val="18"/>
              </w:rPr>
              <w:t>预计出售费用</w:t>
            </w: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持有待售的处置组中的负债</w:t>
            </w:r>
          </w:p>
        </w:tc>
        <w:tc>
          <w:tcPr>
            <w:tcW w:w="2017" w:type="dxa"/>
            <w:tcBorders>
              <w:top w:val="single" w:sz="8" w:space="0" w:color="000000"/>
              <w:left w:val="single" w:sz="8" w:space="0" w:color="000000"/>
              <w:bottom w:val="single" w:sz="8" w:space="0" w:color="000000"/>
              <w:right w:val="single" w:sz="8" w:space="0" w:color="000000"/>
            </w:tcBorders>
          </w:tcPr>
          <w:p>
            <w:pPr/>
          </w:p>
        </w:tc>
        <w:tc>
          <w:tcPr>
            <w:tcW w:w="2018" w:type="dxa"/>
            <w:tcBorders>
              <w:top w:val="single" w:sz="8" w:space="0" w:color="000000"/>
              <w:left w:val="single" w:sz="8" w:space="0" w:color="000000"/>
              <w:bottom w:val="single" w:sz="8" w:space="0" w:color="000000"/>
              <w:right w:val="single" w:sz="8" w:space="0" w:color="000000"/>
            </w:tcBorders>
          </w:tcPr>
          <w:p>
            <w:pP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6,417,612.96</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6,417,612.96</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472,146.51</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472,146.51</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53,054.59</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53,054.59</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414,991.36</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414,991.36</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18,771,544.88</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18,771,544.88</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z w:val="18"/>
              </w:rPr>
              <w:t>2,948.92</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2,948.92</w:t>
            </w:r>
          </w:p>
        </w:tc>
        <w:tc>
          <w:tcPr>
            <w:tcW w:w="2020" w:type="dxa"/>
            <w:tcBorders>
              <w:top w:val="single" w:sz="8" w:space="0" w:color="000000"/>
              <w:left w:val="single" w:sz="8" w:space="0" w:color="000000"/>
              <w:bottom w:val="single" w:sz="8" w:space="0" w:color="000000"/>
              <w:right w:val="single" w:sz="8" w:space="0" w:color="000000"/>
            </w:tcBorders>
          </w:tcPr>
          <w:p>
            <w:pPr/>
          </w:p>
        </w:tc>
      </w:tr>
      <w:tr>
        <w:trPr>
          <w:trHeight w:val="433" w:hRule="exact"/>
        </w:trPr>
        <w:tc>
          <w:tcPr>
            <w:tcW w:w="32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28,135,181.90</w:t>
            </w:r>
          </w:p>
        </w:tc>
        <w:tc>
          <w:tcPr>
            <w:tcW w:w="2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28,135,181.90</w:t>
            </w:r>
          </w:p>
        </w:tc>
        <w:tc>
          <w:tcPr>
            <w:tcW w:w="202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19,900,891.16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20,431,377.14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19,900,891.16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20,431,377.14</w:t>
            </w:r>
          </w:p>
        </w:tc>
      </w:tr>
    </w:tbl>
    <w:p>
      <w:pPr>
        <w:pStyle w:val="BodyText"/>
        <w:spacing w:line="240" w:lineRule="auto" w:before="51"/>
        <w:ind w:right="2239"/>
        <w:jc w:val="left"/>
      </w:pPr>
      <w:r>
        <w:rPr/>
        <w:t>短期应付债券的增减变动：</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2239"/>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3" w:right="8591"/>
        <w:jc w:val="left"/>
      </w:pPr>
      <w:r>
        <w:rPr/>
        <w:t>长期借款分类的说明： 其他说明，包括利率区间：</w:t>
      </w:r>
    </w:p>
    <w:p>
      <w:pPr>
        <w:spacing w:line="240" w:lineRule="auto" w:before="3"/>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4"/>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7" w:top="1060" w:bottom="1160" w:left="980" w:right="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4"/>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left="153" w:right="7511"/>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单位：人民币元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设定受益计划义务现值：</w:t>
      </w:r>
    </w:p>
    <w:p>
      <w:pPr>
        <w:pStyle w:val="BodyText"/>
        <w:spacing w:line="240" w:lineRule="auto" w:before="116"/>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计划资产：</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设定受益计划净负债（净资产）</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3" w:right="355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3"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2239"/>
        <w:jc w:val="left"/>
      </w:pPr>
      <w:r>
        <w:rPr/>
        <w:t>其他说明，包括重要预计负债的相关重要假设、估计说明：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63,352,018.49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14,634,914.76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37,654,155.46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40,332,777.79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63,352,018.49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14,634,914.76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37,654,155.46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40,332,777.79</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涉及政府补助的项目：</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3"/>
        <w:gridCol w:w="1063"/>
        <w:gridCol w:w="1063"/>
        <w:gridCol w:w="1063"/>
        <w:gridCol w:w="1062"/>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7"/>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bl>
    <w:p>
      <w:pPr>
        <w:pStyle w:val="BodyText"/>
        <w:spacing w:line="439" w:lineRule="auto" w:before="52"/>
        <w:ind w:right="6340"/>
        <w:jc w:val="left"/>
      </w:pPr>
      <w:r>
        <w:rPr/>
        <w:t>其他说明： 计入递延收益的政府补助详见附注十三、</w:t>
      </w:r>
      <w:r>
        <w:rPr>
          <w:rFonts w:ascii="Times New Roman" w:hAnsi="Times New Roman" w:cs="Times New Roman" w:eastAsia="Times New Roman" w:hint="default"/>
        </w:rPr>
        <w:t>3</w:t>
      </w:r>
      <w:r>
        <w:rPr/>
        <w:t>、政府补助。</w:t>
      </w:r>
    </w:p>
    <w:p>
      <w:pPr>
        <w:spacing w:line="240" w:lineRule="auto" w:before="3"/>
        <w:rPr>
          <w:rFonts w:ascii="宋体" w:hAnsi="宋体" w:cs="宋体" w:eastAsia="宋体" w:hint="default"/>
          <w:sz w:val="13"/>
          <w:szCs w:val="13"/>
        </w:rPr>
      </w:pPr>
    </w:p>
    <w:p>
      <w:pPr>
        <w:pStyle w:val="Heading3"/>
        <w:spacing w:line="240" w:lineRule="auto"/>
        <w:ind w:right="2239"/>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 w:right="0"/>
              <w:jc w:val="left"/>
              <w:rPr>
                <w:rFonts w:ascii="Times New Roman" w:hAnsi="Times New Roman" w:cs="Times New Roman" w:eastAsia="Times New Roman" w:hint="default"/>
                <w:sz w:val="18"/>
                <w:szCs w:val="18"/>
              </w:rPr>
            </w:pPr>
            <w:r>
              <w:rPr>
                <w:rFonts w:ascii="Times New Roman"/>
                <w:sz w:val="18"/>
              </w:rPr>
              <w:t>622,200,000.00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622,200,000.00</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left="153" w:right="4631"/>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362,926,508.93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362,926,508.93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6,432,103.36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6,432,103.36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369,358,612.29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369,358,612.29</w:t>
            </w:r>
          </w:p>
        </w:tc>
      </w:tr>
    </w:tbl>
    <w:p>
      <w:pPr>
        <w:pStyle w:val="BodyText"/>
        <w:spacing w:line="240" w:lineRule="auto" w:before="51"/>
        <w:ind w:right="2239"/>
        <w:jc w:val="left"/>
      </w:pPr>
      <w:r>
        <w:rPr/>
        <w:t>其他说明，包括本期增减变动情况、变动原因说明：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2239"/>
        <w:jc w:val="left"/>
      </w:pPr>
      <w:r>
        <w:rPr/>
        <w:t>其他说明，包括本期增减变动情况、变动原因说明：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3D3D3"/>
          </w:tcPr>
          <w:p>
            <w:pP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r>
      <w:tr>
        <w:trPr>
          <w:trHeight w:val="517"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3,222,576.52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7,403,655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3,222,576.52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7,403,655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3,222,576.52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4,181,079.4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7,403,655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其他说明，包括对现金流量套期损益的有效部分转为被套期项目初始确认金额调整：</w:t>
      </w:r>
    </w:p>
    <w:p>
      <w:pPr>
        <w:spacing w:line="240" w:lineRule="auto" w:before="0"/>
        <w:rPr>
          <w:rFonts w:ascii="宋体" w:hAnsi="宋体" w:cs="宋体" w:eastAsia="宋体" w:hint="default"/>
          <w:sz w:val="15"/>
          <w:szCs w:val="15"/>
        </w:rPr>
      </w:pPr>
    </w:p>
    <w:p>
      <w:pPr>
        <w:pStyle w:val="BodyText"/>
        <w:spacing w:line="240" w:lineRule="auto"/>
        <w:ind w:left="153" w:right="0"/>
        <w:jc w:val="left"/>
      </w:pPr>
      <w:r>
        <w:rPr/>
        <w:t>其他综合收益的税后净额本期发生额为</w:t>
      </w:r>
      <w:r>
        <w:rPr>
          <w:rFonts w:ascii="Times New Roman" w:hAnsi="Times New Roman" w:cs="Times New Roman" w:eastAsia="Times New Roman" w:hint="default"/>
        </w:rPr>
        <w:t>4,181,079.47</w:t>
      </w:r>
      <w:r>
        <w:rPr/>
        <w:t>元。其中，归属于母公司股东的其他综合收益的税后净额本期发生额为</w:t>
      </w:r>
    </w:p>
    <w:p>
      <w:pPr>
        <w:pStyle w:val="BodyText"/>
        <w:spacing w:line="240" w:lineRule="auto" w:before="63"/>
        <w:ind w:left="153" w:right="2239"/>
        <w:jc w:val="left"/>
      </w:pPr>
      <w:r>
        <w:rPr>
          <w:rFonts w:ascii="Times New Roman" w:hAnsi="Times New Roman" w:cs="Times New Roman" w:eastAsia="Times New Roman" w:hint="default"/>
        </w:rPr>
        <w:t>4,181,079.47</w:t>
      </w:r>
      <w:r>
        <w:rPr/>
        <w:t>元；归属于少数股东的其他综合收益的税后净额的本期发生额为</w:t>
      </w:r>
      <w:r>
        <w:rPr>
          <w:rFonts w:ascii="Times New Roman" w:hAnsi="Times New Roman" w:cs="Times New Roman" w:eastAsia="Times New Roman" w:hint="default"/>
        </w:rPr>
        <w:t>0.00</w:t>
      </w:r>
      <w:r>
        <w:rPr/>
        <w:t>元。</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2239"/>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9" w:right="0"/>
              <w:jc w:val="left"/>
              <w:rPr>
                <w:rFonts w:ascii="Times New Roman" w:hAnsi="Times New Roman" w:cs="Times New Roman" w:eastAsia="Times New Roman" w:hint="default"/>
                <w:sz w:val="18"/>
                <w:szCs w:val="18"/>
              </w:rPr>
            </w:pPr>
            <w:r>
              <w:rPr>
                <w:rFonts w:ascii="Times New Roman"/>
                <w:sz w:val="18"/>
              </w:rPr>
              <w:t>62,544,866.36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5" w:right="0"/>
              <w:jc w:val="left"/>
              <w:rPr>
                <w:rFonts w:ascii="Times New Roman" w:hAnsi="Times New Roman" w:cs="Times New Roman" w:eastAsia="Times New Roman" w:hint="default"/>
                <w:sz w:val="18"/>
                <w:szCs w:val="18"/>
              </w:rPr>
            </w:pPr>
            <w:r>
              <w:rPr>
                <w:rFonts w:ascii="Times New Roman"/>
                <w:sz w:val="18"/>
              </w:rPr>
              <w:t>5,026,845.32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51" w:right="0"/>
              <w:jc w:val="left"/>
              <w:rPr>
                <w:rFonts w:ascii="Times New Roman" w:hAnsi="Times New Roman" w:cs="Times New Roman" w:eastAsia="Times New Roman" w:hint="default"/>
                <w:sz w:val="18"/>
                <w:szCs w:val="18"/>
              </w:rPr>
            </w:pPr>
            <w:r>
              <w:rPr>
                <w:rFonts w:ascii="Times New Roman"/>
                <w:sz w:val="18"/>
              </w:rPr>
              <w:t>67,571,711.68</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62,544,866.36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5,026,845.32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1" w:right="0"/>
              <w:jc w:val="left"/>
              <w:rPr>
                <w:rFonts w:ascii="Times New Roman" w:hAnsi="Times New Roman" w:cs="Times New Roman" w:eastAsia="Times New Roman" w:hint="default"/>
                <w:sz w:val="18"/>
                <w:szCs w:val="18"/>
              </w:rPr>
            </w:pPr>
            <w:r>
              <w:rPr>
                <w:rFonts w:ascii="Times New Roman"/>
                <w:sz w:val="18"/>
              </w:rPr>
              <w:t>67,571,711.68</w:t>
            </w:r>
          </w:p>
        </w:tc>
      </w:tr>
    </w:tbl>
    <w:p>
      <w:pPr>
        <w:pStyle w:val="BodyText"/>
        <w:spacing w:line="357" w:lineRule="auto" w:before="51"/>
        <w:ind w:left="513" w:right="4438" w:hanging="360"/>
        <w:jc w:val="left"/>
      </w:pPr>
      <w:r>
        <w:rPr/>
        <w:t>盈余公积说明，包括本期增减变动情况、变动原因说明： 本期盈余公积增加系按母公司 </w:t>
      </w:r>
      <w:r>
        <w:rPr>
          <w:rFonts w:ascii="Times New Roman" w:hAnsi="Times New Roman" w:cs="Times New Roman" w:eastAsia="Times New Roman" w:hint="default"/>
        </w:rPr>
        <w:t>2018 </w:t>
      </w:r>
      <w:r>
        <w:rPr/>
        <w:t>年净利润的</w:t>
      </w:r>
      <w:r>
        <w:rPr>
          <w:spacing w:val="-47"/>
        </w:rPr>
        <w:t> </w:t>
      </w:r>
      <w:r>
        <w:rPr>
          <w:rFonts w:ascii="Times New Roman" w:hAnsi="Times New Roman" w:cs="Times New Roman" w:eastAsia="Times New Roman" w:hint="default"/>
        </w:rPr>
        <w:t>10.00%</w:t>
      </w:r>
      <w:r>
        <w:rPr/>
        <w:t>计提法定盈余公积。</w:t>
      </w:r>
    </w:p>
    <w:p>
      <w:pPr>
        <w:spacing w:line="240" w:lineRule="auto" w:before="5"/>
        <w:rPr>
          <w:rFonts w:ascii="宋体" w:hAnsi="宋体" w:cs="宋体" w:eastAsia="宋体" w:hint="default"/>
          <w:sz w:val="18"/>
          <w:szCs w:val="18"/>
        </w:rPr>
      </w:pPr>
    </w:p>
    <w:p>
      <w:pPr>
        <w:pStyle w:val="Heading3"/>
        <w:spacing w:line="240" w:lineRule="auto"/>
        <w:ind w:right="2239"/>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366,831,675.06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344,871,182.51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366,831,675.06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344,871,182.51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34,864,137.25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32,763,224.88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5,026,845.32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4,580,732.33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6,222,000.00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390,446,966.99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366,831,675.06</w:t>
            </w:r>
          </w:p>
        </w:tc>
      </w:tr>
    </w:tbl>
    <w:p>
      <w:pPr>
        <w:pStyle w:val="BodyText"/>
        <w:spacing w:line="240" w:lineRule="auto" w:before="51"/>
        <w:ind w:right="2239"/>
        <w:jc w:val="left"/>
      </w:pPr>
      <w:r>
        <w:rPr/>
        <w:t>调整期初未分配利润明细：</w:t>
      </w:r>
    </w:p>
    <w:p>
      <w:pPr>
        <w:pStyle w:val="BodyText"/>
        <w:spacing w:line="240" w:lineRule="auto" w:before="115"/>
        <w:ind w:left="153" w:right="2239"/>
        <w:jc w:val="left"/>
      </w:pPr>
      <w:r>
        <w:rPr/>
        <w:t>（</w:t>
      </w: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left="153" w:right="2239"/>
        <w:jc w:val="left"/>
      </w:pPr>
      <w:r>
        <w:rPr/>
        <w:t>（</w:t>
      </w: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153" w:right="2239"/>
        <w:jc w:val="left"/>
      </w:pPr>
      <w:r>
        <w:rPr/>
        <w:t>（</w:t>
      </w: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3" w:right="2239"/>
        <w:jc w:val="left"/>
      </w:pPr>
      <w:r>
        <w:rPr/>
        <w:t>（</w:t>
      </w: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left="153" w:right="2239"/>
        <w:jc w:val="left"/>
      </w:pPr>
      <w:r>
        <w:rPr/>
        <w:t>（</w:t>
      </w:r>
      <w:r>
        <w:rPr>
          <w:rFonts w:ascii="Times New Roman" w:hAnsi="Times New Roman" w:cs="Times New Roman" w:eastAsia="Times New Roman" w:hint="default"/>
        </w:rPr>
        <w:t>5)</w:t>
      </w:r>
      <w:r>
        <w:rPr/>
        <w:t>其他调整合计影响期初未分配利润元。</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9" w:right="0"/>
              <w:jc w:val="left"/>
              <w:rPr>
                <w:rFonts w:ascii="Times New Roman" w:hAnsi="Times New Roman" w:cs="Times New Roman" w:eastAsia="Times New Roman" w:hint="default"/>
                <w:sz w:val="18"/>
                <w:szCs w:val="18"/>
              </w:rPr>
            </w:pPr>
            <w:r>
              <w:rPr>
                <w:rFonts w:ascii="Times New Roman"/>
                <w:sz w:val="18"/>
              </w:rPr>
              <w:t>812,488,365.82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545,142,075.16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742,004,732.30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496,785,937.98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9" w:right="0"/>
              <w:jc w:val="left"/>
              <w:rPr>
                <w:rFonts w:ascii="Times New Roman" w:hAnsi="Times New Roman" w:cs="Times New Roman" w:eastAsia="Times New Roman" w:hint="default"/>
                <w:sz w:val="18"/>
                <w:szCs w:val="18"/>
              </w:rPr>
            </w:pPr>
            <w:r>
              <w:rPr>
                <w:rFonts w:ascii="Times New Roman"/>
                <w:sz w:val="18"/>
              </w:rPr>
              <w:t>812,488,365.82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545,142,075.16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742,004,732.30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496,785,937.98</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815,506.41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689,758.46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706,285.91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500,996.42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208,241.54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292,684.70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2,041,254.54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2,084,125.26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6,560.00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428,787.08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438,869.29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729,206.78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590,096.52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489,496.77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324,951.59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5,428,199.03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4,928,042.24</w:t>
            </w:r>
          </w:p>
        </w:tc>
      </w:tr>
    </w:tbl>
    <w:p>
      <w:pPr>
        <w:pStyle w:val="BodyText"/>
        <w:spacing w:line="357" w:lineRule="auto" w:before="51"/>
        <w:ind w:right="6970"/>
        <w:jc w:val="left"/>
      </w:pPr>
      <w:r>
        <w:rPr/>
        <w:t>其他说明： 各项税金及附加的计缴标准详见附注四、税项。</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23,858,276.69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17,426,549.55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6,130,324.13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6,679,327.76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4,991,076.54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3,566,963.92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4,482,055.20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5,134,791.34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1,442,760.36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1,706,462.90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1,343,868.75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2,277,887.79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454,021.11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423,265.48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434,831.29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442,142.98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292,572.84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241,195.07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5,283,653.29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4,446,034.82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48,713,440.20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42,344,621.61</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44,690,636.15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42,756,135.60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31,275,647.98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29,371,545.50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11,313,111.97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12,998,745.52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11,185,299.67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9,849,244.18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6,085,809.82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6,503,885.88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5,083,839.79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5,993,168.81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4,419,518.80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1,239,648.57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4,091,405.99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3,945,211.77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3,115,854.17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3,204,489.78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3,493,613.99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4,414,419.69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124,754,738.33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120,276,495.30</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42,452,070.39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24,736,283.83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29,703,279.51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33,327,764.41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1,776,249.76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1,253,420.84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1,079,945.01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1,060,234.78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研发设备及材料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563,004.87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52,463.63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353,650.38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314,792.88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218,333.36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94,128.76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212,444.63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162,388.47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1,274,635.85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284,725.03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2,372,048.44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77,633,613.76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63,658,251.07</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21,835,149.17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13,217,552.20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3,362,275.28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2,411,126.01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-336,156.81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-657,106.86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314,912.35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224,079.68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18,451,629.43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10,373,399.01</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r>
        <w:rPr/>
        <w:pict>
          <v:shape style="position:absolute;margin-left:174.240295pt;margin-top:361.440002pt;width:201.2pt;height:35.25pt;mso-position-horizontal-relative:page;mso-position-vertical-relative:page;z-index:-110408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预警系统）</w:t>
                  </w:r>
                </w:p>
              </w:txbxContent>
            </v:textbox>
            <w10:wrap type="none"/>
          </v:shape>
        </w:pict>
      </w:r>
      <w:r>
        <w:rPr/>
        <w:pict>
          <v:group style="position:absolute;margin-left:216.419998pt;margin-top:388.859985pt;width:159pt;height:7.8pt;mso-position-horizontal-relative:page;mso-position-vertical-relative:page;z-index:-1104064" coordorigin="4328,7777" coordsize="3180,156">
            <v:shape style="position:absolute;left:4328;top:7777;width:3180;height:156" coordorigin="4328,7777" coordsize="3180,156" path="m4328,7933l7508,7933,7508,7777,4328,7777,4328,793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3,273,383.60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9,778,986.59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476,375.02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3,273,383.60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10,255,361.61</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省级新型研发机构非财政资金购买科研 仪器设备软件后补助经费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4,623,594.00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福建省战略性新兴产业技术开发和产业 化项目（北斗及卫星）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1,168,503.24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1,168,563.24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年福州市战略性新兴产业科技重大 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福建省战略性新兴产业技术开发和产业 </w:t>
            </w:r>
            <w:r>
              <w:rPr>
                <w:rFonts w:ascii="宋体" w:hAnsi="宋体" w:cs="宋体" w:eastAsia="宋体" w:hint="default"/>
                <w:spacing w:val="-7"/>
                <w:sz w:val="18"/>
                <w:szCs w:val="18"/>
              </w:rPr>
              <w:t>化项目（北斗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渔船防碰撞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159pt;height:7.8pt;mso-position-horizontal-relative:char;mso-position-vertical-relative:line" coordorigin="0,0" coordsize="3180,156">
                  <v:group style="position:absolute;left:0;top:0;width:3180;height:156" coordorigin="0,0" coordsize="3180,156">
                    <v:shape style="position:absolute;left:0;top:0;width:3180;height:156" coordorigin="0,0" coordsize="3180,156" path="m0,156l3180,156,3180,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781,320.76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年福建省互联网经济新增引导资金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星榕基中小企业信息化公共服务平台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555,555.54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年市区域重大项目经费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492,659.52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1,910,985.29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年产学研专项补助资金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年度鼓楼区服务业统计市区级奖励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 加计扣除奖励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年重大专项榕基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应用安全扫</w:t>
            </w:r>
            <w:r>
              <w:rPr>
                <w:rFonts w:ascii="宋体" w:hAnsi="宋体" w:cs="宋体" w:eastAsia="宋体" w:hint="default"/>
                <w:w w:val="100"/>
                <w:sz w:val="18"/>
                <w:szCs w:val="18"/>
              </w:rPr>
              <w:t> </w:t>
            </w:r>
            <w:r>
              <w:rPr>
                <w:rFonts w:ascii="宋体" w:hAnsi="宋体" w:cs="宋体" w:eastAsia="宋体" w:hint="default"/>
                <w:sz w:val="18"/>
                <w:szCs w:val="18"/>
              </w:rPr>
              <w:t>描系统专项资金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333,333.33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福建省第三批企业高级经营管理人才首 期补助资金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年福州市软件产业发展专项资金项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年就业见习补贴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158,880.00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年度企业研发经费投入分段补助专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年度服务业奖励金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年度第一批科技扶持资金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年度总部经济奖励款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 加计扣除奖励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上海国际贸易单一窗口运维补贴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3,815,200.00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年市级软件产业发展专项基金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年产学研专项补助和工业企业优秀 创新产品、创建品牌奖励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年福建省第一批省级新型研发机构 奖励金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就业见习补贴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219,510.00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年总部企业奖励款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年度福建名牌产品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福建省科技计划项目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大数据平台实时 异常检测分析系统的关键技术研发及产 业化</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年第二批软件产业发展专 项资金的通知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115,384.58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年度福州市产品质量奖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五万元以下零星补助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五万元以下零星补助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35,586.48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200,542.80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2,451,272.88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20,026,939.61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2,272,452.50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1,914,869.95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28,073,359.27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8,049,481.20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32,797,084.65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29,991,290.76</w:t>
            </w:r>
          </w:p>
        </w:tc>
      </w:tr>
    </w:tbl>
    <w:p>
      <w:pPr>
        <w:pStyle w:val="BodyText"/>
        <w:spacing w:line="240" w:lineRule="auto" w:before="51"/>
        <w:ind w:right="2239"/>
        <w:jc w:val="left"/>
      </w:pPr>
      <w:r>
        <w:rPr/>
        <w:t>其他说明：</w:t>
      </w:r>
    </w:p>
    <w:p>
      <w:pPr>
        <w:pStyle w:val="BodyText"/>
        <w:spacing w:line="240" w:lineRule="auto" w:before="116"/>
        <w:ind w:left="514" w:right="2239"/>
        <w:jc w:val="left"/>
      </w:pP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系购买银行短期理财产品的收益。</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-64,734.89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-101,944.42</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29,692.70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29,692.70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29,692.70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29,692.70</w:t>
            </w:r>
          </w:p>
        </w:tc>
      </w:tr>
    </w:tbl>
    <w:p>
      <w:pPr>
        <w:pStyle w:val="BodyText"/>
        <w:spacing w:line="240" w:lineRule="auto" w:before="51"/>
        <w:ind w:right="2239"/>
        <w:jc w:val="left"/>
      </w:pPr>
      <w:r>
        <w:rPr/>
        <w:t>计入当期损益的政府补助：</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76" w:right="4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1,673,230.08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465,336.84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1,673,230.08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5,037.55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5,839.02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1,709,069.10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512,374.39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1,709,069.10</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1,928,799.39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3,507,557.15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501,799.38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-2,636,942.63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2,430,598.77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870,614.52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33,576,359.23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3,357,635.92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-3,503,494.04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-1,241,792.17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3,683,670.97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-1,969,298.61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7,905,281.25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-385,247.51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无须纳税的收入（以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-227,245.25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61,346.53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-5,250,258.32</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2,430,598.77</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66</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详见附注。</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18,055,381.24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5,885,252.80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2,943,604.93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925,138.74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21,238,977.00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10,078,248.75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42,237,963.17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16,888,640.29</w:t>
            </w:r>
          </w:p>
        </w:tc>
      </w:tr>
    </w:tbl>
    <w:p>
      <w:pPr>
        <w:pStyle w:val="BodyText"/>
        <w:spacing w:line="240" w:lineRule="auto" w:before="51"/>
        <w:ind w:right="2239"/>
        <w:jc w:val="left"/>
      </w:pPr>
      <w:r>
        <w:rPr/>
        <w:t>收到的其他与经营活动有关的现金说明：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24,855,163.51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24,918,072.06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43,704,614.41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36,200,610.96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33,538,593.49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35,437,220.39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6,459,702.26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6,141,795.14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108,558,073.67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102,697,698.55</w:t>
            </w:r>
          </w:p>
        </w:tc>
      </w:tr>
    </w:tbl>
    <w:p>
      <w:pPr>
        <w:pStyle w:val="BodyText"/>
        <w:spacing w:line="240" w:lineRule="auto" w:before="51"/>
        <w:ind w:right="2239"/>
        <w:jc w:val="left"/>
      </w:pPr>
      <w:r>
        <w:rPr/>
        <w:t>支付的其他与经营活动有关的现金说明：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收到的其他与投资活动有关的现金说明：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支付的其他与投资活动有关的现金说明：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2239"/>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2239"/>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r>
        <w:rPr/>
        <w:pict>
          <v:shape style="position:absolute;margin-left:190.140594pt;margin-top:284.579987pt;width:185.55pt;height:19.650pt;mso-position-horizontal-relative:page;mso-position-vertical-relative:page;z-index:-1104040"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31,145,760.46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31,400,573.97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3,273,383.60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10,255,361.61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8,140,103.36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8,547,311.86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31,275,647.99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31,743,593.94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904,130.44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264,679.20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64,734.89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101,944.42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1,673,230.08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465,336.84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20,649,371.10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11,074,458.07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-32,797,084.65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-29,991,290.76</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z w:val="18"/>
              </w:rPr>
              <w:t>501,799.38</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-2,636,942.63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71,645,861.71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-10,181,299.23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-57,858,082.85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-8,044,355.15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-52,223,592.48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46,636,430.10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26,395,263.03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89,635,802.24</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0"/>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3"/>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244,109,281.19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91,924,016.02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91,924,016.02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481,810,159.46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152,185,265.17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-389,886,143.44</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244,109,281.19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91,924,016.02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291,249.78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131,309.02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243,818,031.41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91,792,707.00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244,109,281.19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91,924,016.02</w:t>
            </w:r>
          </w:p>
        </w:tc>
      </w:tr>
    </w:tbl>
    <w:p>
      <w:pPr>
        <w:pStyle w:val="BodyText"/>
        <w:spacing w:line="240" w:lineRule="auto" w:before="51"/>
        <w:ind w:right="2239"/>
        <w:jc w:val="left"/>
      </w:pPr>
      <w:r>
        <w:rPr/>
        <w:t>其他说明：</w:t>
      </w:r>
    </w:p>
    <w:p>
      <w:pPr>
        <w:pStyle w:val="BodyText"/>
        <w:spacing w:line="240" w:lineRule="auto" w:before="116"/>
        <w:ind w:left="514" w:right="2239"/>
        <w:jc w:val="left"/>
      </w:pPr>
      <w:r>
        <w:rPr/>
        <w:t>①</w:t>
      </w:r>
      <w:r>
        <w:rPr>
          <w:spacing w:val="79"/>
        </w:rPr>
        <w:t> </w:t>
      </w:r>
      <w:r>
        <w:rPr/>
        <w:t>公司销售商品收到的银行承兑汇票背书转让的金额</w:t>
      </w:r>
      <w:r>
        <w:rPr>
          <w:rFonts w:ascii="Times New Roman" w:hAnsi="Times New Roman" w:cs="Times New Roman" w:eastAsia="Times New Roman" w:hint="default"/>
        </w:rPr>
        <w:t>5,644,030.00</w:t>
      </w:r>
      <w:r>
        <w:rPr/>
        <w:t>元；</w:t>
      </w:r>
    </w:p>
    <w:p>
      <w:pPr>
        <w:pStyle w:val="BodyText"/>
        <w:spacing w:line="240" w:lineRule="auto" w:before="63"/>
        <w:ind w:left="513" w:right="2239"/>
        <w:jc w:val="left"/>
      </w:pPr>
      <w:r>
        <w:rPr/>
        <w:t>②</w:t>
      </w:r>
      <w:r>
        <w:rPr>
          <w:spacing w:val="79"/>
        </w:rPr>
        <w:t> </w:t>
      </w:r>
      <w:r>
        <w:rPr/>
        <w:t>附注将持有待售资产的库存现金和银行存款单独列示。 </w:t>
      </w:r>
    </w:p>
    <w:p>
      <w:pPr>
        <w:spacing w:line="240" w:lineRule="auto" w:before="12"/>
        <w:rPr>
          <w:rFonts w:ascii="宋体" w:hAnsi="宋体" w:cs="宋体" w:eastAsia="宋体" w:hint="default"/>
          <w:sz w:val="26"/>
          <w:szCs w:val="26"/>
        </w:rPr>
      </w:pPr>
    </w:p>
    <w:p>
      <w:pPr>
        <w:spacing w:line="547" w:lineRule="auto" w:before="0"/>
        <w:ind w:left="154" w:right="53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61,768,800.00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22,803,678.93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1,821,516.22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86,393,995.15</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13,982,691.19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95,966,006.18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22,790.39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0.87620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19,968.94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129"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081" w:right="0"/>
              <w:jc w:val="left"/>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129"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4" w:right="2785"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本公司之子公司榕基国际控股有限公司注册于香港，境外主要经营地为香港，记账本位币为港币</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18"/>
        <w:ind w:right="2239"/>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pStyle w:val="BodyText"/>
        <w:spacing w:line="240" w:lineRule="auto" w:before="43"/>
        <w:ind w:right="2239"/>
        <w:jc w:val="left"/>
      </w:pPr>
      <w:r>
        <w:rPr/>
        <w:t>无</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2239"/>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2239"/>
        <w:jc w:val="left"/>
      </w:pPr>
      <w:r>
        <w:rPr>
          <w:rFonts w:ascii="Times New Roman" w:hAnsi="Times New Roman" w:cs="Times New Roman" w:eastAsia="Times New Roman" w:hint="default"/>
        </w:rPr>
        <w:t>2018</w:t>
      </w:r>
      <w:r>
        <w:rPr/>
        <w:t>年度，本公司合并范围未发生变动。</w:t>
      </w:r>
    </w:p>
    <w:p>
      <w:pPr>
        <w:spacing w:line="240" w:lineRule="auto" w:before="10"/>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left="153" w:right="6071"/>
        <w:jc w:val="left"/>
      </w:pPr>
      <w:r>
        <w:rPr/>
        <w:t>合并成本公允价值的确定方法、或有对价及其变动的说明： 大额商誉形成的主要原因：</w:t>
      </w:r>
    </w:p>
    <w:p>
      <w:pPr>
        <w:pStyle w:val="BodyText"/>
        <w:spacing w:line="240" w:lineRule="auto" w:before="28"/>
        <w:ind w:left="153"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2"/>
        <w:ind w:left="153" w:right="7528"/>
        <w:jc w:val="both"/>
      </w:pPr>
      <w:r>
        <w:rPr/>
        <w:t>可辨认资产、负债公允价值的确定方法： 企业合并中承担的被购买方的或有负债： 其他说明：</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e1ffff"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e1ffff"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left="153" w:right="8591"/>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3172;top:14;width:23;height:393" coordorigin="3172,14" coordsize="23,393">
              <v:shape style="position:absolute;left:3172;top:14;width:23;height:393" coordorigin="3172,14" coordsize="23,393" path="m3172,407l3194,407,3194,14,3172,14,3172,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3135;height:393" coordorigin="37,14" coordsize="3135,393">
              <v:shape style="position:absolute;left:37;top:14;width:3135;height:393" coordorigin="37,14" coordsize="3135,393" path="m37,407l3172,407,3172,14,37,14,37,407xe" filled="true" fillcolor="#d3d3d3" stroked="false">
                <v:path arrowok="t"/>
                <v:fill type="solid"/>
              </v:shape>
            </v:group>
            <v:group style="position:absolute;left:3204;top:14;width:24;height:393" coordorigin="3204,14" coordsize="24,393">
              <v:shape style="position:absolute;left:3204;top:14;width:24;height:393" coordorigin="3204,14" coordsize="24,393" path="m3204,407l3228,407,3228,14,3204,14,3204,407xe" filled="true" fillcolor="#e1ffff" stroked="false">
                <v:path arrowok="t"/>
                <v:fill type="solid"/>
              </v:shape>
            </v:group>
            <v:group style="position:absolute;left:9552;top:14;width:23;height:393" coordorigin="9552,14" coordsize="23,393">
              <v:shape style="position:absolute;left:9552;top:14;width:23;height:393" coordorigin="9552,14" coordsize="23,393" path="m9552,407l9575,407,9575,14,9552,14,9552,407xe" filled="true" fillcolor="#e1ffff" stroked="false">
                <v:path arrowok="t"/>
                <v:fill type="solid"/>
              </v:shape>
            </v:group>
            <v:group style="position:absolute;left:3228;top:14;width:6324;height:393" coordorigin="3228,14" coordsize="6324,393">
              <v:shape style="position:absolute;left:3228;top:14;width:6324;height:393" coordorigin="3228,14" coordsize="6324,393" path="m3228,407l9552,407,9552,14,3228,14,3228,407xe" filled="true" fillcolor="#e1ffff"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3172;top:416;width:23;height:393" coordorigin="3172,416" coordsize="23,393">
              <v:shape style="position:absolute;left:3172;top:416;width:23;height:393" coordorigin="3172,416" coordsize="23,393" path="m3172,809l3194,809,3194,416,3172,416,3172,809xe" filled="true" fillcolor="#d3d3d3" stroked="false">
                <v:path arrowok="t"/>
                <v:fill type="solid"/>
              </v:shape>
            </v:group>
            <v:group style="position:absolute;left:14;top:416;width:23;height:393" coordorigin="14,416" coordsize="23,393">
              <v:shape style="position:absolute;left:14;top:416;width:23;height:393" coordorigin="14,416" coordsize="23,393" path="m14,809l37,809,37,416,14,416,14,809xe" filled="true" fillcolor="#d3d3d3" stroked="false">
                <v:path arrowok="t"/>
                <v:fill type="solid"/>
              </v:shape>
            </v:group>
            <v:group style="position:absolute;left:37;top:416;width:3135;height:393" coordorigin="37,416" coordsize="3135,393">
              <v:shape style="position:absolute;left:37;top:416;width:3135;height:393" coordorigin="37,416" coordsize="3135,393" path="m37,809l3172,809,3172,416,37,416,37,809xe" filled="true" fillcolor="#d3d3d3" stroked="false">
                <v:path arrowok="t"/>
                <v:fill type="solid"/>
              </v:shape>
            </v:group>
            <v:group style="position:absolute;left:6361;top:416;width:23;height:393" coordorigin="6361,416" coordsize="23,393">
              <v:shape style="position:absolute;left:6361;top:416;width:23;height:393" coordorigin="6361,416" coordsize="23,393" path="m6361,809l6384,809,6384,416,6361,416,6361,809xe" filled="true" fillcolor="#d3d3d3" stroked="false">
                <v:path arrowok="t"/>
                <v:fill type="solid"/>
              </v:shape>
            </v:group>
            <v:group style="position:absolute;left:3204;top:416;width:24;height:393" coordorigin="3204,416" coordsize="24,393">
              <v:shape style="position:absolute;left:3204;top:416;width:24;height:393" coordorigin="3204,416" coordsize="24,393" path="m3204,809l3228,809,3228,416,3204,416,3204,809xe" filled="true" fillcolor="#d3d3d3" stroked="false">
                <v:path arrowok="t"/>
                <v:fill type="solid"/>
              </v:shape>
            </v:group>
            <v:group style="position:absolute;left:3228;top:416;width:3134;height:393" coordorigin="3228,416" coordsize="3134,393">
              <v:shape style="position:absolute;left:3228;top:416;width:3134;height:393" coordorigin="3228,416" coordsize="3134,393" path="m3228,809l6361,809,6361,416,3228,416,3228,809xe" filled="true" fillcolor="#d3d3d3" stroked="false">
                <v:path arrowok="t"/>
                <v:fill type="solid"/>
              </v:shape>
            </v:group>
            <v:group style="position:absolute;left:9552;top:416;width:23;height:393" coordorigin="9552,416" coordsize="23,393">
              <v:shape style="position:absolute;left:9552;top:416;width:23;height:393" coordorigin="9552,416" coordsize="23,393" path="m9552,809l9575,809,9575,416,9552,416,9552,809xe" filled="true" fillcolor="#d3d3d3" stroked="false">
                <v:path arrowok="t"/>
                <v:fill type="solid"/>
              </v:shape>
            </v:group>
            <v:group style="position:absolute;left:6395;top:416;width:23;height:393" coordorigin="6395,416" coordsize="23,393">
              <v:shape style="position:absolute;left:6395;top:416;width:23;height:393" coordorigin="6395,416" coordsize="23,393" path="m6395,809l6418,809,6418,416,6395,416,6395,809xe" filled="true" fillcolor="#d3d3d3" stroked="false">
                <v:path arrowok="t"/>
                <v:fill type="solid"/>
              </v:shape>
            </v:group>
            <v:group style="position:absolute;left:6418;top:416;width:3135;height:393" coordorigin="6418,416" coordsize="3135,393">
              <v:shape style="position:absolute;left:6418;top:416;width:3135;height:393" coordorigin="6418,416" coordsize="3135,393" path="m6418,809l9552,809,9552,416,6418,416,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8001pt" strokecolor="#000000">
                <v:path arrowok="t"/>
              </v:shape>
            </v:group>
            <v:group style="position:absolute;left:10;top:416;width:2;height:402" coordorigin="10,416" coordsize="2,402">
              <v:shape style="position:absolute;left:10;top:416;width:2;height:402" coordorigin="10,416" coordsize="0,402" path="m10,416l10,818e" filled="false" stroked="true" strokeweight=".48001pt" strokecolor="#000000">
                <v:path arrowok="t"/>
              </v:shape>
            </v:group>
            <v:group style="position:absolute;left:5;top:814;width:3190;height:2" coordorigin="5,814" coordsize="3190,2">
              <v:shape style="position:absolute;left:5;top:814;width:3190;height:2" coordorigin="5,814" coordsize="3190,0" path="m5,814l3194,814e" filled="false" stroked="true" strokeweight=".47998pt" strokecolor="#000000">
                <v:path arrowok="t"/>
              </v:shape>
            </v:group>
            <v:group style="position:absolute;left:3199;top:416;width:2;height:402" coordorigin="3199,416" coordsize="2,402">
              <v:shape style="position:absolute;left:3199;top:416;width:2;height:402" coordorigin="3199,416" coordsize="0,402" path="m3199,416l3199,818e" filled="false" stroked="true" strokeweight=".48pt" strokecolor="#000000">
                <v:path arrowok="t"/>
              </v:shape>
            </v:group>
            <v:group style="position:absolute;left:3204;top:814;width:3182;height:2" coordorigin="3204,814" coordsize="3182,2">
              <v:shape style="position:absolute;left:3204;top:814;width:3182;height:2" coordorigin="3204,814" coordsize="3182,0" path="m3204,814l6385,814e" filled="false" stroked="true" strokeweight=".47998pt" strokecolor="#000000">
                <v:path arrowok="t"/>
              </v:shape>
            </v:group>
            <v:group style="position:absolute;left:6390;top:416;width:2;height:402" coordorigin="6390,416" coordsize="2,402">
              <v:shape style="position:absolute;left:6390;top:416;width:2;height:402" coordorigin="6390,416" coordsize="0,402" path="m6390,416l6390,818e" filled="false" stroked="true" strokeweight=".47998pt" strokecolor="#000000">
                <v:path arrowok="t"/>
              </v:shape>
            </v:group>
            <v:group style="position:absolute;left:6395;top:814;width:3180;height:2" coordorigin="6395,814" coordsize="3180,2">
              <v:shape style="position:absolute;left:6395;top:814;width:3180;height:2" coordorigin="6395,814" coordsize="3180,0" path="m6395,814l9575,814e" filled="false" stroked="true" strokeweight=".47998pt" strokecolor="#000000">
                <v:path arrowok="t"/>
              </v:shape>
            </v:group>
            <v:group style="position:absolute;left:9580;top:416;width:2;height:402" coordorigin="9580,416" coordsize="2,402">
              <v:shape style="position:absolute;left:9580;top:416;width:2;height:402" coordorigin="9580,416" coordsize="0,402" path="m9580,416l9580,818e" filled="false" stroked="true" strokeweight=".47998pt" strokecolor="#000000">
                <v:path arrowok="t"/>
              </v:shape>
              <v:shape style="position:absolute;left:3199;top:412;width:3191;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left="153" w:right="7511"/>
        <w:jc w:val="left"/>
      </w:pPr>
      <w:r>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t>是否存在单次处置对子公司投资即丧失控制权的情形</w:t>
      </w:r>
    </w:p>
    <w:p>
      <w:pPr>
        <w:pStyle w:val="BodyText"/>
        <w:spacing w:line="338" w:lineRule="auto" w:before="117"/>
        <w:ind w:right="4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22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r>
        <w:rPr/>
        <w:pict>
          <v:shape style="position:absolute;margin-left:92.340302pt;margin-top:368.040009pt;width:101.05pt;height:50.8pt;mso-position-horizontal-relative:page;mso-position-vertical-relative:page;z-index:-1103848" type="#_x0000_t202" filled="false" stroked="false">
            <v:textbox inset="0,0,0,0">
              <w:txbxContent>
                <w:p>
                  <w:pPr>
                    <w:pStyle w:val="BodyText"/>
                    <w:spacing w:line="240" w:lineRule="auto" w:before="50"/>
                    <w:ind w:left="0" w:right="0"/>
                    <w:jc w:val="left"/>
                  </w:pPr>
                  <w:r>
                    <w:rPr/>
                    <w:t>（北京）</w:t>
                  </w:r>
                </w:p>
              </w:txbxContent>
            </v:textbox>
            <w10:wrap type="none"/>
          </v:shape>
        </w:pict>
      </w:r>
      <w:r>
        <w:rPr/>
        <w:pict>
          <v:group style="position:absolute;margin-left:125.519997pt;margin-top:368.040009pt;width:67.9pt;height:50.8pt;mso-position-horizontal-relative:page;mso-position-vertical-relative:page;z-index:-1103824" coordorigin="2510,7361" coordsize="1358,1016">
            <v:group style="position:absolute;left:2510;top:7361;width:1358;height:1016" coordorigin="2510,7361" coordsize="1358,1016">
              <v:shape style="position:absolute;left:2510;top:7361;width:1358;height:1016" coordorigin="2510,7361" coordsize="1358,1016" path="m2510,8376l3868,8376,3868,7361,2510,7361,2510,8376xe" filled="true" fillcolor="#ffffff" stroked="false">
                <v:path arrowok="t"/>
                <v:fill type="solid"/>
              </v:shape>
            </v:group>
            <v:group style="position:absolute;left:2533;top:7673;width:1311;height:392" coordorigin="2533,7673" coordsize="1311,392">
              <v:shape style="position:absolute;left:2533;top:7673;width:1311;height:392" coordorigin="2533,7673" coordsize="1311,392" path="m2533,8064l3844,8064,3844,7673,2533,7673,2533,8064xe" filled="true" fillcolor="#ffffff" stroked="false">
                <v:path arrowok="t"/>
                <v:fill type="solid"/>
              </v:shape>
            </v:group>
            <w10:wrap type="none"/>
          </v:group>
        </w:pict>
      </w:r>
    </w:p>
    <w:p>
      <w:pPr>
        <w:pStyle w:val="Heading3"/>
        <w:spacing w:line="240" w:lineRule="auto" w:before="35"/>
        <w:ind w:right="2239"/>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说明其他原因导致的合并范围变动（如，新设子公司、清算子公司等）及其相关情况：</w:t>
      </w:r>
    </w:p>
    <w:p>
      <w:pPr>
        <w:spacing w:line="240" w:lineRule="auto" w:before="12"/>
        <w:rPr>
          <w:rFonts w:ascii="宋体" w:hAnsi="宋体" w:cs="宋体" w:eastAsia="宋体" w:hint="default"/>
          <w:sz w:val="26"/>
          <w:szCs w:val="26"/>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2239"/>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榕基五一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福州榕易付网络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福建容大物联网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马鞍山榕基置业 投资有限公司</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沈阳榕基信息技 术有限公司（孙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河南裕信德置业 有限公司（孙公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both"/>
              <w:rPr>
                <w:rFonts w:ascii="宋体" w:hAnsi="宋体" w:cs="宋体" w:eastAsia="宋体" w:hint="default"/>
                <w:sz w:val="18"/>
                <w:szCs w:val="18"/>
              </w:rPr>
            </w:pPr>
            <w:r>
              <w:rPr>
                <w:rFonts w:ascii="宋体" w:hAnsi="宋体" w:cs="宋体" w:eastAsia="宋体" w:hint="default"/>
                <w:sz w:val="18"/>
                <w:szCs w:val="18"/>
              </w:rPr>
              <w:t>浙江检榕网络科 技有限公司（孙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榕基国计 信息技术有限公 司（孙公司）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99.00%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1"/>
        <w:ind w:left="153" w:right="2831"/>
        <w:jc w:val="left"/>
      </w:pPr>
      <w:r>
        <w:rPr/>
        <w:pict>
          <v:shape style="position:absolute;margin-left:92.340302pt;margin-top:-51.317993pt;width:101.05pt;height:50.85pt;mso-position-horizontal-relative:page;mso-position-vertical-relative:paragraph;z-index:-1103800" type="#_x0000_t202" filled="false" stroked="false">
            <v:textbox inset="0,0,0,0">
              <w:txbxContent>
                <w:p>
                  <w:pPr>
                    <w:pStyle w:val="BodyText"/>
                    <w:spacing w:line="240" w:lineRule="auto" w:before="50"/>
                    <w:ind w:left="0" w:right="0"/>
                    <w:jc w:val="left"/>
                  </w:pPr>
                  <w:r>
                    <w:rPr/>
                    <w:t>（北京）</w:t>
                  </w:r>
                </w:p>
              </w:txbxContent>
            </v:textbox>
            <w10:wrap type="none"/>
          </v:shape>
        </w:pict>
      </w:r>
      <w:r>
        <w:rPr/>
        <w:pict>
          <v:group style="position:absolute;margin-left:125.519997pt;margin-top:-51.317993pt;width:67.9pt;height:50.85pt;mso-position-horizontal-relative:page;mso-position-vertical-relative:paragraph;z-index:-1103776" coordorigin="2510,-1026" coordsize="1358,1017">
            <v:group style="position:absolute;left:2510;top:-1026;width:1358;height:1017" coordorigin="2510,-1026" coordsize="1358,1017">
              <v:shape style="position:absolute;left:2510;top:-1026;width:1358;height:1017" coordorigin="2510,-1026" coordsize="1358,1017" path="m2510,-10l3868,-10,3868,-1026,2510,-1026,2510,-10xe" filled="true" fillcolor="#ffffff" stroked="false">
                <v:path arrowok="t"/>
                <v:fill type="solid"/>
              </v:shape>
            </v:group>
            <v:group style="position:absolute;left:2533;top:-714;width:1311;height:393" coordorigin="2533,-714" coordsize="1311,393">
              <v:shape style="position:absolute;left:2533;top:-714;width:1311;height:393" coordorigin="2533,-714" coordsize="1311,393" path="m2533,-322l3844,-322,3844,-714,2533,-714,2533,-322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left="153" w:right="7691"/>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1"/>
        <w:ind w:left="153" w:right="6431"/>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福建星 榕基公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59,399,4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89.24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4,224,03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63,623,5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13,394,8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28.86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1,444,44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14,839,2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73.32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71,983,0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20.03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3,833,74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75,816,7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68.01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15,064,0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99.38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17,064,0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99.38</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126"/>
              <w:jc w:val="left"/>
              <w:rPr>
                <w:rFonts w:ascii="宋体" w:hAnsi="宋体" w:cs="宋体" w:eastAsia="宋体" w:hint="default"/>
                <w:sz w:val="18"/>
                <w:szCs w:val="18"/>
              </w:rPr>
            </w:pPr>
            <w:r>
              <w:rPr>
                <w:rFonts w:ascii="宋体" w:hAnsi="宋体" w:cs="宋体" w:eastAsia="宋体" w:hint="default"/>
                <w:sz w:val="18"/>
                <w:szCs w:val="18"/>
              </w:rPr>
              <w:t>福建星榕基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2,002,332.80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-9,968,413.51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-9,968,413.51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-11,702,254.0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31,124,474.5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3,919,955.80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3,919,955.80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-16,398,133.8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e1ffff"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e1ffff"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7998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福建亿榕信息技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40.70%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福建文鑫莲业有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建宁县将屯工业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12.58%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权益法（说明）</w:t>
            </w:r>
          </w:p>
        </w:tc>
      </w:tr>
    </w:tbl>
    <w:p>
      <w:pPr>
        <w:spacing w:after="0" w:line="240"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153" w:right="2239"/>
        <w:jc w:val="left"/>
      </w:pPr>
      <w:r>
        <w:rPr/>
        <w:t>在合营企业或联营企业的持股比例不同于表决权比例的说明：</w:t>
      </w:r>
    </w:p>
    <w:p>
      <w:pPr>
        <w:pStyle w:val="BodyText"/>
        <w:spacing w:line="340" w:lineRule="auto" w:before="115"/>
        <w:ind w:left="153" w:right="334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福建文鑫莲业有限责任公司董事会成员中的</w:t>
      </w:r>
      <w:r>
        <w:rPr>
          <w:rFonts w:ascii="Times New Roman" w:hAnsi="Times New Roman" w:cs="Times New Roman" w:eastAsia="Times New Roman" w:hint="default"/>
        </w:rPr>
        <w:t>1</w:t>
      </w:r>
      <w:r>
        <w:rPr/>
        <w:t>人由本公司委派，本公司对其具有重大影响。</w:t>
      </w:r>
    </w:p>
    <w:p>
      <w:pPr>
        <w:spacing w:line="240" w:lineRule="auto" w:before="6"/>
        <w:rPr>
          <w:rFonts w:ascii="宋体" w:hAnsi="宋体" w:cs="宋体" w:eastAsia="宋体" w:hint="default"/>
          <w:sz w:val="19"/>
          <w:szCs w:val="19"/>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510,676,337.50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124,023,984.16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387,013,286.55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145,073,392.10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85,197,572.36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68,069,021.68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78,401,099.91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68,989,429.79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595,873,909.86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192,093,005.84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465,414,386.46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214,062,821.89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395,228,362.88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51,238,173.98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271,068,751.44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52,069,116.90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42,791,307.15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53,601,118.19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395,228,362.88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94,029,481.13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271,068,751.44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105,670,235.09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200,645,546.98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98,063,524.71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194,345,635.02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108,392,586.80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2,170,942.73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2,094,929.64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200,645,546.98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95,892,581.98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194,345,635.02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106,297,657.16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81,662,737.62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12,063,286.81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79,098,673.45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13,372,245.27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81,662,737.62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26,833,689.17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79,098,673.45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28,042,174.69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504,812,280.46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45,694,265.54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565,737,816.01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72,123,157.10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6,299,911.96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-9,530,390.08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48,538,209.38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53,619.26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6,299,911.96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-9,530,390.08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48,538,209.38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53,619.26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8,640,533.86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7,544,839.63</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1,095,694.23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1,562,314.05</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1,095,694.23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1,562,314.05</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left="153" w:right="5531"/>
        <w:jc w:val="left"/>
      </w:pPr>
      <w:r>
        <w:rPr/>
        <w:t>在共同经营中的持股比例或享有的份额不同于表决权比例的说明： 共同经营为单独主体的，分类为共同经营的依据：</w:t>
      </w:r>
    </w:p>
    <w:p>
      <w:pPr>
        <w:pStyle w:val="BodyText"/>
        <w:spacing w:line="240" w:lineRule="auto" w:before="29"/>
        <w:ind w:left="153"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未纳入合并财务报表范围的结构化主体的相关说明：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本集团的主要金融工具包括货币资金、应收账款、应收票据、应收利息、应收股利、其他应收款、其他流动资产、可供</w:t>
      </w:r>
      <w:r>
        <w:rPr/>
        <w:t> </w:t>
      </w:r>
      <w:r>
        <w:rPr>
          <w:spacing w:val="-2"/>
        </w:rPr>
        <w:t>出售金融资产、应付账款、应付利息、应付票据、应付股利、其他应付款、短期借款。各项金融工具的详细情况已于相关附</w:t>
      </w:r>
      <w:r>
        <w:rPr>
          <w:spacing w:val="-65"/>
        </w:rPr>
        <w:t> </w:t>
      </w:r>
      <w:r>
        <w:rPr>
          <w:spacing w:val="-65"/>
        </w:rPr>
      </w:r>
      <w:r>
        <w:rPr>
          <w:spacing w:val="-2"/>
        </w:rPr>
        <w:t>注内披露。与这些金融工具有关的风险，以及本集团为降低这些风险所采取的风险管理政策如下所述。本集团管理层对这些</w:t>
      </w:r>
      <w:r>
        <w:rPr>
          <w:spacing w:val="-66"/>
        </w:rPr>
        <w:t> </w:t>
      </w:r>
      <w:r>
        <w:rPr>
          <w:spacing w:val="-66"/>
        </w:rPr>
      </w:r>
      <w:r>
        <w:rPr/>
        <w:t>风险敞口进行管理和监控以确保将上述风险控制在限定的范围之内。</w:t>
      </w:r>
    </w:p>
    <w:p>
      <w:pPr>
        <w:pStyle w:val="BodyText"/>
        <w:spacing w:line="340" w:lineRule="auto" w:before="58"/>
        <w:ind w:left="513" w:right="0"/>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316" w:lineRule="auto" w:before="1"/>
        <w:ind w:left="153" w:right="113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6"/>
        </w:rPr>
        <w:t> </w:t>
      </w:r>
      <w:r>
        <w:rPr>
          <w:spacing w:val="-66"/>
        </w:rPr>
      </w:r>
      <w:r>
        <w:rPr/>
        <w:t>本集团经营活动的改变。本集团的内部审计部门也定期或随机检查内部控制系统的执行是否符合风险管理政策。</w:t>
      </w:r>
    </w:p>
    <w:p>
      <w:pPr>
        <w:pStyle w:val="BodyText"/>
        <w:spacing w:line="357" w:lineRule="auto" w:before="58"/>
        <w:ind w:left="513" w:right="1211"/>
        <w:jc w:val="left"/>
      </w:pPr>
      <w:r>
        <w:rPr>
          <w:spacing w:val="-2"/>
        </w:rPr>
        <w:t>本集团的金融工具导致的主要风险是信用风险、流动性风险、市场风险（包括利率风险和汇率风险）。</w:t>
      </w:r>
      <w:r>
        <w:rPr/>
        <w:t> 董事会负责规划并建立本集团的风险管理架构，指定本集团的风险管理政策和相关指引并监督风险管理措施的执行情</w:t>
      </w:r>
    </w:p>
    <w:p>
      <w:pPr>
        <w:pStyle w:val="BodyText"/>
        <w:spacing w:line="224" w:lineRule="exact"/>
        <w:ind w:left="153" w:right="0"/>
        <w:jc w:val="both"/>
      </w:pPr>
      <w:r>
        <w:rPr/>
        <w:t>况。本集团已制定风险管理政策以识别和分析本集团所面临的风险，这些风险管理政策对特定风险进行了明确规定，涵盖了</w:t>
      </w:r>
    </w:p>
    <w:p>
      <w:pPr>
        <w:pStyle w:val="BodyText"/>
        <w:spacing w:line="316" w:lineRule="auto" w:before="76"/>
        <w:ind w:left="153" w:right="1130"/>
        <w:jc w:val="both"/>
      </w:pPr>
      <w:r>
        <w:rPr>
          <w:spacing w:val="-2"/>
        </w:rPr>
        <w:t>信用风险、流动性风险和市场风险管理等诸多方面。本集团定期评估市场环境及本集团经营活动的变化以决定是否对风险管</w:t>
      </w:r>
      <w:r>
        <w:rPr>
          <w:spacing w:val="-64"/>
        </w:rPr>
        <w:t> </w:t>
      </w:r>
      <w:r>
        <w:rPr>
          <w:spacing w:val="-64"/>
        </w:rPr>
      </w:r>
      <w:r>
        <w:rPr>
          <w:spacing w:val="-2"/>
        </w:rPr>
        <w:t>理政策及系统进行更新。本集团的风险管理由风险管理委员会按照董事会批准的政策开展。风险管理委员会通过与本集团其</w:t>
      </w:r>
      <w:r>
        <w:rPr>
          <w:spacing w:val="-64"/>
        </w:rPr>
        <w:t> </w:t>
      </w:r>
      <w:r>
        <w:rPr>
          <w:spacing w:val="-64"/>
        </w:rPr>
      </w:r>
      <w:r>
        <w:rPr>
          <w:spacing w:val="-2"/>
        </w:rPr>
        <w:t>他业务部门的紧密合作来识别、评价和规避相关风险。本集团内部审计部门就风险管理控制及程序进行定期的审核，并将审</w:t>
      </w:r>
      <w:r>
        <w:rPr>
          <w:spacing w:val="-66"/>
        </w:rPr>
        <w:t> </w:t>
      </w:r>
      <w:r>
        <w:rPr>
          <w:spacing w:val="-66"/>
        </w:rPr>
      </w:r>
      <w:r>
        <w:rPr/>
        <w:t>核结果上报本集团的审计委员会。</w:t>
      </w:r>
    </w:p>
    <w:p>
      <w:pPr>
        <w:pStyle w:val="BodyText"/>
        <w:spacing w:line="316" w:lineRule="auto" w:before="59"/>
        <w:ind w:left="153" w:right="1131" w:firstLine="360"/>
        <w:jc w:val="both"/>
      </w:pPr>
      <w:r>
        <w:rPr>
          <w:spacing w:val="-2"/>
        </w:rPr>
        <w:t>本集团通过适当的多样化投资及业务组合来分散金融工具风险，并通过制定相应的风险管理政策减少集中于任何单一行</w:t>
      </w:r>
      <w:r>
        <w:rPr/>
        <w:t> 业、特定地区或特定交易对手方的风险。</w:t>
      </w:r>
    </w:p>
    <w:p>
      <w:pPr>
        <w:pStyle w:val="BodyText"/>
        <w:spacing w:line="348" w:lineRule="auto" w:before="58"/>
        <w:ind w:left="513" w:right="3551"/>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57" w:lineRule="auto" w:before="35"/>
        <w:ind w:left="513" w:right="0"/>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w:t>
      </w:r>
    </w:p>
    <w:p>
      <w:pPr>
        <w:pStyle w:val="BodyText"/>
        <w:spacing w:line="224" w:lineRule="exact"/>
        <w:ind w:left="153" w:right="0"/>
        <w:jc w:val="both"/>
      </w:pPr>
      <w:r>
        <w:rPr/>
        <w:t>担保的可能性、信用记录及其它因素诸如目前市场状况等评估债务人的信用资质并设置相应欠款额度与信用期限。本集团已</w:t>
      </w:r>
    </w:p>
    <w:p>
      <w:pPr>
        <w:pStyle w:val="BodyText"/>
        <w:spacing w:line="316" w:lineRule="auto" w:before="76"/>
        <w:ind w:left="153" w:right="1129"/>
        <w:jc w:val="both"/>
      </w:pPr>
      <w:r>
        <w:rPr>
          <w:spacing w:val="-2"/>
        </w:rPr>
        <w:t>采取政策只与信用良好的交易对手方合作并在有必要时获取足够的抵押品，以此缓解因交易对手方未能履行合同义务而产生</w:t>
      </w:r>
      <w:r>
        <w:rPr>
          <w:spacing w:val="-64"/>
        </w:rPr>
        <w:t> </w:t>
      </w:r>
      <w:r>
        <w:rPr>
          <w:spacing w:val="-64"/>
        </w:rPr>
      </w:r>
      <w:r>
        <w:rPr>
          <w:spacing w:val="-2"/>
        </w:rPr>
        <w:t>财务损失的风险。本集团会定期对债务人信用记录进行监控，对于信用记录不良的债务人，本集团会采用书面催款、缩短信</w:t>
      </w:r>
      <w:r>
        <w:rPr>
          <w:spacing w:val="-66"/>
        </w:rPr>
        <w:t> </w:t>
      </w:r>
      <w:r>
        <w:rPr>
          <w:spacing w:val="-66"/>
        </w:rPr>
      </w:r>
      <w:r>
        <w:rPr/>
        <w:t>用期或取消信用期等方式，以确保本集团的整体信用风险在可控的范围内。</w:t>
      </w:r>
    </w:p>
    <w:p>
      <w:pPr>
        <w:pStyle w:val="BodyText"/>
        <w:spacing w:line="316" w:lineRule="auto" w:before="59"/>
        <w:ind w:left="153" w:right="1130" w:firstLine="360"/>
        <w:jc w:val="both"/>
      </w:pPr>
      <w:r>
        <w:rPr>
          <w:spacing w:val="-2"/>
        </w:rPr>
        <w:t>本集团应收账款的债务人为分布于不同行业和地区的客户。本集团持续对应收账款的财务状况实施信用评估，并在适当</w:t>
      </w:r>
      <w:r>
        <w:rPr/>
        <w:t> 时购买信用担保保险。</w:t>
      </w:r>
    </w:p>
    <w:p>
      <w:pPr>
        <w:pStyle w:val="BodyText"/>
        <w:spacing w:line="316" w:lineRule="auto" w:before="58"/>
        <w:ind w:left="153" w:right="1131" w:firstLine="360"/>
        <w:jc w:val="both"/>
      </w:pPr>
      <w:r>
        <w:rPr>
          <w:spacing w:val="-2"/>
        </w:rPr>
        <w:t>本集团所承受的最大信用风险敞口为资产负债表中每项金融资产的账面金额。本集团没有提供任何其他可能令本集团承</w:t>
      </w:r>
      <w:r>
        <w:rPr/>
        <w:t> 受信用风险的担保。</w:t>
      </w:r>
    </w:p>
    <w:p>
      <w:pPr>
        <w:pStyle w:val="BodyText"/>
        <w:spacing w:line="300" w:lineRule="auto" w:before="58"/>
        <w:ind w:right="1199" w:firstLine="360"/>
        <w:jc w:val="both"/>
      </w:pPr>
      <w:r>
        <w:rPr/>
        <w:t>本集团应收账款中，欠款金额前五大客户的应收账款占本集团应收账款总额的</w:t>
      </w:r>
      <w:r>
        <w:rPr>
          <w:spacing w:val="-46"/>
        </w:rPr>
        <w:t> </w:t>
      </w:r>
      <w:r>
        <w:rPr>
          <w:rFonts w:ascii="Times New Roman" w:hAnsi="Times New Roman" w:cs="Times New Roman" w:eastAsia="Times New Roman" w:hint="default"/>
        </w:rPr>
        <w:t>26.38%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24.39%</w:t>
      </w:r>
      <w:r>
        <w:rPr>
          <w:spacing w:val="-90"/>
        </w:rPr>
        <w:t>）</w:t>
      </w:r>
      <w:r>
        <w:rPr/>
        <w:t>；本</w:t>
      </w:r>
      <w:r>
        <w:rPr>
          <w:spacing w:val="-2"/>
        </w:rPr>
        <w:t>集</w:t>
      </w:r>
      <w:r>
        <w:rPr/>
        <w:t>团其</w:t>
      </w:r>
      <w:r>
        <w:rPr/>
        <w:t> 他应收款中，欠款金额前五大公司的其他应收款占本集团其他应收款总额的</w:t>
      </w:r>
      <w:r>
        <w:rPr>
          <w:spacing w:val="-46"/>
        </w:rPr>
        <w:t> </w:t>
      </w:r>
      <w:r>
        <w:rPr>
          <w:rFonts w:ascii="Times New Roman" w:hAnsi="Times New Roman" w:cs="Times New Roman" w:eastAsia="Times New Roman" w:hint="default"/>
        </w:rPr>
        <w:t>23.46%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21.34%</w:t>
      </w:r>
      <w:r>
        <w:rPr>
          <w:spacing w:val="-90"/>
        </w:rPr>
        <w:t>）</w:t>
      </w:r>
      <w:r>
        <w:rPr/>
        <w:t>。</w:t>
      </w:r>
    </w:p>
    <w:p>
      <w:pPr>
        <w:pStyle w:val="BodyText"/>
        <w:spacing w:line="348" w:lineRule="auto" w:before="53"/>
        <w:ind w:left="514" w:right="1117"/>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316" w:lineRule="auto"/>
        <w:ind w:right="1129"/>
        <w:jc w:val="both"/>
      </w:pPr>
      <w:r>
        <w:rPr>
          <w:spacing w:val="-2"/>
        </w:rPr>
        <w:t>金流量波动的影响。本集团管理层对银行借款的使用情况进行监控并确保遵守借款协议。同时从主要金融机构获得提供足够</w:t>
      </w:r>
      <w:r>
        <w:rPr>
          <w:spacing w:val="-64"/>
        </w:rPr>
        <w:t> </w:t>
      </w:r>
      <w:r>
        <w:rPr>
          <w:spacing w:val="-64"/>
        </w:rPr>
      </w:r>
      <w:r>
        <w:rPr/>
        <w:t>备用资金的承诺，以满足短期和长期的资金需求。</w:t>
      </w:r>
    </w:p>
    <w:p>
      <w:pPr>
        <w:spacing w:after="0" w:line="316" w:lineRule="auto"/>
        <w:jc w:val="both"/>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513" w:right="0"/>
        <w:jc w:val="left"/>
      </w:pPr>
      <w:r>
        <w:rPr/>
        <w:t>本集团通过经营业务产生的资金及银行及其他借款来筹措营运资金。于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日，本集团尚未使用的银行借</w:t>
      </w:r>
    </w:p>
    <w:p>
      <w:pPr>
        <w:pStyle w:val="BodyText"/>
        <w:spacing w:line="338" w:lineRule="auto" w:before="63"/>
        <w:ind w:left="514" w:right="3010" w:hanging="360"/>
        <w:jc w:val="left"/>
      </w:pPr>
      <w:r>
        <w:rPr/>
        <w:t>款额度为</w:t>
      </w:r>
      <w:r>
        <w:rPr>
          <w:spacing w:val="-46"/>
        </w:rPr>
        <w:t> </w:t>
      </w:r>
      <w:r>
        <w:rPr>
          <w:rFonts w:ascii="Times New Roman" w:hAnsi="Times New Roman" w:cs="Times New Roman" w:eastAsia="Times New Roman" w:hint="default"/>
        </w:rPr>
        <w:t>206,500.00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165,000.00</w:t>
      </w:r>
      <w:r>
        <w:rPr>
          <w:rFonts w:ascii="Times New Roman" w:hAnsi="Times New Roman" w:cs="Times New Roman" w:eastAsia="Times New Roman" w:hint="default"/>
          <w:spacing w:val="-2"/>
        </w:rPr>
        <w:t> </w:t>
      </w:r>
      <w:r>
        <w:rPr>
          <w:spacing w:val="-23"/>
        </w:rPr>
        <w:t>万元）。</w:t>
      </w:r>
      <w:r>
        <w:rPr/>
        <w:t> 期末，本集团持有的金融负债和表外担保项目按未折现剩余合同现金流量的到期期限分析如下</w:t>
      </w:r>
    </w:p>
    <w:p>
      <w:pPr>
        <w:pStyle w:val="BodyText"/>
        <w:spacing w:line="240" w:lineRule="auto" w:before="43"/>
        <w:ind w:left="0" w:right="1129"/>
        <w:jc w:val="right"/>
      </w:pPr>
      <w:r>
        <w:rPr/>
        <w:t>单位：人民币万元</w:t>
      </w:r>
    </w:p>
    <w:p>
      <w:pPr>
        <w:spacing w:line="240" w:lineRule="auto" w:before="1"/>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653"/>
        <w:gridCol w:w="1417"/>
        <w:gridCol w:w="1416"/>
        <w:gridCol w:w="1418"/>
        <w:gridCol w:w="1378"/>
      </w:tblGrid>
      <w:tr>
        <w:trPr>
          <w:trHeight w:val="412" w:hRule="exact"/>
        </w:trPr>
        <w:tc>
          <w:tcPr>
            <w:tcW w:w="365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562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25" w:hRule="exact"/>
        </w:trPr>
        <w:tc>
          <w:tcPr>
            <w:tcW w:w="3653" w:type="dxa"/>
            <w:vMerge/>
            <w:tcBorders>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1"/>
              <w:ind w:left="608" w:right="156" w:hanging="450"/>
              <w:jc w:val="left"/>
              <w:rPr>
                <w:rFonts w:ascii="宋体" w:hAnsi="宋体" w:cs="宋体" w:eastAsia="宋体" w:hint="default"/>
                <w:sz w:val="18"/>
                <w:szCs w:val="18"/>
              </w:rPr>
            </w:pPr>
            <w:r>
              <w:rPr>
                <w:rFonts w:ascii="宋体" w:hAnsi="宋体" w:cs="宋体" w:eastAsia="宋体" w:hint="default"/>
                <w:sz w:val="18"/>
                <w:szCs w:val="18"/>
              </w:rPr>
              <w:t>一年至五年以 内</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18"/>
                <w:szCs w:val="18"/>
              </w:rPr>
            </w:pPr>
            <w:r>
              <w:rPr>
                <w:rFonts w:ascii="Times New Roman"/>
                <w:sz w:val="18"/>
              </w:rPr>
              <w:t>43,000.00</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43,000.00</w:t>
            </w:r>
          </w:p>
        </w:tc>
      </w:tr>
      <w:tr>
        <w:trPr>
          <w:trHeight w:val="41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18"/>
                <w:szCs w:val="18"/>
              </w:rPr>
            </w:pPr>
            <w:r>
              <w:rPr>
                <w:rFonts w:ascii="Times New Roman"/>
                <w:sz w:val="18"/>
              </w:rPr>
              <w:t>18,631.29</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7,570.82</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
                <w:sz w:val="18"/>
              </w:rPr>
              <w:t>26,202.11</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z w:val="18"/>
              </w:rPr>
              <w:t>2,364.21</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2,364.21</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4"/>
              <w:jc w:val="right"/>
              <w:rPr>
                <w:rFonts w:ascii="Times New Roman" w:hAnsi="Times New Roman" w:cs="Times New Roman" w:eastAsia="Times New Roman" w:hint="default"/>
                <w:sz w:val="18"/>
                <w:szCs w:val="18"/>
              </w:rPr>
            </w:pPr>
            <w:r>
              <w:rPr>
                <w:rFonts w:ascii="Times New Roman"/>
                <w:sz w:val="18"/>
              </w:rPr>
              <w:t>7,280.35</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7,280.35</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3"/>
              <w:jc w:val="right"/>
              <w:rPr>
                <w:rFonts w:ascii="Times New Roman" w:hAnsi="Times New Roman" w:cs="Times New Roman" w:eastAsia="Times New Roman" w:hint="default"/>
                <w:sz w:val="18"/>
                <w:szCs w:val="18"/>
              </w:rPr>
            </w:pPr>
            <w:r>
              <w:rPr>
                <w:rFonts w:ascii="Times New Roman"/>
                <w:sz w:val="18"/>
              </w:rPr>
              <w:t>71,275.85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7,570.82</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z w:val="18"/>
              </w:rPr>
              <w:t>78,846.67</w:t>
            </w:r>
          </w:p>
        </w:tc>
      </w:tr>
    </w:tbl>
    <w:p>
      <w:pPr>
        <w:pStyle w:val="BodyText"/>
        <w:spacing w:line="240" w:lineRule="auto" w:before="52"/>
        <w:ind w:left="514" w:right="2239"/>
        <w:jc w:val="left"/>
      </w:pPr>
      <w:r>
        <w:rPr/>
        <w:t>期初，本集团持有的金融负债和表外担保项目按未折现剩余合同现金流量的到期期限分析如下：</w:t>
      </w:r>
    </w:p>
    <w:p>
      <w:pPr>
        <w:pStyle w:val="BodyText"/>
        <w:spacing w:line="240" w:lineRule="auto" w:before="116"/>
        <w:ind w:left="0" w:right="1131"/>
        <w:jc w:val="right"/>
      </w:pPr>
      <w:r>
        <w:rPr/>
        <w:t>单位：人民币万元</w:t>
      </w:r>
    </w:p>
    <w:p>
      <w:pPr>
        <w:spacing w:line="240" w:lineRule="auto" w:before="1"/>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653"/>
        <w:gridCol w:w="1417"/>
        <w:gridCol w:w="1416"/>
        <w:gridCol w:w="1418"/>
        <w:gridCol w:w="1378"/>
      </w:tblGrid>
      <w:tr>
        <w:trPr>
          <w:trHeight w:val="412" w:hRule="exact"/>
        </w:trPr>
        <w:tc>
          <w:tcPr>
            <w:tcW w:w="3653" w:type="dxa"/>
            <w:vMerge w:val="restart"/>
            <w:tcBorders>
              <w:top w:val="single" w:sz="8" w:space="0" w:color="000000"/>
              <w:left w:val="single" w:sz="8" w:space="0" w:color="000000"/>
              <w:right w:val="single" w:sz="8"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5629" w:type="dxa"/>
            <w:gridSpan w:val="4"/>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24" w:hRule="exact"/>
        </w:trPr>
        <w:tc>
          <w:tcPr>
            <w:tcW w:w="3653" w:type="dxa"/>
            <w:vMerge/>
            <w:tcBorders>
              <w:left w:val="single" w:sz="8" w:space="0" w:color="000000"/>
              <w:bottom w:val="single" w:sz="8" w:space="0" w:color="000000"/>
              <w:right w:val="single" w:sz="8" w:space="0" w:color="000000"/>
            </w:tcBorders>
            <w:shd w:val="clear" w:color="auto" w:fill="D0CECE"/>
          </w:tcPr>
          <w:p>
            <w:pPr/>
          </w:p>
        </w:tc>
        <w:tc>
          <w:tcPr>
            <w:tcW w:w="1417"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19" w:lineRule="auto" w:before="50"/>
              <w:ind w:left="608" w:right="156" w:hanging="450"/>
              <w:jc w:val="left"/>
              <w:rPr>
                <w:rFonts w:ascii="宋体" w:hAnsi="宋体" w:cs="宋体" w:eastAsia="宋体" w:hint="default"/>
                <w:sz w:val="18"/>
                <w:szCs w:val="18"/>
              </w:rPr>
            </w:pPr>
            <w:r>
              <w:rPr>
                <w:rFonts w:ascii="宋体" w:hAnsi="宋体" w:cs="宋体" w:eastAsia="宋体" w:hint="default"/>
                <w:sz w:val="18"/>
                <w:szCs w:val="18"/>
              </w:rPr>
              <w:t>一年至五年以 内</w:t>
            </w:r>
          </w:p>
        </w:tc>
        <w:tc>
          <w:tcPr>
            <w:tcW w:w="1418"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78"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39" w:right="0"/>
              <w:jc w:val="left"/>
              <w:rPr>
                <w:rFonts w:ascii="Times New Roman" w:hAnsi="Times New Roman" w:cs="Times New Roman" w:eastAsia="Times New Roman" w:hint="default"/>
                <w:sz w:val="18"/>
                <w:szCs w:val="18"/>
              </w:rPr>
            </w:pPr>
            <w:r>
              <w:rPr>
                <w:rFonts w:ascii="Times New Roman"/>
                <w:sz w:val="18"/>
              </w:rPr>
              <w:t>49,500.00</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49,500.00</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39" w:right="0"/>
              <w:jc w:val="left"/>
              <w:rPr>
                <w:rFonts w:ascii="Times New Roman" w:hAnsi="Times New Roman" w:cs="Times New Roman" w:eastAsia="Times New Roman" w:hint="default"/>
                <w:sz w:val="18"/>
                <w:szCs w:val="18"/>
              </w:rPr>
            </w:pPr>
            <w:r>
              <w:rPr>
                <w:rFonts w:ascii="Times New Roman"/>
                <w:sz w:val="18"/>
              </w:rPr>
              <w:t>20,283.64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381"/>
              <w:jc w:val="right"/>
              <w:rPr>
                <w:rFonts w:ascii="Times New Roman" w:hAnsi="Times New Roman" w:cs="Times New Roman" w:eastAsia="Times New Roman" w:hint="default"/>
                <w:sz w:val="18"/>
                <w:szCs w:val="18"/>
              </w:rPr>
            </w:pPr>
            <w:r>
              <w:rPr>
                <w:rFonts w:ascii="Times New Roman"/>
                <w:sz w:val="18"/>
              </w:rPr>
              <w:t>9,352.44</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29,636.08</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3" w:right="0"/>
              <w:jc w:val="left"/>
              <w:rPr>
                <w:rFonts w:ascii="Times New Roman" w:hAnsi="Times New Roman" w:cs="Times New Roman" w:eastAsia="Times New Roman" w:hint="default"/>
                <w:sz w:val="18"/>
                <w:szCs w:val="18"/>
              </w:rPr>
            </w:pPr>
            <w:r>
              <w:rPr>
                <w:rFonts w:ascii="Times New Roman"/>
                <w:sz w:val="18"/>
              </w:rPr>
              <w:t>1,921.42</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1,921.42</w:t>
            </w:r>
          </w:p>
        </w:tc>
      </w:tr>
      <w:tr>
        <w:trPr>
          <w:trHeight w:val="41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383" w:right="0"/>
              <w:jc w:val="left"/>
              <w:rPr>
                <w:rFonts w:ascii="Times New Roman" w:hAnsi="Times New Roman" w:cs="Times New Roman" w:eastAsia="Times New Roman" w:hint="default"/>
                <w:sz w:val="18"/>
                <w:szCs w:val="18"/>
              </w:rPr>
            </w:pPr>
            <w:r>
              <w:rPr>
                <w:rFonts w:ascii="Times New Roman"/>
                <w:sz w:val="18"/>
              </w:rPr>
              <w:t>2,901.59</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2,901.59</w:t>
            </w:r>
          </w:p>
        </w:tc>
      </w:tr>
      <w:tr>
        <w:trPr>
          <w:trHeight w:val="41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left="339" w:right="0"/>
              <w:jc w:val="left"/>
              <w:rPr>
                <w:rFonts w:ascii="Times New Roman" w:hAnsi="Times New Roman" w:cs="Times New Roman" w:eastAsia="Times New Roman" w:hint="default"/>
                <w:sz w:val="18"/>
                <w:szCs w:val="18"/>
              </w:rPr>
            </w:pPr>
            <w:r>
              <w:rPr>
                <w:rFonts w:ascii="Times New Roman"/>
                <w:sz w:val="18"/>
              </w:rPr>
              <w:t>74,606.65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381"/>
              <w:jc w:val="right"/>
              <w:rPr>
                <w:rFonts w:ascii="Times New Roman" w:hAnsi="Times New Roman" w:cs="Times New Roman" w:eastAsia="Times New Roman" w:hint="default"/>
                <w:sz w:val="18"/>
                <w:szCs w:val="18"/>
              </w:rPr>
            </w:pPr>
            <w:r>
              <w:rPr>
                <w:rFonts w:ascii="Times New Roman"/>
                <w:sz w:val="18"/>
              </w:rPr>
              <w:t>9,352.44</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83,959.09</w:t>
            </w:r>
          </w:p>
        </w:tc>
      </w:tr>
    </w:tbl>
    <w:p>
      <w:pPr>
        <w:pStyle w:val="BodyText"/>
        <w:spacing w:line="338" w:lineRule="auto" w:before="52"/>
        <w:ind w:left="513" w:right="1117"/>
        <w:jc w:val="left"/>
      </w:pPr>
      <w:r>
        <w:rPr/>
        <w:t>（</w:t>
      </w: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金融工具的市场风险，是指金融工具的公允价值或未来现金流量因市场价格变动而发生波动的风险，包括利率风险和汇</w:t>
      </w:r>
    </w:p>
    <w:p>
      <w:pPr>
        <w:pStyle w:val="BodyText"/>
        <w:spacing w:line="240" w:lineRule="auto" w:before="2"/>
        <w:ind w:left="153" w:right="2239"/>
        <w:jc w:val="left"/>
      </w:pPr>
      <w:r>
        <w:rPr/>
        <w:t>率风险。</w:t>
      </w:r>
    </w:p>
    <w:p>
      <w:pPr>
        <w:pStyle w:val="BodyText"/>
        <w:spacing w:line="357" w:lineRule="auto" w:before="117"/>
        <w:ind w:left="513" w:right="0"/>
        <w:jc w:val="left"/>
      </w:pPr>
      <w:r>
        <w:rPr/>
        <w:t>（一）利率风险 </w:t>
      </w:r>
      <w:r>
        <w:rPr>
          <w:spacing w:val="-2"/>
        </w:rPr>
        <w:t>利率风险，是指金融工具的公允价值或未来现金流量因市场利率变动而发生波动的风险。利率风险可源于已确认的计息</w:t>
      </w:r>
    </w:p>
    <w:p>
      <w:pPr>
        <w:pStyle w:val="BodyText"/>
        <w:spacing w:line="224" w:lineRule="exact"/>
        <w:ind w:left="153" w:right="2239"/>
        <w:jc w:val="left"/>
      </w:pPr>
      <w:r>
        <w:rPr/>
        <w:t>金融工具和未确认的金融工具（如某些贷款承诺</w:t>
      </w:r>
      <w:r>
        <w:rPr>
          <w:spacing w:val="-90"/>
        </w:rPr>
        <w:t>）</w:t>
      </w:r>
      <w:r>
        <w:rPr/>
        <w:t>。</w:t>
      </w:r>
    </w:p>
    <w:p>
      <w:pPr>
        <w:pStyle w:val="BodyText"/>
        <w:spacing w:line="240" w:lineRule="auto" w:before="116"/>
        <w:ind w:left="513" w:right="2239"/>
        <w:jc w:val="left"/>
      </w:pPr>
      <w:r>
        <w:rPr/>
        <w:t>本集团所承担的利率变动风险不重大。</w:t>
      </w:r>
    </w:p>
    <w:p>
      <w:pPr>
        <w:pStyle w:val="BodyText"/>
        <w:spacing w:line="357" w:lineRule="auto" w:before="117"/>
        <w:ind w:left="513" w:right="0"/>
        <w:jc w:val="left"/>
      </w:pPr>
      <w:r>
        <w:rPr/>
        <w:t>（二）汇率风险 </w:t>
      </w:r>
      <w:r>
        <w:rPr>
          <w:spacing w:val="-2"/>
        </w:rPr>
        <w:t>汇率风险，是指金融工具的公允价值或未来现金流量因外汇汇率变动而发生波动的风险。汇率风险可源于以记账本位币</w:t>
      </w:r>
    </w:p>
    <w:p>
      <w:pPr>
        <w:pStyle w:val="BodyText"/>
        <w:spacing w:line="224" w:lineRule="exact"/>
        <w:ind w:left="153" w:right="2239"/>
        <w:jc w:val="left"/>
      </w:pPr>
      <w:r>
        <w:rPr/>
        <w:t>之外的外币进行计价的金融工具。</w:t>
      </w:r>
    </w:p>
    <w:p>
      <w:pPr>
        <w:pStyle w:val="BodyText"/>
        <w:spacing w:line="360" w:lineRule="auto" w:before="116"/>
        <w:ind w:left="513" w:right="2471"/>
        <w:jc w:val="left"/>
      </w:pPr>
      <w:r>
        <w:rPr/>
        <w:t>本集团的主要经营位于中国境内，主要业务以人民币结算。因此，本集团面临的汇率风险并不重大。 本集团期末外币金融资产和外币金融负债列示见本附注五之</w:t>
      </w:r>
      <w:r>
        <w:rPr>
          <w:spacing w:val="-46"/>
        </w:rPr>
        <w:t> </w:t>
      </w:r>
      <w:r>
        <w:rPr>
          <w:rFonts w:ascii="Times New Roman" w:hAnsi="Times New Roman" w:cs="Times New Roman" w:eastAsia="Times New Roman" w:hint="default"/>
        </w:rPr>
        <w:t>47</w:t>
      </w:r>
      <w:r>
        <w:rPr/>
        <w:t>、外币货币性项目。</w:t>
      </w:r>
    </w:p>
    <w:p>
      <w:pPr>
        <w:pStyle w:val="BodyText"/>
        <w:spacing w:line="240" w:lineRule="auto" w:before="2"/>
        <w:ind w:left="514" w:right="2239"/>
        <w:jc w:val="left"/>
      </w:pPr>
      <w:r>
        <w:rPr>
          <w:rFonts w:ascii="Times New Roman" w:hAnsi="Times New Roman" w:cs="Times New Roman" w:eastAsia="Times New Roman" w:hint="default"/>
        </w:rPr>
        <w:t>2</w:t>
      </w:r>
      <w:r>
        <w:rPr/>
        <w:t>、资本管理</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16" w:lineRule="auto" w:before="44"/>
        <w:ind w:left="153" w:right="0" w:firstLine="360"/>
        <w:jc w:val="left"/>
      </w:pPr>
      <w:r>
        <w:rPr>
          <w:spacing w:val="-2"/>
        </w:rPr>
        <w:t>本集团资本管理政策的目标是为了保障本集团能够持续经营，从而为股东提供回报，并使其他利益相关者获益，同时维</w:t>
      </w:r>
      <w:r>
        <w:rPr/>
        <w:t> 持最佳的资本结构以降低资本成本。</w:t>
      </w:r>
    </w:p>
    <w:p>
      <w:pPr>
        <w:pStyle w:val="BodyText"/>
        <w:spacing w:line="316" w:lineRule="auto" w:before="58"/>
        <w:ind w:left="153" w:right="1117" w:firstLine="360"/>
        <w:jc w:val="left"/>
      </w:pPr>
      <w:r>
        <w:rPr>
          <w:spacing w:val="-2"/>
        </w:rPr>
        <w:t>为了维持或调整资本结构，本集团可能会调整支付给股东的股利金额、向股东返还资本、发行新股或出售资产以减低债</w:t>
      </w:r>
      <w:r>
        <w:rPr/>
        <w:t> 务。</w:t>
      </w:r>
    </w:p>
    <w:p>
      <w:pPr>
        <w:pStyle w:val="BodyText"/>
        <w:spacing w:line="300" w:lineRule="auto" w:before="59"/>
        <w:ind w:right="1125" w:firstLine="360"/>
        <w:jc w:val="left"/>
      </w:pPr>
      <w:r>
        <w:rPr/>
        <w:t>本集团以资产负债率（即总负债除以总资产）为基础对资本结构进行监控。于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日，本集团的资产负债 率为</w:t>
      </w:r>
      <w:r>
        <w:rPr>
          <w:spacing w:val="-46"/>
        </w:rPr>
        <w:t> </w:t>
      </w:r>
      <w:r>
        <w:rPr>
          <w:rFonts w:ascii="Times New Roman" w:hAnsi="Times New Roman" w:cs="Times New Roman" w:eastAsia="Times New Roman" w:hint="default"/>
        </w:rPr>
        <w:t>42.09%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9"/>
        </w:rPr>
        <w:t>日：</w:t>
      </w:r>
      <w:r>
        <w:rPr>
          <w:rFonts w:ascii="Times New Roman" w:hAnsi="Times New Roman" w:cs="Times New Roman" w:eastAsia="Times New Roman" w:hint="default"/>
          <w:spacing w:val="-9"/>
        </w:rPr>
        <w:t>44.67%</w:t>
      </w:r>
      <w:r>
        <w:rPr>
          <w:spacing w:val="-9"/>
        </w:rPr>
        <w:t>）。</w:t>
      </w:r>
    </w:p>
    <w:p>
      <w:pPr>
        <w:spacing w:line="240" w:lineRule="auto" w:before="4"/>
        <w:rPr>
          <w:rFonts w:ascii="宋体" w:hAnsi="宋体" w:cs="宋体" w:eastAsia="宋体" w:hint="default"/>
          <w:sz w:val="20"/>
          <w:szCs w:val="20"/>
        </w:rPr>
      </w:pPr>
    </w:p>
    <w:p>
      <w:pPr>
        <w:pStyle w:val="Heading2"/>
        <w:spacing w:line="240" w:lineRule="auto"/>
        <w:ind w:right="2239"/>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2239"/>
        <w:jc w:val="left"/>
      </w:pPr>
      <w:r>
        <w:rPr/>
        <w:t>相同资产或负债在活跃市场中的报价（未经调整的</w:t>
      </w:r>
      <w:r>
        <w:rPr>
          <w:spacing w:val="-90"/>
        </w:rPr>
        <w:t>）</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直接（即价格）或间接（即从价格推导出）地使用除第一层次中的资产或负债的市场报价之外的可观察输入值。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资产或负债使用了任何非基于可观察市场数据的输入值（不可观察输入值</w:t>
      </w:r>
      <w:r>
        <w:rPr>
          <w:spacing w:val="-90"/>
        </w:rPr>
        <w:t>）</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6971"/>
        <w:jc w:val="left"/>
      </w:pPr>
      <w:r>
        <w:rPr/>
        <w:t>（</w:t>
      </w:r>
      <w:r>
        <w:rPr>
          <w:rFonts w:ascii="Times New Roman" w:hAnsi="Times New Roman" w:cs="Times New Roman" w:eastAsia="Times New Roman" w:hint="default"/>
        </w:rPr>
        <w:t>1</w:t>
      </w:r>
      <w:r>
        <w:rPr/>
        <w:t>）以公允价值计量的项目和金额 本集团本期不存在以公允价值计量的项目。</w:t>
      </w:r>
    </w:p>
    <w:p>
      <w:pPr>
        <w:pStyle w:val="BodyText"/>
        <w:spacing w:line="338" w:lineRule="auto" w:before="43"/>
        <w:ind w:left="513" w:right="0"/>
        <w:jc w:val="left"/>
      </w:pPr>
      <w:r>
        <w:rPr/>
        <w:t>（</w:t>
      </w:r>
      <w:r>
        <w:rPr>
          <w:rFonts w:ascii="Times New Roman" w:hAnsi="Times New Roman" w:cs="Times New Roman" w:eastAsia="Times New Roman" w:hint="default"/>
        </w:rPr>
        <w:t>2</w:t>
      </w:r>
      <w:r>
        <w:rPr/>
        <w:t>）不以公允价值计量但披露其公允价值的项目和金额 </w:t>
      </w:r>
      <w:r>
        <w:rPr>
          <w:spacing w:val="-2"/>
        </w:rPr>
        <w:t>本集团以摊余成本计量的金融资产和金融负债主要包括：货币资金、应收票据、应收账款、其他应收款、短期借款、应</w:t>
      </w:r>
    </w:p>
    <w:p>
      <w:pPr>
        <w:spacing w:after="0" w:line="338"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357" w:lineRule="auto" w:before="44"/>
        <w:ind w:left="513" w:right="3551" w:hanging="360"/>
        <w:jc w:val="left"/>
      </w:pPr>
      <w:r>
        <w:rPr/>
        <w:t>付票据、应付账款、其他应付款等。 本集团上述不以公允价值计量的金融资产和金融负债的账面价值与公允价值相差很小。</w:t>
      </w:r>
    </w:p>
    <w:p>
      <w:pPr>
        <w:spacing w:line="240" w:lineRule="auto" w:before="3"/>
        <w:rPr>
          <w:rFonts w:ascii="宋体" w:hAnsi="宋体" w:cs="宋体" w:eastAsia="宋体" w:hint="default"/>
          <w:sz w:val="20"/>
          <w:szCs w:val="20"/>
        </w:rPr>
      </w:pPr>
    </w:p>
    <w:p>
      <w:pPr>
        <w:spacing w:line="487" w:lineRule="auto" w:before="0"/>
        <w:ind w:left="154" w:right="8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6" w:right="0"/>
              <w:jc w:val="left"/>
              <w:rPr>
                <w:rFonts w:ascii="Times New Roman" w:hAnsi="Times New Roman" w:cs="Times New Roman" w:eastAsia="Times New Roman" w:hint="default"/>
                <w:sz w:val="18"/>
                <w:szCs w:val="18"/>
              </w:rPr>
            </w:pPr>
            <w:r>
              <w:rPr>
                <w:rFonts w:ascii="Times New Roman"/>
                <w:sz w:val="18"/>
              </w:rPr>
              <w:t>20.74%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6" w:right="0"/>
              <w:jc w:val="left"/>
              <w:rPr>
                <w:rFonts w:ascii="Times New Roman" w:hAnsi="Times New Roman" w:cs="Times New Roman" w:eastAsia="Times New Roman" w:hint="default"/>
                <w:sz w:val="18"/>
                <w:szCs w:val="18"/>
              </w:rPr>
            </w:pPr>
            <w:r>
              <w:rPr>
                <w:rFonts w:ascii="Times New Roman"/>
                <w:sz w:val="18"/>
              </w:rPr>
              <w:t>20.74%</w:t>
            </w:r>
          </w:p>
        </w:tc>
      </w:tr>
    </w:tbl>
    <w:p>
      <w:pPr>
        <w:pStyle w:val="BodyText"/>
        <w:spacing w:line="348" w:lineRule="auto" w:before="51"/>
        <w:ind w:left="513" w:right="6012" w:hanging="360"/>
        <w:jc w:val="left"/>
      </w:pPr>
      <w:r>
        <w:rPr/>
        <w:t>本企业的母公司情况的说明 本公司的控股股东为鲁峰，持有本公司</w:t>
      </w:r>
      <w:r>
        <w:rPr>
          <w:spacing w:val="-46"/>
        </w:rPr>
        <w:t> </w:t>
      </w:r>
      <w:r>
        <w:rPr>
          <w:rFonts w:ascii="Times New Roman" w:hAnsi="Times New Roman" w:cs="Times New Roman" w:eastAsia="Times New Roman" w:hint="default"/>
        </w:rPr>
        <w:t>20.74%</w:t>
      </w:r>
      <w:r>
        <w:rPr/>
        <w:t>的股份。 本企业最终控制方是鲁峰。</w:t>
      </w:r>
    </w:p>
    <w:p>
      <w:pPr>
        <w:pStyle w:val="BodyText"/>
        <w:spacing w:line="360" w:lineRule="auto" w:before="35"/>
        <w:ind w:right="9850"/>
        <w:jc w:val="left"/>
      </w:pPr>
      <w:r>
        <w:rPr/>
        <w:t>其他说明： 无。</w:t>
      </w:r>
    </w:p>
    <w:p>
      <w:pPr>
        <w:spacing w:line="240" w:lineRule="auto" w:before="1"/>
        <w:rPr>
          <w:rFonts w:ascii="宋体" w:hAnsi="宋体" w:cs="宋体" w:eastAsia="宋体" w:hint="default"/>
          <w:sz w:val="20"/>
          <w:szCs w:val="20"/>
        </w:rPr>
      </w:pPr>
    </w:p>
    <w:p>
      <w:pPr>
        <w:spacing w:line="547" w:lineRule="auto" w:before="0"/>
        <w:ind w:left="154" w:right="67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49"/>
        <w:ind w:left="153" w:right="2291"/>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福建文鑫莲业有限责任公司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12.58%</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建宁县日升投资有限公司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p>
        </w:tc>
      </w:tr>
    </w:tbl>
    <w:p>
      <w:pPr>
        <w:pStyle w:val="BodyText"/>
        <w:spacing w:line="240" w:lineRule="auto" w:before="69"/>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子公司福建星榕基信息科技有限责任公司的参股股东（持股</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3,528,675.21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377,358.49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4,754,716.98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福建闽光软件股份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566,037.74</w:t>
            </w:r>
          </w:p>
        </w:tc>
      </w:tr>
    </w:tbl>
    <w:p>
      <w:pPr>
        <w:pStyle w:val="BodyText"/>
        <w:spacing w:line="240" w:lineRule="auto" w:before="51"/>
        <w:ind w:right="223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17,174,998.87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17,349,221.61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4,694,487.13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11,725,269.62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4,415,272.63</w:t>
            </w:r>
          </w:p>
        </w:tc>
      </w:tr>
    </w:tbl>
    <w:p>
      <w:pPr>
        <w:pStyle w:val="BodyText"/>
        <w:spacing w:line="240" w:lineRule="auto" w:before="51"/>
        <w:ind w:right="2239"/>
        <w:jc w:val="left"/>
      </w:pPr>
      <w:r>
        <w:rPr/>
        <w:t>购销商品、提供和接受劳务的关联交易说明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pStyle w:val="BodyText"/>
        <w:spacing w:line="338"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2239"/>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本公司作为出租方：</w:t>
      </w:r>
    </w:p>
    <w:p>
      <w:pPr>
        <w:pStyle w:val="BodyText"/>
        <w:spacing w:line="240" w:lineRule="auto" w:before="116"/>
        <w:ind w:left="0" w:right="1131"/>
        <w:jc w:val="right"/>
      </w:pPr>
      <w:r>
        <w:rPr/>
        <w:t>单位： 元</w:t>
      </w:r>
    </w:p>
    <w:p>
      <w:pPr>
        <w:spacing w:after="0" w:line="240" w:lineRule="auto"/>
        <w:jc w:val="right"/>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2239"/>
        <w:jc w:val="left"/>
      </w:pPr>
      <w:r>
        <w:rPr/>
        <w:t>本公司作为承租方：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969,309.84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930,038.21</w:t>
            </w:r>
          </w:p>
        </w:tc>
      </w:tr>
    </w:tbl>
    <w:p>
      <w:pPr>
        <w:pStyle w:val="BodyText"/>
        <w:spacing w:line="240" w:lineRule="auto" w:before="51"/>
        <w:ind w:right="2239"/>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t>本公司作为担保方</w:t>
      </w:r>
    </w:p>
    <w:p>
      <w:pPr>
        <w:pStyle w:val="BodyText"/>
        <w:spacing w:line="240" w:lineRule="auto" w:before="116"/>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2239"/>
        <w:jc w:val="left"/>
      </w:pPr>
      <w:r>
        <w:rPr/>
        <w:t>本公司作为被担保方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2239"/>
        <w:jc w:val="left"/>
      </w:pPr>
      <w:r>
        <w:rPr/>
        <w:t>关联担保情况说明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15,200,038.02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784,066.75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16,064,448.67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803,222.43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10,530.00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3,152,980.00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4,337,470.00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412,500.00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292,170.80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3,767,521.20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2"/>
        <w:rPr>
          <w:rFonts w:ascii="宋体" w:hAnsi="宋体" w:cs="宋体" w:eastAsia="宋体" w:hint="default"/>
          <w:sz w:val="26"/>
          <w:szCs w:val="26"/>
        </w:rPr>
      </w:pPr>
    </w:p>
    <w:p>
      <w:pPr>
        <w:spacing w:line="487" w:lineRule="auto" w:before="0"/>
        <w:ind w:left="154" w:right="83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7"/>
        <w:ind w:left="513" w:right="5891" w:hanging="360"/>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日，本集团不存在应披露的承诺事项。</w:t>
      </w:r>
    </w:p>
    <w:p>
      <w:pPr>
        <w:spacing w:line="240" w:lineRule="auto" w:before="3"/>
        <w:rPr>
          <w:rFonts w:ascii="宋体" w:hAnsi="宋体" w:cs="宋体" w:eastAsia="宋体" w:hint="default"/>
          <w:sz w:val="18"/>
          <w:szCs w:val="18"/>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截至2018年12月31日，本集团不存在应披露的未决诉讼、对外担保等或有事项。</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公司不存在需要披露的重要或有事项。</w:t>
      </w:r>
    </w:p>
    <w:p>
      <w:pPr>
        <w:spacing w:line="240" w:lineRule="auto" w:before="12"/>
        <w:rPr>
          <w:rFonts w:ascii="宋体" w:hAnsi="宋体" w:cs="宋体" w:eastAsia="宋体" w:hint="default"/>
          <w:sz w:val="26"/>
          <w:szCs w:val="26"/>
        </w:rPr>
      </w:pPr>
    </w:p>
    <w:p>
      <w:pPr>
        <w:spacing w:line="487" w:lineRule="auto" w:before="0"/>
        <w:ind w:left="154" w:right="7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6,222,000.00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6,222,000.00</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截至2019年3月29日，本集团不存在其他应披露的资产负债表日后事项。</w:t>
      </w:r>
    </w:p>
    <w:p>
      <w:pPr>
        <w:spacing w:after="0" w:line="240" w:lineRule="auto"/>
        <w:jc w:val="left"/>
        <w:sectPr>
          <w:pgSz w:w="11910" w:h="16840"/>
          <w:pgMar w:header="748" w:footer="977"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）其他资产置换</w:t>
      </w:r>
      <w:r>
        <w:rPr>
          <w:b w:val="0"/>
          <w:bCs w:val="0"/>
        </w:rPr>
      </w:r>
    </w:p>
    <w:p>
      <w:pPr>
        <w:pStyle w:val="BodyText"/>
        <w:spacing w:line="520" w:lineRule="atLeast" w:before="62"/>
        <w:ind w:left="514" w:right="1120"/>
        <w:jc w:val="left"/>
      </w:pPr>
      <w:r>
        <w:rPr/>
        <w:t>重要资产转让及出售 公司2018年7月19日召开第四届董事会第十一次会议，审议通过了《关于签订全资子公司股权转让合同的议案》。根据</w:t>
      </w:r>
    </w:p>
    <w:p>
      <w:pPr>
        <w:pStyle w:val="BodyText"/>
        <w:spacing w:line="316" w:lineRule="auto" w:before="76"/>
        <w:ind w:left="153" w:right="1131"/>
        <w:jc w:val="both"/>
      </w:pPr>
      <w:r>
        <w:rPr>
          <w:spacing w:val="-2"/>
        </w:rPr>
        <w:t>合同约定，福建榕基软件股份有限公司持有马鞍山榕基软件信息科技有限公司100%的股权，马鞍山榕基软件信息科技有限公</w:t>
      </w:r>
      <w:r>
        <w:rPr>
          <w:spacing w:val="-60"/>
        </w:rPr>
        <w:t> </w:t>
      </w:r>
      <w:r>
        <w:rPr>
          <w:spacing w:val="-60"/>
        </w:rPr>
      </w:r>
      <w:r>
        <w:rPr>
          <w:spacing w:val="-2"/>
        </w:rPr>
        <w:t>司持有马鞍山榕基置业投资有限公司100%的股权，北京海圣投资基金管理有限公司拟以9,300.00万元收购福建榕基软件股份</w:t>
      </w:r>
      <w:r>
        <w:rPr>
          <w:spacing w:val="-52"/>
        </w:rPr>
        <w:t> </w:t>
      </w:r>
      <w:r>
        <w:rPr>
          <w:spacing w:val="-52"/>
        </w:rPr>
      </w:r>
      <w:r>
        <w:rPr>
          <w:spacing w:val="-2"/>
        </w:rPr>
        <w:t>有限公司持有的马鞍山榕基软件信息科技有限公司100%的股权，间接收购马鞍山榕基置业投资有限公司100%的股权，从而对</w:t>
      </w:r>
      <w:r>
        <w:rPr>
          <w:spacing w:val="-56"/>
        </w:rPr>
        <w:t> </w:t>
      </w:r>
      <w:r>
        <w:rPr>
          <w:spacing w:val="-56"/>
        </w:rPr>
      </w:r>
      <w:r>
        <w:rPr/>
        <w:t>现有的产业园区进行深入的开发建设，优化产业园生态业务。截至2018年12月31日，该股权转让尚未完成。</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2239"/>
        <w:jc w:val="left"/>
      </w:pPr>
      <w:r>
        <w:rPr/>
        <w:t>其他说明</w:t>
      </w:r>
    </w:p>
    <w:p>
      <w:pPr>
        <w:spacing w:after="0" w:line="240" w:lineRule="auto"/>
        <w:jc w:val="left"/>
        <w:sectPr>
          <w:pgSz w:w="11910" w:h="16840"/>
          <w:pgMar w:header="748" w:footer="97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2239"/>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2239"/>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除系统集成业务、软件产品及服务业务外，本集团未经营其他对经营成果有重大影响的业务。同时，由于本集团仅于一</w:t>
      </w:r>
      <w:r>
        <w:rPr/>
        <w:t> 个地域内经营业务，收入主要来自中国境内，其主要资产亦位于中国境内，因此本集团无需披露分部数据。</w:t>
      </w:r>
    </w:p>
    <w:p>
      <w:pPr>
        <w:spacing w:line="240" w:lineRule="auto" w:before="7"/>
        <w:rPr>
          <w:rFonts w:ascii="宋体" w:hAnsi="宋体" w:cs="宋体" w:eastAsia="宋体" w:hint="default"/>
          <w:sz w:val="22"/>
          <w:szCs w:val="22"/>
        </w:rPr>
      </w:pPr>
    </w:p>
    <w:p>
      <w:pPr>
        <w:pStyle w:val="Heading3"/>
        <w:spacing w:line="240" w:lineRule="auto"/>
        <w:ind w:right="2239"/>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（1）计入递延收益的政府补助，后续采用总额法计量 </w:t>
      </w:r>
    </w:p>
    <w:p>
      <w:pPr>
        <w:spacing w:line="240" w:lineRule="auto" w:before="5"/>
        <w:rPr>
          <w:rFonts w:ascii="宋体" w:hAnsi="宋体" w:cs="宋体" w:eastAsia="宋体" w:hint="default"/>
          <w:sz w:val="22"/>
          <w:szCs w:val="22"/>
        </w:rPr>
      </w:pPr>
    </w:p>
    <w:p>
      <w:pPr>
        <w:pStyle w:val="BodyText"/>
        <w:spacing w:line="240" w:lineRule="auto"/>
        <w:ind w:left="0" w:right="1041"/>
        <w:jc w:val="right"/>
      </w:pPr>
      <w:r>
        <w:rPr/>
        <w:t>单位： 元 </w:t>
      </w:r>
    </w:p>
    <w:p>
      <w:pPr>
        <w:spacing w:line="240" w:lineRule="auto" w:before="8"/>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2411"/>
        <w:gridCol w:w="1134"/>
        <w:gridCol w:w="1252"/>
        <w:gridCol w:w="1159"/>
        <w:gridCol w:w="524"/>
        <w:gridCol w:w="1175"/>
        <w:gridCol w:w="1134"/>
        <w:gridCol w:w="852"/>
      </w:tblGrid>
      <w:tr>
        <w:trPr>
          <w:trHeight w:val="1051" w:hRule="exact"/>
        </w:trPr>
        <w:tc>
          <w:tcPr>
            <w:tcW w:w="241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13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15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21" w:right="31" w:hanging="90"/>
              <w:jc w:val="left"/>
              <w:rPr>
                <w:rFonts w:ascii="宋体" w:hAnsi="宋体" w:cs="宋体" w:eastAsia="宋体" w:hint="default"/>
                <w:sz w:val="18"/>
                <w:szCs w:val="18"/>
              </w:rPr>
            </w:pPr>
            <w:r>
              <w:rPr>
                <w:rFonts w:ascii="宋体" w:hAnsi="宋体" w:cs="宋体" w:eastAsia="宋体" w:hint="default"/>
                <w:sz w:val="18"/>
                <w:szCs w:val="18"/>
              </w:rPr>
              <w:t>本期结转计入 损益的金额</w:t>
            </w:r>
          </w:p>
        </w:tc>
        <w:tc>
          <w:tcPr>
            <w:tcW w:w="52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74" w:right="7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7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
              <w:ind w:right="0"/>
              <w:jc w:val="left"/>
              <w:rPr>
                <w:rFonts w:ascii="宋体" w:hAnsi="宋体" w:cs="宋体" w:eastAsia="宋体" w:hint="default"/>
                <w:sz w:val="15"/>
                <w:szCs w:val="15"/>
              </w:rPr>
            </w:pPr>
          </w:p>
          <w:p>
            <w:pPr>
              <w:pStyle w:val="TableParagraph"/>
              <w:spacing w:line="357" w:lineRule="auto"/>
              <w:ind w:left="399" w:right="398"/>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113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0"/>
              <w:ind w:left="20" w:right="17"/>
              <w:jc w:val="center"/>
              <w:rPr>
                <w:rFonts w:ascii="宋体" w:hAnsi="宋体" w:cs="宋体" w:eastAsia="宋体" w:hint="default"/>
                <w:sz w:val="18"/>
                <w:szCs w:val="18"/>
              </w:rPr>
            </w:pPr>
            <w:r>
              <w:rPr>
                <w:rFonts w:ascii="宋体" w:hAnsi="宋体" w:cs="宋体" w:eastAsia="宋体" w:hint="default"/>
                <w:sz w:val="18"/>
                <w:szCs w:val="18"/>
              </w:rPr>
              <w:t>本期结转计入 损益的列报项 目</w:t>
            </w:r>
          </w:p>
        </w:tc>
        <w:tc>
          <w:tcPr>
            <w:tcW w:w="85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09" w:lineRule="auto" w:before="60"/>
              <w:ind w:left="33" w:right="31"/>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信阳榕基软件园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 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28,000,000.00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159"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38,000,000.00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 资金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29,303,685.14</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1,168,503.24</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28,135,181.90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50"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年福建省互联网经济新增 引导资金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星榕基中小企业信 息化公共服务平台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555,555.54</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1,444,444.46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9" w:lineRule="auto"/>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年福州市软件产业发展专 项资金项目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900,000.00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175,000.00</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725,000.00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
              <w:jc w:val="center"/>
              <w:rPr>
                <w:rFonts w:ascii="宋体" w:hAnsi="宋体" w:cs="宋体" w:eastAsia="宋体" w:hint="default"/>
                <w:sz w:val="18"/>
                <w:szCs w:val="18"/>
              </w:rPr>
            </w:pPr>
            <w:r>
              <w:rPr>
                <w:rFonts w:ascii="宋体" w:hAnsi="宋体" w:cs="宋体" w:eastAsia="宋体" w:hint="default"/>
                <w:sz w:val="18"/>
                <w:szCs w:val="18"/>
              </w:rPr>
              <w:t>首届福州市政府质量奖奖励金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203,333.33</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40,000.00</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163,333.33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53"/>
              <w:jc w:val="left"/>
              <w:rPr>
                <w:rFonts w:ascii="宋体" w:hAnsi="宋体" w:cs="宋体" w:eastAsia="宋体" w:hint="default"/>
                <w:sz w:val="18"/>
                <w:szCs w:val="18"/>
              </w:rPr>
            </w:pPr>
            <w:r>
              <w:rPr>
                <w:rFonts w:ascii="宋体" w:hAnsi="宋体" w:cs="宋体" w:eastAsia="宋体" w:hint="default"/>
                <w:sz w:val="18"/>
                <w:szCs w:val="18"/>
              </w:rPr>
              <w:t>福建省战略性新兴产业技术开 </w:t>
            </w:r>
            <w:r>
              <w:rPr>
                <w:rFonts w:ascii="宋体" w:hAnsi="宋体" w:cs="宋体" w:eastAsia="宋体" w:hint="default"/>
                <w:spacing w:val="-3"/>
                <w:sz w:val="18"/>
                <w:szCs w:val="18"/>
              </w:rPr>
              <w:t>发和产业化项目（北斗及卫星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160" w:lineRule="exact"/>
              <w:ind w:left="172" w:right="0"/>
              <w:jc w:val="left"/>
              <w:rPr>
                <w:rFonts w:ascii="Times New Roman" w:hAnsi="Times New Roman" w:cs="Times New Roman" w:eastAsia="Times New Roman" w:hint="default"/>
                <w:sz w:val="18"/>
                <w:szCs w:val="18"/>
              </w:rPr>
            </w:pPr>
            <w:r>
              <w:rPr>
                <w:rFonts w:ascii="Times New Roman"/>
                <w:sz w:val="18"/>
              </w:rPr>
              <w:t>1,925,000.00</w:t>
            </w:r>
          </w:p>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1,925,000.00</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51"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1"/>
              <w:ind w:left="2" w:right="31"/>
              <w:jc w:val="both"/>
              <w:rPr>
                <w:rFonts w:ascii="宋体" w:hAnsi="宋体" w:cs="宋体" w:eastAsia="宋体" w:hint="default"/>
                <w:sz w:val="18"/>
                <w:szCs w:val="18"/>
              </w:rPr>
            </w:pPr>
            <w:r>
              <w:rPr>
                <w:rFonts w:ascii="宋体" w:hAnsi="宋体" w:cs="宋体" w:eastAsia="宋体" w:hint="default"/>
                <w:sz w:val="18"/>
                <w:szCs w:val="18"/>
              </w:rPr>
              <w:t>福建省战略性新兴产业技术开 发和产业化项目（北斗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渔 船防碰撞预警系统）</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770,000.00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11,320.76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781,320.76</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11"/>
        <w:gridCol w:w="1134"/>
        <w:gridCol w:w="1252"/>
        <w:gridCol w:w="1159"/>
        <w:gridCol w:w="524"/>
        <w:gridCol w:w="1175"/>
        <w:gridCol w:w="1134"/>
        <w:gridCol w:w="852"/>
      </w:tblGrid>
      <w:tr>
        <w:trPr>
          <w:trHeight w:val="739"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年重大专项榕基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w:t>
            </w:r>
            <w:r>
              <w:rPr>
                <w:rFonts w:ascii="宋体" w:hAnsi="宋体" w:cs="宋体" w:eastAsia="宋体" w:hint="default"/>
                <w:w w:val="100"/>
                <w:sz w:val="18"/>
                <w:szCs w:val="18"/>
              </w:rPr>
              <w:t> </w:t>
            </w:r>
            <w:r>
              <w:rPr>
                <w:rFonts w:ascii="宋体" w:hAnsi="宋体" w:cs="宋体" w:eastAsia="宋体" w:hint="default"/>
                <w:sz w:val="18"/>
                <w:szCs w:val="18"/>
              </w:rPr>
              <w:t>用安全扫描系统专项资金</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250,000.02</w:t>
            </w:r>
          </w:p>
        </w:tc>
        <w:tc>
          <w:tcPr>
            <w:tcW w:w="1252"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250,000.02</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51" w:hRule="exact"/>
        </w:trPr>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53"/>
              <w:jc w:val="both"/>
              <w:rPr>
                <w:rFonts w:ascii="宋体" w:hAnsi="宋体" w:cs="宋体" w:eastAsia="宋体" w:hint="default"/>
                <w:sz w:val="18"/>
                <w:szCs w:val="18"/>
              </w:rPr>
            </w:pPr>
            <w:r>
              <w:rPr>
                <w:rFonts w:ascii="宋体" w:hAnsi="宋体" w:cs="宋体" w:eastAsia="宋体" w:hint="default"/>
                <w:sz w:val="18"/>
                <w:szCs w:val="18"/>
              </w:rPr>
              <w:t>省级新型研发机构非财政资金 购买科研仪器设备软件后补助 经费</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4,623,594.00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4,623,594.00</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328" w:right="56"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27" w:hRule="exact"/>
        </w:trPr>
        <w:tc>
          <w:tcPr>
            <w:tcW w:w="241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63,352,018.49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14,634,914.76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9,518,973.56</w:t>
            </w:r>
          </w:p>
        </w:tc>
        <w:tc>
          <w:tcPr>
            <w:tcW w:w="5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23" w:right="0"/>
              <w:jc w:val="left"/>
              <w:rPr>
                <w:rFonts w:ascii="Times New Roman" w:hAnsi="Times New Roman" w:cs="Times New Roman" w:eastAsia="Times New Roman" w:hint="default"/>
                <w:sz w:val="18"/>
                <w:szCs w:val="18"/>
              </w:rPr>
            </w:pPr>
            <w:r>
              <w:rPr>
                <w:rFonts w:ascii="Times New Roman"/>
                <w:sz w:val="18"/>
              </w:rPr>
              <w:t>68,467,959.69</w:t>
            </w:r>
          </w:p>
        </w:tc>
        <w:tc>
          <w:tcPr>
            <w:tcW w:w="113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514" w:right="2239"/>
        <w:jc w:val="left"/>
      </w:pPr>
      <w:r>
        <w:rPr/>
        <w:t>（2）采用总额法计入当期损益的政府补助情况 </w:t>
      </w:r>
    </w:p>
    <w:p>
      <w:pPr>
        <w:spacing w:line="240" w:lineRule="auto" w:before="12"/>
        <w:rPr>
          <w:rFonts w:ascii="宋体" w:hAnsi="宋体" w:cs="宋体" w:eastAsia="宋体" w:hint="default"/>
          <w:sz w:val="18"/>
          <w:szCs w:val="18"/>
        </w:rPr>
      </w:pPr>
    </w:p>
    <w:p>
      <w:pPr>
        <w:pStyle w:val="BodyText"/>
        <w:spacing w:line="240" w:lineRule="auto" w:before="44"/>
        <w:ind w:left="0" w:right="1041"/>
        <w:jc w:val="right"/>
      </w:pPr>
      <w:r>
        <w:rPr/>
        <w:t>单位： 元 </w:t>
      </w:r>
    </w:p>
    <w:p>
      <w:pPr>
        <w:spacing w:line="240" w:lineRule="auto" w:before="8"/>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4678"/>
        <w:gridCol w:w="1277"/>
        <w:gridCol w:w="1276"/>
        <w:gridCol w:w="1276"/>
        <w:gridCol w:w="1134"/>
      </w:tblGrid>
      <w:tr>
        <w:trPr>
          <w:trHeight w:val="738" w:hRule="exact"/>
        </w:trPr>
        <w:tc>
          <w:tcPr>
            <w:tcW w:w="46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0"/>
              <w:ind w:left="361" w:right="89" w:hanging="270"/>
              <w:jc w:val="left"/>
              <w:rPr>
                <w:rFonts w:ascii="宋体" w:hAnsi="宋体" w:cs="宋体" w:eastAsia="宋体" w:hint="default"/>
                <w:sz w:val="18"/>
                <w:szCs w:val="18"/>
              </w:rPr>
            </w:pPr>
            <w:r>
              <w:rPr>
                <w:rFonts w:ascii="宋体" w:hAnsi="宋体" w:cs="宋体" w:eastAsia="宋体" w:hint="default"/>
                <w:sz w:val="18"/>
                <w:szCs w:val="18"/>
              </w:rPr>
              <w:t>上期计入损益 的金额</w:t>
            </w:r>
          </w:p>
        </w:tc>
        <w:tc>
          <w:tcPr>
            <w:tcW w:w="127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0"/>
              <w:ind w:left="359" w:right="89" w:hanging="270"/>
              <w:jc w:val="left"/>
              <w:rPr>
                <w:rFonts w:ascii="宋体" w:hAnsi="宋体" w:cs="宋体" w:eastAsia="宋体" w:hint="default"/>
                <w:sz w:val="18"/>
                <w:szCs w:val="18"/>
              </w:rPr>
            </w:pPr>
            <w:r>
              <w:rPr>
                <w:rFonts w:ascii="宋体" w:hAnsi="宋体" w:cs="宋体" w:eastAsia="宋体" w:hint="default"/>
                <w:sz w:val="18"/>
                <w:szCs w:val="18"/>
              </w:rPr>
              <w:t>本期计入损益 的金额</w:t>
            </w:r>
          </w:p>
        </w:tc>
        <w:tc>
          <w:tcPr>
            <w:tcW w:w="127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0"/>
              <w:ind w:left="359" w:right="89" w:hanging="270"/>
              <w:jc w:val="left"/>
              <w:rPr>
                <w:rFonts w:ascii="宋体" w:hAnsi="宋体" w:cs="宋体" w:eastAsia="宋体" w:hint="default"/>
                <w:sz w:val="18"/>
                <w:szCs w:val="18"/>
              </w:rPr>
            </w:pPr>
            <w:r>
              <w:rPr>
                <w:rFonts w:ascii="宋体" w:hAnsi="宋体" w:cs="宋体" w:eastAsia="宋体" w:hint="default"/>
                <w:sz w:val="18"/>
                <w:szCs w:val="18"/>
              </w:rPr>
              <w:t>计入损益的列 报项目</w:t>
            </w:r>
          </w:p>
        </w:tc>
        <w:tc>
          <w:tcPr>
            <w:tcW w:w="113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00" w:lineRule="auto" w:before="60"/>
              <w:ind w:left="109" w:right="8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r>
        <w:trPr>
          <w:trHeight w:val="42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年福州市战略性新兴产业科技重大项目经费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年市区域重大项目经费</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增值税税收返还</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1,910,985.29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492,659.52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年产学研专项补助资金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年度鼓楼区服务业统计市区级奖励金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年度科技小巨人领军企业研发费用加计扣除奖励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273,000.00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福建省第三批企业高级经营管理人才首期补助资金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250,000.00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年就业见习补贴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158,880.00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年度企业研发经费投入分段补助专项资金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153,100.00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年度服务业奖励金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150,000.00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年度第一批科技扶持资金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年度总部经济奖励款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93,900.00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年度科技小巨人领军企业研发费用加计扣除奖励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60,000.00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56,000.00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年高新技术企业奖励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0"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上海国际贸易单一窗口运维补贴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3,815,200.00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年市级软件产业发展专项基金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39"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151" w:right="1" w:hanging="2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年产学研专项补助和工业企业优秀创新产品、创建品牌</w:t>
            </w:r>
            <w:r>
              <w:rPr>
                <w:rFonts w:ascii="宋体" w:hAnsi="宋体" w:cs="宋体" w:eastAsia="宋体" w:hint="default"/>
                <w:sz w:val="18"/>
                <w:szCs w:val="18"/>
              </w:rPr>
              <w:t> 奖励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年福建省第一批省级新型研发机构奖励金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就业见习补贴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219,510.00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年总部企业奖励款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170,000.00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年度福建名牌产品</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150,000.00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8"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福建省科技计划项目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大数据平台实时异常检测分析系统的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120,000.00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678"/>
        <w:gridCol w:w="1277"/>
        <w:gridCol w:w="1276"/>
        <w:gridCol w:w="1276"/>
        <w:gridCol w:w="1134"/>
      </w:tblGrid>
      <w:tr>
        <w:trPr>
          <w:trHeight w:val="386"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关键技术研发及产业化</w:t>
            </w:r>
            <w:r>
              <w:rPr>
                <w:rFonts w:ascii="Times New Roman" w:hAnsi="Times New Roman" w:cs="Times New Roman" w:eastAsia="Times New Roman" w:hint="default"/>
                <w:sz w:val="18"/>
                <w:szCs w:val="18"/>
              </w:rPr>
              <w:t>”</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年度福州市产品质量奖</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50,000.00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 </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五万元以下零星补助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200,542.80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35,586.48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467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sz w:val="18"/>
              </w:rPr>
              <w:t>7,796,238.09</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3,913,126.00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2239"/>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2239"/>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日，本集团不存在其他应披露的其他重要事项。</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164,739,644.24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88,278,569.36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164,739,644.24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88,278,569.36</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765;top:16;width:23;height:392" coordorigin="4765,16" coordsize="23,392">
              <v:shape style="position:absolute;left:4765;top:16;width:23;height:392" coordorigin="4765,16" coordsize="23,392" path="m4765,407l4788,407,4788,16,4765,16,4765,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799;top:16;width:23;height:392" coordorigin="4799,16" coordsize="23,392">
              <v:shape style="position:absolute;left:4799;top:16;width:23;height:392" coordorigin="4799,16" coordsize="23,392" path="m4799,407l4822,407,4822,16,4799,16,4799,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4822;top:16;width:4728;height:392" coordorigin="4822,16" coordsize="4728,392">
              <v:shape style="position:absolute;left:4822;top:16;width:4728;height:392" coordorigin="4822,16" coordsize="4728,392" path="m4822,407l9550,407,9550,16,4822,16,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8001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2,191,030.00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2,191,030.00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5;top:14;width:23;height:393" coordorigin="4765,14" coordsize="23,393">
              <v:shape style="position:absolute;left:4765;top:14;width:23;height:393" coordorigin="4765,14" coordsize="23,393" path="m4765,407l4788,407,4788,14,4765,14,4765,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799;top:14;width:23;height:393" coordorigin="4799,14" coordsize="23,393">
              <v:shape style="position:absolute;left:4799;top:14;width:23;height:393" coordorigin="4799,14" coordsize="23,393" path="m4799,407l4822,407,4822,14,4799,14,4799,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用于背书或贴现的银行承兑汇票是由信用等级较高的银行承兑，信用风险和延期付款风险很小，并且票据相关的利率风</w:t>
      </w:r>
    </w:p>
    <w:p>
      <w:pPr>
        <w:spacing w:after="0" w:line="240" w:lineRule="auto"/>
        <w:jc w:val="left"/>
        <w:sectPr>
          <w:pgSz w:w="11910" w:h="16840"/>
          <w:pgMar w:header="748" w:footer="977"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153" w:right="2239"/>
        <w:jc w:val="left"/>
      </w:pPr>
      <w:r>
        <w:rPr/>
        <w:t>险已转移给银行，可以判断票据所有权上的主要风险和报酬已经转移，故终止确认。</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182,012,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844.42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17,273,2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9.49%</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164,739,6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105,718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,906.20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17,440,33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88,278,569.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182,012,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844.42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17,273,2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9.49%</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164,739,6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44.24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105,718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,906.20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17,440,33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88,278,569.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100,869,799.63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5,043,489.98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14,639,360.39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1,463,936.04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11,069,236.16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2,213,847.23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8,551,926.93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8,551,926.93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135,130,323.11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17,273,200.18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12.78%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left="153" w:right="1839"/>
        <w:jc w:val="left"/>
      </w:pPr>
      <w:r>
        <w:rPr/>
        <w:t>确定该组合依据的说明： 组合中，采用余额百分比法计提坏账准备的应收账款：</w:t>
      </w:r>
    </w:p>
    <w:p>
      <w:pPr>
        <w:pStyle w:val="BodyText"/>
        <w:spacing w:line="348" w:lineRule="auto" w:before="28"/>
        <w:ind w:right="21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6"/>
        <w:jc w:val="left"/>
      </w:pPr>
      <w:r>
        <w:rPr/>
        <w:t>本期计提坏账准备金额</w:t>
      </w:r>
      <w:r>
        <w:rPr>
          <w:rFonts w:ascii="Times New Roman" w:hAnsi="Times New Roman" w:cs="Times New Roman" w:eastAsia="Times New Roman" w:hint="default"/>
        </w:rPr>
        <w:t>-167,136.66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6333" w:space="2495"/>
            <w:col w:w="210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2239"/>
        <w:jc w:val="left"/>
      </w:pPr>
      <w:r>
        <w:rPr>
          <w:rFonts w:ascii="Times New Roman" w:hAnsi="Times New Roman" w:cs="Times New Roman" w:eastAsia="Times New Roman" w:hint="default"/>
        </w:rPr>
        <w:t>3)</w:t>
      </w:r>
      <w:r>
        <w:rPr/>
        <w:t>本期实际核销的应收账款情况</w:t>
      </w:r>
    </w:p>
    <w:p>
      <w:pPr>
        <w:spacing w:after="0" w:line="240" w:lineRule="auto"/>
        <w:jc w:val="left"/>
        <w:sectPr>
          <w:type w:val="continuous"/>
          <w:pgSz w:w="11910" w:h="16840"/>
          <w:pgMar w:top="1060" w:bottom="1160" w:left="980" w:right="0"/>
        </w:sectPr>
      </w:pPr>
    </w:p>
    <w:p>
      <w:pPr>
        <w:spacing w:line="240" w:lineRule="auto" w:before="11"/>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4964;top:16;width:23;height:392" coordorigin="4964,16" coordsize="23,392">
              <v:shape style="position:absolute;left:4964;top:16;width:23;height:392" coordorigin="4964,16" coordsize="23,392" path="m4964,407l4987,407,4987,16,4964,16,4964,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4928;height:392" coordorigin="37,16" coordsize="4928,392">
              <v:shape style="position:absolute;left:37;top:16;width:4928;height:392" coordorigin="37,16" coordsize="4928,392" path="m37,407l4964,407,4964,16,37,16,37,407xe" filled="true" fillcolor="#d3d3d3" stroked="false">
                <v:path arrowok="t"/>
                <v:fill type="solid"/>
              </v:shape>
            </v:group>
            <v:group style="position:absolute;left:4998;top:16;width:23;height:392" coordorigin="4998,16" coordsize="23,392">
              <v:shape style="position:absolute;left:4998;top:16;width:23;height:392" coordorigin="4998,16" coordsize="23,392" path="m4998,407l5021,407,5021,16,4998,16,49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021;top:16;width:4529;height:392" coordorigin="5021,16" coordsize="4529,392">
              <v:shape style="position:absolute;left:5021;top:16;width:4529;height:392" coordorigin="5021,16" coordsize="4529,392" path="m5021,407l9550,407,9550,16,5021,16,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984;height:2" coordorigin="5,413" coordsize="4984,2">
              <v:shape style="position:absolute;left:5;top:413;width:4984;height:2" coordorigin="5,413" coordsize="4984,0" path="m5,413l4988,413e" filled="false" stroked="true" strokeweight=".48004pt" strokecolor="#000000">
                <v:path arrowok="t"/>
              </v:shape>
            </v:group>
            <v:group style="position:absolute;left:4993;top:14;width:2;height:404" coordorigin="4993,14" coordsize="2,404">
              <v:shape style="position:absolute;left:4993;top:14;width:2;height:404" coordorigin="4993,14" coordsize="0,404" path="m4993,14l4993,418e" filled="false" stroked="true" strokeweight=".47998pt" strokecolor="#000000">
                <v:path arrowok="t"/>
              </v:shape>
            </v:group>
            <v:group style="position:absolute;left:4998;top:413;width:4575;height:2" coordorigin="4998,413" coordsize="4575,2">
              <v:shape style="position:absolute;left:4998;top:413;width:4575;height:2" coordorigin="4998,413" coordsize="4575,0" path="m49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3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其中重要的应收账款核销情况：</w:t>
      </w:r>
    </w:p>
    <w:p>
      <w:pPr>
        <w:pStyle w:val="BodyText"/>
        <w:spacing w:line="240" w:lineRule="auto" w:before="115"/>
        <w:ind w:left="0" w:right="1131"/>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8" w:footer="977" w:top="1060" w:bottom="1160" w:left="980" w:right="0"/>
        </w:sectPr>
      </w:pPr>
    </w:p>
    <w:p>
      <w:pPr>
        <w:pStyle w:val="BodyText"/>
        <w:spacing w:line="357" w:lineRule="auto" w:before="51"/>
        <w:ind w:left="153" w:right="-19"/>
        <w:jc w:val="left"/>
      </w:pPr>
      <w:r>
        <w:rPr/>
        <w:t>应收账款核销说明： 本期无实际核销的应收账款。 </w:t>
      </w: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084" w:space="4744"/>
            <w:col w:w="2102"/>
          </w:cols>
        </w:sectPr>
      </w:pP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828"/>
        <w:gridCol w:w="1667"/>
        <w:gridCol w:w="2443"/>
        <w:gridCol w:w="1560"/>
      </w:tblGrid>
      <w:tr>
        <w:trPr>
          <w:trHeight w:val="784" w:hRule="exact"/>
        </w:trPr>
        <w:tc>
          <w:tcPr>
            <w:tcW w:w="3828"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67"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2"/>
              <w:ind w:left="463" w:right="462"/>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2443"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19" w:lineRule="auto" w:before="80"/>
              <w:ind w:left="956" w:right="41" w:hanging="9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占应收账款期末余额合计数的 比例</w:t>
            </w:r>
            <w:r>
              <w:rPr>
                <w:rFonts w:ascii="Times New Roman" w:hAnsi="Times New Roman" w:cs="Times New Roman" w:eastAsia="Times New Roman" w:hint="default"/>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357" w:lineRule="auto" w:before="62"/>
              <w:ind w:left="409" w:right="409"/>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32"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20,624,960.11</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2"/>
                <w:sz w:val="18"/>
              </w:rPr>
              <w:t>11.33</w:t>
            </w:r>
          </w:p>
        </w:tc>
        <w:tc>
          <w:tcPr>
            <w:tcW w:w="1560" w:type="dxa"/>
            <w:tcBorders>
              <w:top w:val="single" w:sz="12" w:space="0" w:color="000000"/>
              <w:left w:val="single" w:sz="8" w:space="0" w:color="000000"/>
              <w:bottom w:val="single" w:sz="8" w:space="0" w:color="000000"/>
              <w:right w:val="single" w:sz="8" w:space="0" w:color="000000"/>
            </w:tcBorders>
          </w:tcPr>
          <w:p>
            <w:pPr/>
          </w:p>
        </w:tc>
      </w:tr>
      <w:tr>
        <w:trPr>
          <w:trHeight w:val="432"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20,486,183.80</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pacing w:val="-2"/>
                <w:sz w:val="18"/>
              </w:rPr>
              <w:t>11.26</w:t>
            </w:r>
          </w:p>
        </w:tc>
        <w:tc>
          <w:tcPr>
            <w:tcW w:w="1560" w:type="dxa"/>
            <w:tcBorders>
              <w:top w:val="single" w:sz="8" w:space="0" w:color="000000"/>
              <w:left w:val="single" w:sz="8" w:space="0" w:color="000000"/>
              <w:bottom w:val="single" w:sz="8" w:space="0" w:color="000000"/>
              <w:right w:val="single" w:sz="8" w:space="0" w:color="000000"/>
            </w:tcBorders>
          </w:tcPr>
          <w:p>
            <w:pPr/>
          </w:p>
        </w:tc>
      </w:tr>
      <w:tr>
        <w:trPr>
          <w:trHeight w:val="744"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61"/>
              <w:ind w:left="1333" w:right="83" w:hanging="1250"/>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福州市政务信息中心</w:t>
            </w:r>
            <w:r>
              <w:rPr>
                <w:rFonts w:ascii="Times New Roman" w:hAnsi="Times New Roman" w:cs="Times New Roman" w:eastAsia="Times New Roman" w:hint="default"/>
                <w:sz w:val="18"/>
                <w:szCs w:val="18"/>
              </w:rPr>
              <w:t>(</w:t>
            </w:r>
            <w:r>
              <w:rPr>
                <w:rFonts w:ascii="宋体" w:hAnsi="宋体" w:cs="宋体" w:eastAsia="宋体" w:hint="default"/>
                <w:sz w:val="18"/>
                <w:szCs w:val="18"/>
              </w:rPr>
              <w:t>福州市</w:t>
            </w:r>
            <w:r>
              <w:rPr>
                <w:rFonts w:ascii="Times New Roman" w:hAnsi="Times New Roman" w:cs="Times New Roman" w:eastAsia="Times New Roman" w:hint="default"/>
                <w:sz w:val="18"/>
                <w:szCs w:val="18"/>
              </w:rPr>
              <w:t>“</w:t>
            </w:r>
            <w:r>
              <w:rPr>
                <w:rFonts w:ascii="宋体" w:hAnsi="宋体" w:cs="宋体" w:eastAsia="宋体" w:hint="default"/>
                <w:sz w:val="18"/>
                <w:szCs w:val="18"/>
              </w:rPr>
              <w:t>数字福州</w:t>
            </w:r>
            <w:r>
              <w:rPr>
                <w:rFonts w:ascii="Times New Roman" w:hAnsi="Times New Roman" w:cs="Times New Roman" w:eastAsia="Times New Roman" w:hint="default"/>
                <w:sz w:val="18"/>
                <w:szCs w:val="18"/>
              </w:rPr>
              <w:t>”</w:t>
            </w:r>
            <w:r>
              <w:rPr>
                <w:rFonts w:ascii="宋体" w:hAnsi="宋体" w:cs="宋体" w:eastAsia="宋体" w:hint="default"/>
                <w:sz w:val="18"/>
                <w:szCs w:val="18"/>
              </w:rPr>
              <w:t>建设领 导小组办公室</w:t>
            </w:r>
            <w:r>
              <w:rPr>
                <w:rFonts w:ascii="Times New Roman" w:hAnsi="Times New Roman" w:cs="Times New Roman" w:eastAsia="Times New Roman" w:hint="default"/>
                <w:sz w:val="18"/>
                <w:szCs w:val="18"/>
              </w:rPr>
              <w:t>)</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15,420,804.00</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8.47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771,040.20</w:t>
            </w:r>
          </w:p>
        </w:tc>
      </w:tr>
      <w:tr>
        <w:trPr>
          <w:trHeight w:val="432"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14,718,741.15</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8.09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735,937.06</w:t>
            </w:r>
          </w:p>
        </w:tc>
      </w:tr>
      <w:tr>
        <w:trPr>
          <w:trHeight w:val="432"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天津腾云时代数据服务有限公司</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4,800,000.00</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2.64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z w:val="18"/>
              </w:rPr>
              <w:t>240,000.00</w:t>
            </w:r>
          </w:p>
        </w:tc>
      </w:tr>
      <w:tr>
        <w:trPr>
          <w:trHeight w:val="433" w:hRule="exact"/>
        </w:trPr>
        <w:tc>
          <w:tcPr>
            <w:tcW w:w="3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76,050,689.06</w:t>
            </w:r>
          </w:p>
        </w:tc>
        <w:tc>
          <w:tcPr>
            <w:tcW w:w="24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right"/>
              <w:rPr>
                <w:rFonts w:ascii="Times New Roman" w:hAnsi="Times New Roman" w:cs="Times New Roman" w:eastAsia="Times New Roman" w:hint="default"/>
                <w:sz w:val="18"/>
                <w:szCs w:val="18"/>
              </w:rPr>
            </w:pPr>
            <w:r>
              <w:rPr>
                <w:rFonts w:ascii="Times New Roman"/>
                <w:sz w:val="18"/>
              </w:rPr>
              <w:t>41.79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0"/>
              <w:jc w:val="right"/>
              <w:rPr>
                <w:rFonts w:ascii="Times New Roman" w:hAnsi="Times New Roman" w:cs="Times New Roman" w:eastAsia="Times New Roman" w:hint="default"/>
                <w:sz w:val="18"/>
                <w:szCs w:val="18"/>
              </w:rPr>
            </w:pPr>
            <w:r>
              <w:rPr>
                <w:rFonts w:ascii="Times New Roman"/>
                <w:spacing w:val="-1"/>
                <w:sz w:val="18"/>
              </w:rPr>
              <w:t>1,746,977.26</w:t>
            </w:r>
          </w:p>
        </w:tc>
      </w:tr>
    </w:tbl>
    <w:p>
      <w:pPr>
        <w:pStyle w:val="BodyText"/>
        <w:spacing w:line="240" w:lineRule="auto" w:before="51"/>
        <w:ind w:right="2239"/>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left="153" w:right="6821"/>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48,215.49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12,857.46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1,015,217,831.94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639,570,255.37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1,015,266,047.43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639,583,112.83</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48,215.49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12,857.46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48,215.49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12,857.46</w:t>
            </w:r>
          </w:p>
        </w:tc>
      </w:tr>
    </w:tbl>
    <w:p>
      <w:pPr>
        <w:pStyle w:val="BodyText"/>
        <w:spacing w:line="240" w:lineRule="auto" w:before="51"/>
        <w:ind w:right="2239"/>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2239"/>
        <w:jc w:val="left"/>
      </w:pPr>
      <w:r>
        <w:rPr/>
        <w:t>其他说明：</w:t>
      </w:r>
    </w:p>
    <w:p>
      <w:pPr>
        <w:spacing w:line="240" w:lineRule="auto" w:before="12"/>
        <w:rPr>
          <w:rFonts w:ascii="宋体" w:hAnsi="宋体" w:cs="宋体" w:eastAsia="宋体" w:hint="default"/>
          <w:sz w:val="26"/>
          <w:szCs w:val="26"/>
        </w:rPr>
      </w:pPr>
    </w:p>
    <w:p>
      <w:pPr>
        <w:pStyle w:val="Heading3"/>
        <w:spacing w:line="240" w:lineRule="auto"/>
        <w:ind w:right="2239"/>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1,023,22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4,621.25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8,006,78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1,015,217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,831.94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646,172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6,602,536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639,570,25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5.37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left"/>
              <w:rPr>
                <w:rFonts w:ascii="Times New Roman" w:hAnsi="Times New Roman" w:cs="Times New Roman" w:eastAsia="Times New Roman" w:hint="default"/>
                <w:sz w:val="18"/>
                <w:szCs w:val="18"/>
              </w:rPr>
            </w:pPr>
            <w:r>
              <w:rPr>
                <w:rFonts w:ascii="Times New Roman"/>
                <w:sz w:val="18"/>
              </w:rPr>
              <w:t>1,023,22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4,621.25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8,006,78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0.78%</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1,015,217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,831.94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646,172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6,602,536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639,570,25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5.37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4"/>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16,063,831.76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803,191.58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9,722,010.99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972,201.10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3,766,876.39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753,375.28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5,478,021.35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5,478,021.35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35,030,740.49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8,006,789.31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22.86%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7" w:top="1060" w:bottom="1160" w:left="980" w:right="0"/>
        </w:sectPr>
      </w:pPr>
    </w:p>
    <w:p>
      <w:pPr>
        <w:pStyle w:val="BodyText"/>
        <w:spacing w:line="357" w:lineRule="auto" w:before="51"/>
        <w:ind w:left="153" w:right="1779"/>
        <w:jc w:val="left"/>
      </w:pPr>
      <w:r>
        <w:rPr/>
        <w:t>确定该组合依据的说明： 组合中，采用余额百分比法计提坏账准备的其他应收款：</w:t>
      </w:r>
    </w:p>
    <w:p>
      <w:pPr>
        <w:pStyle w:val="BodyText"/>
        <w:spacing w:line="340" w:lineRule="auto" w:before="28"/>
        <w:ind w:right="2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7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8"/>
        <w:jc w:val="left"/>
      </w:pPr>
      <w:r>
        <w:rPr/>
        <w:t>本期计提坏账准备金额</w:t>
      </w:r>
      <w:r>
        <w:rPr>
          <w:spacing w:val="-46"/>
        </w:rPr>
        <w:t> </w:t>
      </w:r>
      <w:r>
        <w:rPr>
          <w:rFonts w:ascii="Times New Roman" w:hAnsi="Times New Roman" w:cs="Times New Roman" w:eastAsia="Times New Roman" w:hint="default"/>
        </w:rPr>
        <w:t>1,404,252.55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3" w:space="2375"/>
            <w:col w:w="210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2239"/>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964;top:14;width:23;height:393" coordorigin="4964,14" coordsize="23,393">
              <v:shape style="position:absolute;left:4964;top:14;width:23;height:393" coordorigin="4964,14" coordsize="23,393" path="m4964,407l4987,407,4987,14,4964,14,496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4998;top:14;width:23;height:393" coordorigin="4998,14" coordsize="23,393">
              <v:shape style="position:absolute;left:4998;top:14;width:23;height:393" coordorigin="4998,14" coordsize="23,393" path="m4998,407l5021,407,5021,14,4998,14,49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7998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其中重要的其他应收款核销情况：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357" w:lineRule="auto" w:before="52"/>
        <w:ind w:left="153" w:right="-19"/>
        <w:jc w:val="left"/>
      </w:pPr>
      <w:r>
        <w:rPr/>
        <w:t>其他应收款核销说明： 本期无实际核销的其他应收款。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4" w:space="6004"/>
            <w:col w:w="210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合并报表范围内各单位之间往来款项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988,193,880.76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612,155,253.72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27,046,622.78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27,958,813.77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5,297,525.23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3,762,981.74</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422,340.39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354,909.28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2,264,252.09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1,940,833.62</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1,023,224,621.25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646,172,792.13</w:t>
            </w:r>
          </w:p>
        </w:tc>
      </w:tr>
    </w:tbl>
    <w:p>
      <w:pPr>
        <w:pStyle w:val="BodyText"/>
        <w:spacing w:line="240" w:lineRule="auto" w:before="51"/>
        <w:ind w:right="2239"/>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信阳榕基信息技术有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298,807,271.87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29.20%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福州创华电气自动化 系统有限公司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229,414,031.09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22.42%</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河南榕基信息技术有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168,246,748.35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16.44%</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马鞍山榕基软件信息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120,894,851.08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北京中榕基信息技术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70,267,053.24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6.87%</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887,629,955.63</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86.75%</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2239"/>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left="153" w:right="6641"/>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223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635,926,537.29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635,926,537.29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685,926,537.29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685,926,537.29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5,833,866.82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5,833,866.82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4,316,728.78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4,316,728.78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641,760,404.11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641,760,404.11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690,243,266.07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690,243,266.07</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18,000,000.00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8" w:right="0"/>
              <w:jc w:val="left"/>
              <w:rPr>
                <w:rFonts w:ascii="Times New Roman" w:hAnsi="Times New Roman" w:cs="Times New Roman" w:eastAsia="Times New Roman" w:hint="default"/>
                <w:sz w:val="18"/>
                <w:szCs w:val="18"/>
              </w:rPr>
            </w:pPr>
            <w:r>
              <w:rPr>
                <w:rFonts w:ascii="Times New Roman"/>
                <w:sz w:val="18"/>
              </w:rPr>
              <w:t>7,496,345.89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7" w:right="0"/>
              <w:jc w:val="left"/>
              <w:rPr>
                <w:rFonts w:ascii="Times New Roman" w:hAnsi="Times New Roman" w:cs="Times New Roman" w:eastAsia="Times New Roman" w:hint="default"/>
                <w:sz w:val="18"/>
                <w:szCs w:val="18"/>
              </w:rPr>
            </w:pPr>
            <w:r>
              <w:rPr>
                <w:rFonts w:ascii="Times New Roman"/>
                <w:sz w:val="18"/>
              </w:rPr>
              <w:t>7,496,345.89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67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52"/>
              <w:jc w:val="left"/>
              <w:rPr>
                <w:rFonts w:ascii="宋体" w:hAnsi="宋体" w:cs="宋体" w:eastAsia="宋体" w:hint="default"/>
                <w:sz w:val="18"/>
                <w:szCs w:val="18"/>
              </w:rPr>
            </w:pPr>
            <w:r>
              <w:rPr>
                <w:rFonts w:ascii="宋体" w:hAnsi="宋体" w:cs="宋体" w:eastAsia="宋体" w:hint="default"/>
                <w:sz w:val="18"/>
                <w:szCs w:val="18"/>
              </w:rPr>
              <w:t>动化系统有限公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6"/>
              <w:jc w:val="left"/>
              <w:rPr>
                <w:rFonts w:ascii="宋体" w:hAnsi="宋体" w:cs="宋体" w:eastAsia="宋体" w:hint="default"/>
                <w:sz w:val="18"/>
                <w:szCs w:val="18"/>
              </w:rPr>
            </w:pPr>
            <w:r>
              <w:rPr>
                <w:rFonts w:ascii="宋体" w:hAnsi="宋体" w:cs="宋体" w:eastAsia="宋体" w:hint="default"/>
                <w:sz w:val="18"/>
                <w:szCs w:val="18"/>
              </w:rPr>
              <w:t>榕基五一（北京） 信息技术有限公</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80,380,191.40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80,380,191.40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信阳榕基信息技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福州榕易付网络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福建容大物联网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685,926,537.29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635,926,537.29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0"/>
              <w:ind w:left="33" w:right="32"/>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0"/>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1,517,138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1,517,138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5,833,866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1,517,138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5,833,866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9" w:right="0"/>
              <w:jc w:val="left"/>
              <w:rPr>
                <w:rFonts w:ascii="Times New Roman" w:hAnsi="Times New Roman" w:cs="Times New Roman" w:eastAsia="Times New Roman" w:hint="default"/>
                <w:sz w:val="18"/>
                <w:szCs w:val="18"/>
              </w:rPr>
            </w:pPr>
            <w:r>
              <w:rPr>
                <w:rFonts w:ascii="Times New Roman"/>
                <w:sz w:val="18"/>
              </w:rPr>
              <w:t>591,631,890.13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430,645,879.10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480,042,761.82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294,743,813.97</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79" w:right="0"/>
              <w:jc w:val="left"/>
              <w:rPr>
                <w:rFonts w:ascii="Times New Roman" w:hAnsi="Times New Roman" w:cs="Times New Roman" w:eastAsia="Times New Roman" w:hint="default"/>
                <w:sz w:val="18"/>
                <w:szCs w:val="18"/>
              </w:rPr>
            </w:pPr>
            <w:r>
              <w:rPr>
                <w:rFonts w:ascii="Times New Roman"/>
                <w:sz w:val="18"/>
              </w:rPr>
              <w:t>591,631,890.13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430,645,879.10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6" w:right="0"/>
              <w:jc w:val="left"/>
              <w:rPr>
                <w:rFonts w:ascii="Times New Roman" w:hAnsi="Times New Roman" w:cs="Times New Roman" w:eastAsia="Times New Roman" w:hint="default"/>
                <w:sz w:val="18"/>
                <w:szCs w:val="18"/>
              </w:rPr>
            </w:pPr>
            <w:r>
              <w:rPr>
                <w:rFonts w:ascii="Times New Roman"/>
                <w:sz w:val="18"/>
              </w:rPr>
              <w:t>480,042,761.82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5" w:right="0"/>
              <w:jc w:val="left"/>
              <w:rPr>
                <w:rFonts w:ascii="Times New Roman" w:hAnsi="Times New Roman" w:cs="Times New Roman" w:eastAsia="Times New Roman" w:hint="default"/>
                <w:sz w:val="18"/>
                <w:szCs w:val="18"/>
              </w:rPr>
            </w:pPr>
            <w:r>
              <w:rPr>
                <w:rFonts w:ascii="Times New Roman"/>
                <w:sz w:val="18"/>
              </w:rPr>
              <w:t>294,743,813.97</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223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1,517,138.04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711,378.90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2,272,452.50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1,914,869.95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银行短期理财产品的收益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24,578,970.35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6,679,518.64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28,368,560.89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9,305,767.49</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2239"/>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after="0" w:line="240" w:lineRule="auto"/>
        <w:jc w:val="right"/>
        <w:sectPr>
          <w:pgSz w:w="11910" w:h="16840"/>
          <w:pgMar w:header="748" w:footer="977" w:top="1060" w:bottom="11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-1,737,964.97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0"/>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12,939,440.04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28,073,359.27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-6,146.32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4,221,955.78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276,301.45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34,770,430.79</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4"/>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1"/>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9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492,659.52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line="240" w:lineRule="auto" w:before="2"/>
        <w:rPr>
          <w:rFonts w:ascii="宋体" w:hAnsi="宋体" w:cs="宋体" w:eastAsia="宋体" w:hint="default"/>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0.0560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0.0002</w:t>
            </w:r>
          </w:p>
        </w:tc>
      </w:tr>
    </w:tbl>
    <w:p>
      <w:pPr>
        <w:spacing w:line="240" w:lineRule="auto" w:before="2"/>
        <w:rPr>
          <w:rFonts w:ascii="宋体" w:hAnsi="宋体" w:cs="宋体" w:eastAsia="宋体" w:hint="default"/>
          <w:b/>
          <w:bCs/>
          <w:sz w:val="19"/>
          <w:szCs w:val="19"/>
        </w:rPr>
      </w:pPr>
    </w:p>
    <w:p>
      <w:pPr>
        <w:pStyle w:val="Heading3"/>
        <w:spacing w:line="240" w:lineRule="auto" w:before="35"/>
        <w:ind w:right="2239"/>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239"/>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239"/>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5"/>
          <w:szCs w:val="25"/>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239"/>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7"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2239"/>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52" w:lineRule="auto"/>
        <w:ind w:left="153" w:right="3731"/>
        <w:jc w:val="left"/>
      </w:pPr>
      <w:r>
        <w:rPr/>
        <w:t>一、载有董事长签名的</w:t>
      </w:r>
      <w:r>
        <w:rPr>
          <w:rFonts w:ascii="Times New Roman" w:hAnsi="Times New Roman" w:cs="Times New Roman" w:eastAsia="Times New Roman" w:hint="default"/>
        </w:rPr>
        <w:t>2018</w:t>
      </w:r>
      <w:r>
        <w:rPr/>
        <w:t>年年度报告全文。 二、载有法定代表人、主管会计工作负责人、会计机构负责人签名并盖章的财务报表。 三、载有会计师事务所盖章、注册会计师签名并盖章的审计报告原件。 四、报告期内在中国证监会指定报纸上公开披露过的所有公司文件的正本及公告的原稿。 五、其他有关资料。</w:t>
      </w:r>
    </w:p>
    <w:p>
      <w:pPr>
        <w:pStyle w:val="BodyText"/>
        <w:spacing w:line="240" w:lineRule="auto" w:before="31"/>
        <w:ind w:left="153" w:right="2239"/>
        <w:jc w:val="left"/>
      </w:pPr>
      <w:r>
        <w:rPr/>
        <w:t>六、上述文件备置于公司证券部备查。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4"/>
        <w:spacing w:line="240" w:lineRule="auto" w:before="35"/>
        <w:ind w:left="7272" w:right="0"/>
        <w:jc w:val="left"/>
      </w:pPr>
      <w:r>
        <w:rPr/>
        <w:t>福建榕基软件股份有限公司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ind w:left="541" w:right="2239"/>
        <w:jc w:val="left"/>
      </w:pP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w:t>
      </w:r>
      <w:r>
        <w:rPr>
          <w:spacing w:val="-1"/>
        </w:rPr>
        <w:t> </w:t>
      </w:r>
      <w:r>
        <w:rPr/>
        <w:t>  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p>
      <w:pPr>
        <w:spacing w:line="20" w:lineRule="exact"/>
        <w:ind w:left="8423" w:right="0" w:firstLine="0"/>
        <w:rPr>
          <w:rFonts w:ascii="宋体" w:hAnsi="宋体" w:cs="宋体" w:eastAsia="宋体" w:hint="default"/>
          <w:sz w:val="2"/>
          <w:szCs w:val="2"/>
        </w:rPr>
      </w:pPr>
      <w:r>
        <w:rPr>
          <w:rFonts w:ascii="宋体" w:hAnsi="宋体" w:cs="宋体" w:eastAsia="宋体" w:hint="default"/>
          <w:sz w:val="2"/>
          <w:szCs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5"/>
          <w:szCs w:val="25"/>
        </w:rPr>
      </w:pPr>
    </w:p>
    <w:p>
      <w:pPr>
        <w:pStyle w:val="Heading4"/>
        <w:spacing w:line="240" w:lineRule="auto" w:before="35"/>
        <w:ind w:left="8783" w:right="1471"/>
        <w:jc w:val="center"/>
      </w:pPr>
      <w:r>
        <w:rPr/>
        <w:t>鲁  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ind w:right="1131"/>
        <w:jc w:val="righ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rFonts w:ascii="等线 Light" w:hAnsi="等线 Light" w:cs="等线 Light" w:eastAsia="等线 Light" w:hint="default"/>
          <w:b w:val="0"/>
          <w:bCs w:val="0"/>
          <w:spacing w:val="-1"/>
        </w:rPr>
        <w:t>月</w:t>
      </w:r>
      <w:r>
        <w:rPr>
          <w:rFonts w:ascii="Times New Roman" w:hAnsi="Times New Roman" w:cs="Times New Roman" w:eastAsia="Times New Roman" w:hint="default"/>
          <w:spacing w:val="-1"/>
        </w:rPr>
        <w:t>2</w:t>
      </w:r>
      <w:r>
        <w:rPr>
          <w:spacing w:val="-1"/>
        </w:rPr>
        <w:t>日</w:t>
      </w:r>
    </w:p>
    <w:sectPr>
      <w:pgSz w:w="11910" w:h="16840"/>
      <w:pgMar w:header="748" w:footer="97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等线 Light">
    <w:altName w:val="等线 Light"/>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05840" type="#_x0000_t75" stroked="false">
          <v:imagedata r:id="rId1" o:title=""/>
        </v:shape>
      </w:pict>
    </w:r>
    <w:r>
      <w:rPr/>
      <w:pict>
        <v:shape style="position:absolute;margin-left:533.119873pt;margin-top:795.697632pt;width:6.5pt;height:11pt;mso-position-horizontal-relative:page;mso-position-vertical-relative:page;z-index:-1105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105792" type="#_x0000_t75" stroked="false">
          <v:imagedata r:id="rId1" o:title=""/>
        </v:shape>
      </w:pict>
    </w:r>
    <w:r>
      <w:rPr/>
      <w:pict>
        <v:shape style="position:absolute;margin-left:523.119873pt;margin-top:782.137634pt;width:17.5pt;height:11pt;mso-position-horizontal-relative:page;mso-position-vertical-relative:page;z-index:-1105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85326pt;width:195.45pt;height:11.5pt;mso-position-horizontal-relative:page;mso-position-vertical-relative:page;z-index:-1105864" type="#_x0000_t202" filled="false" stroked="false">
          <v:textbox inset="0,0,0,0">
            <w:txbxContent>
              <w:p>
                <w:pPr>
                  <w:pStyle w:val="BodyText"/>
                  <w:spacing w:line="214" w:lineRule="exact"/>
                  <w:ind w:left="20" w:right="0"/>
                  <w:jc w:val="left"/>
                </w:pPr>
                <w:r>
                  <w:rPr/>
                  <w:t>福建榕基软件股份有限公司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ongji.com/" TargetMode="External"/><Relationship Id="rId10" Type="http://schemas.openxmlformats.org/officeDocument/2006/relationships/hyperlink" Target="mailto:rongji@rongji.com" TargetMode="External"/><Relationship Id="rId11" Type="http://schemas.openxmlformats.org/officeDocument/2006/relationships/hyperlink" Target="mailto:wanxiaoxiong@rongji.com" TargetMode="External"/><Relationship Id="rId12" Type="http://schemas.openxmlformats.org/officeDocument/2006/relationships/hyperlink" Target="mailto:chenlve@rongji.com" TargetMode="External"/><Relationship Id="rId13" Type="http://schemas.openxmlformats.org/officeDocument/2006/relationships/hyperlink" Target="mailto:e@rongji.com" TargetMode="External"/><Relationship Id="rId14" Type="http://schemas.openxmlformats.org/officeDocument/2006/relationships/hyperlink" Target="http://www.cninfo.com.cn/" TargetMode="External"/><Relationship Id="rId15" Type="http://schemas.openxmlformats.org/officeDocument/2006/relationships/hyperlink" Target="http://www.cninfo.com.cn/new/disclosur" TargetMode="External"/><Relationship Id="rId16" Type="http://schemas.openxmlformats.org/officeDocument/2006/relationships/hyperlink" Target="http://www.cninfo.com.cn/cninfo-new/disclosure/szse_sme/bulletin_detail/t" TargetMode="External"/><Relationship Id="rId17" Type="http://schemas.openxmlformats.org/officeDocument/2006/relationships/hyperlink" Target="http://w/" TargetMode="External"/><Relationship Id="rId18" Type="http://schemas.openxmlformats.org/officeDocument/2006/relationships/hyperlink" Target="http://www.cninfo.com.cn/new/disclosure/detail?plate=szse&amp;amp;stockCode=002474&amp;amp;announcementId=1205208002&amp;amp;announcementTi" TargetMode="External"/><Relationship Id="rId19" Type="http://schemas.openxmlformats.org/officeDocument/2006/relationships/image" Target="media/image3.png"/><Relationship Id="rId20" Type="http://schemas.openxmlformats.org/officeDocument/2006/relationships/hyperlink" Target="http://www.cninfo.c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- 2019-016　2018年年度报告全文.doc</dc:title>
  <dcterms:created xsi:type="dcterms:W3CDTF">2020-05-04T21:51:59Z</dcterms:created>
  <dcterms:modified xsi:type="dcterms:W3CDTF">2020-05-04T21:51:59Z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PScript5.dll Version 5.2.2</vt:lpwstr>
  </property>
  <property fmtid="{D5CDD505-2E9C-101B-9397-08002B2CF9AE}" pid="4" name="LastSaved">
    <vt:filetime>2020-05-04T00:00:00Z</vt:filetime>
  </property>
</Properties>
</file>